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8AD" w:rsidRDefault="008468AD" w:rsidP="008468AD">
      <w:pPr>
        <w:rPr>
          <w:rFonts w:asciiTheme="minorHAnsi" w:hAnsiTheme="minorHAnsi" w:cstheme="minorHAnsi"/>
          <w:b/>
          <w:i/>
          <w:sz w:val="22"/>
          <w:szCs w:val="18"/>
        </w:rPr>
      </w:pPr>
      <w:r w:rsidRPr="00010F3C">
        <w:rPr>
          <w:rFonts w:asciiTheme="minorHAnsi" w:hAnsiTheme="minorHAnsi" w:cstheme="minorHAnsi"/>
          <w:b/>
          <w:color w:val="000000" w:themeColor="text1"/>
          <w:sz w:val="22"/>
          <w:szCs w:val="18"/>
        </w:rPr>
        <w:t xml:space="preserve">Table </w:t>
      </w:r>
      <w:r>
        <w:rPr>
          <w:rFonts w:asciiTheme="minorHAnsi" w:hAnsiTheme="minorHAnsi" w:cstheme="minorHAnsi"/>
          <w:b/>
          <w:color w:val="000000" w:themeColor="text1"/>
          <w:sz w:val="22"/>
          <w:szCs w:val="18"/>
        </w:rPr>
        <w:t>8</w:t>
      </w:r>
      <w:r w:rsidRPr="00010F3C">
        <w:rPr>
          <w:rFonts w:asciiTheme="minorHAnsi" w:hAnsiTheme="minorHAnsi" w:cstheme="minorHAnsi"/>
          <w:b/>
          <w:color w:val="000000" w:themeColor="text1"/>
          <w:sz w:val="22"/>
          <w:szCs w:val="18"/>
        </w:rPr>
        <w:t xml:space="preserve">. Prospective </w:t>
      </w:r>
      <w:r w:rsidRPr="00010F3C">
        <w:rPr>
          <w:rFonts w:asciiTheme="minorHAnsi" w:hAnsiTheme="minorHAnsi" w:cstheme="minorHAnsi"/>
          <w:b/>
          <w:sz w:val="22"/>
          <w:szCs w:val="18"/>
        </w:rPr>
        <w:t xml:space="preserve">associations between hormonal contraceptive use and </w:t>
      </w:r>
      <w:r w:rsidRPr="00C25E3E">
        <w:rPr>
          <w:rFonts w:asciiTheme="minorHAnsi" w:hAnsiTheme="minorHAnsi" w:cstheme="minorHAnsi"/>
          <w:b/>
          <w:i/>
          <w:sz w:val="22"/>
          <w:szCs w:val="18"/>
        </w:rPr>
        <w:t>Chlamydia trachomatis</w:t>
      </w:r>
      <w:r w:rsidRPr="00010F3C">
        <w:rPr>
          <w:rFonts w:asciiTheme="minorHAnsi" w:hAnsiTheme="minorHAnsi" w:cstheme="minorHAnsi"/>
          <w:b/>
          <w:sz w:val="22"/>
          <w:szCs w:val="18"/>
        </w:rPr>
        <w:t xml:space="preserve"> (CT)</w:t>
      </w:r>
      <w:r>
        <w:rPr>
          <w:rFonts w:asciiTheme="minorHAnsi" w:hAnsiTheme="minorHAnsi" w:cstheme="minorHAnsi"/>
          <w:b/>
          <w:sz w:val="22"/>
          <w:szCs w:val="18"/>
        </w:rPr>
        <w:t xml:space="preserve"> or </w:t>
      </w:r>
      <w:r w:rsidRPr="00C25E3E">
        <w:rPr>
          <w:rFonts w:asciiTheme="minorHAnsi" w:hAnsiTheme="minorHAnsi" w:cstheme="minorHAnsi"/>
          <w:b/>
          <w:i/>
          <w:sz w:val="22"/>
          <w:szCs w:val="18"/>
        </w:rPr>
        <w:t xml:space="preserve">Neisseria </w:t>
      </w:r>
    </w:p>
    <w:p w:rsidR="008468AD" w:rsidRPr="00F958A6" w:rsidRDefault="008468AD" w:rsidP="008468AD">
      <w:pPr>
        <w:rPr>
          <w:rFonts w:asciiTheme="minorHAnsi" w:hAnsiTheme="minorHAnsi" w:cstheme="minorHAnsi"/>
          <w:b/>
          <w:color w:val="FF0000"/>
          <w:sz w:val="22"/>
          <w:szCs w:val="18"/>
        </w:rPr>
      </w:pPr>
      <w:r>
        <w:rPr>
          <w:rFonts w:asciiTheme="minorHAnsi" w:hAnsiTheme="minorHAnsi" w:cstheme="minorHAnsi"/>
          <w:b/>
          <w:i/>
          <w:sz w:val="22"/>
          <w:szCs w:val="18"/>
        </w:rPr>
        <w:t>gonorrhoeae</w:t>
      </w:r>
      <w:r w:rsidRPr="00010F3C">
        <w:rPr>
          <w:rFonts w:asciiTheme="minorHAnsi" w:hAnsiTheme="minorHAnsi" w:cstheme="minorHAnsi"/>
          <w:b/>
          <w:sz w:val="22"/>
          <w:szCs w:val="18"/>
        </w:rPr>
        <w:t xml:space="preserve"> (NG) </w:t>
      </w:r>
      <w:r>
        <w:rPr>
          <w:rFonts w:asciiTheme="minorHAnsi" w:hAnsiTheme="minorHAnsi" w:cstheme="minorHAnsi"/>
          <w:b/>
          <w:sz w:val="22"/>
          <w:szCs w:val="18"/>
        </w:rPr>
        <w:t xml:space="preserve">(combined) </w:t>
      </w:r>
      <w:r w:rsidRPr="00010F3C">
        <w:rPr>
          <w:rFonts w:asciiTheme="minorHAnsi" w:hAnsiTheme="minorHAnsi" w:cstheme="minorHAnsi"/>
          <w:b/>
          <w:sz w:val="22"/>
          <w:szCs w:val="18"/>
        </w:rPr>
        <w:t>(N=</w:t>
      </w:r>
      <w:r>
        <w:rPr>
          <w:rFonts w:asciiTheme="minorHAnsi" w:hAnsiTheme="minorHAnsi" w:cstheme="minorHAnsi"/>
          <w:b/>
          <w:sz w:val="22"/>
          <w:szCs w:val="18"/>
        </w:rPr>
        <w:t>2</w:t>
      </w:r>
      <w:r w:rsidRPr="00010F3C">
        <w:rPr>
          <w:rFonts w:asciiTheme="minorHAnsi" w:hAnsiTheme="minorHAnsi" w:cstheme="minorHAnsi"/>
          <w:b/>
          <w:sz w:val="22"/>
          <w:szCs w:val="18"/>
        </w:rPr>
        <w:t xml:space="preserve">). </w:t>
      </w:r>
    </w:p>
    <w:tbl>
      <w:tblPr>
        <w:tblStyle w:val="TableGrid"/>
        <w:tblW w:w="13176" w:type="dxa"/>
        <w:tblLook w:val="04A0" w:firstRow="1" w:lastRow="0" w:firstColumn="1" w:lastColumn="0" w:noHBand="0" w:noVBand="1"/>
      </w:tblPr>
      <w:tblGrid>
        <w:gridCol w:w="948"/>
        <w:gridCol w:w="1515"/>
        <w:gridCol w:w="1527"/>
        <w:gridCol w:w="1428"/>
        <w:gridCol w:w="2599"/>
        <w:gridCol w:w="1309"/>
        <w:gridCol w:w="1207"/>
        <w:gridCol w:w="1353"/>
        <w:gridCol w:w="1290"/>
      </w:tblGrid>
      <w:tr w:rsidR="008468AD" w:rsidRPr="00010F3C" w:rsidTr="00DB49DC">
        <w:trPr>
          <w:tblHeader/>
        </w:trPr>
        <w:tc>
          <w:tcPr>
            <w:tcW w:w="948" w:type="dxa"/>
          </w:tcPr>
          <w:p w:rsidR="008468AD" w:rsidRPr="00010F3C" w:rsidRDefault="008468AD" w:rsidP="00DB49DC">
            <w:pPr>
              <w:rPr>
                <w:rFonts w:asciiTheme="minorHAnsi" w:hAnsiTheme="minorHAnsi" w:cstheme="minorHAnsi"/>
                <w:b/>
                <w:sz w:val="20"/>
                <w:szCs w:val="18"/>
              </w:rPr>
            </w:pPr>
            <w:r w:rsidRPr="00010F3C">
              <w:rPr>
                <w:rFonts w:asciiTheme="minorHAnsi" w:hAnsiTheme="minorHAnsi" w:cstheme="minorHAnsi"/>
                <w:b/>
                <w:sz w:val="20"/>
                <w:szCs w:val="18"/>
              </w:rPr>
              <w:t>Study</w:t>
            </w:r>
          </w:p>
        </w:tc>
        <w:tc>
          <w:tcPr>
            <w:tcW w:w="1515" w:type="dxa"/>
          </w:tcPr>
          <w:p w:rsidR="008468AD" w:rsidRPr="00010F3C" w:rsidRDefault="008468AD" w:rsidP="00DB49DC">
            <w:pPr>
              <w:rPr>
                <w:rFonts w:asciiTheme="minorHAnsi" w:hAnsiTheme="minorHAnsi" w:cstheme="minorHAnsi"/>
                <w:b/>
                <w:sz w:val="20"/>
                <w:szCs w:val="18"/>
              </w:rPr>
            </w:pPr>
            <w:r w:rsidRPr="00010F3C">
              <w:rPr>
                <w:rFonts w:asciiTheme="minorHAnsi" w:hAnsiTheme="minorHAnsi" w:cstheme="minorHAnsi"/>
                <w:b/>
                <w:sz w:val="20"/>
                <w:szCs w:val="18"/>
              </w:rPr>
              <w:t>N, study sample</w:t>
            </w:r>
          </w:p>
        </w:tc>
        <w:tc>
          <w:tcPr>
            <w:tcW w:w="1527" w:type="dxa"/>
          </w:tcPr>
          <w:p w:rsidR="008468AD" w:rsidRPr="00010F3C" w:rsidRDefault="008468AD" w:rsidP="00DB49DC">
            <w:pPr>
              <w:rPr>
                <w:rFonts w:asciiTheme="minorHAnsi" w:hAnsiTheme="minorHAnsi" w:cstheme="minorHAnsi"/>
                <w:b/>
                <w:sz w:val="20"/>
                <w:szCs w:val="18"/>
              </w:rPr>
            </w:pPr>
            <w:r w:rsidRPr="00010F3C">
              <w:rPr>
                <w:rFonts w:asciiTheme="minorHAnsi" w:hAnsiTheme="minorHAnsi" w:cstheme="minorHAnsi"/>
                <w:b/>
                <w:sz w:val="20"/>
                <w:szCs w:val="18"/>
              </w:rPr>
              <w:t>Length of follow-up; frequency STI assessment</w:t>
            </w:r>
          </w:p>
        </w:tc>
        <w:tc>
          <w:tcPr>
            <w:tcW w:w="1428" w:type="dxa"/>
          </w:tcPr>
          <w:p w:rsidR="008468AD" w:rsidRPr="00010F3C" w:rsidRDefault="008468AD" w:rsidP="00DB49DC">
            <w:pPr>
              <w:rPr>
                <w:rFonts w:asciiTheme="minorHAnsi" w:hAnsiTheme="minorHAnsi" w:cstheme="minorHAnsi"/>
                <w:b/>
                <w:sz w:val="20"/>
                <w:szCs w:val="18"/>
              </w:rPr>
            </w:pPr>
            <w:r w:rsidRPr="00010F3C">
              <w:rPr>
                <w:rFonts w:asciiTheme="minorHAnsi" w:hAnsiTheme="minorHAnsi" w:cstheme="minorHAnsi"/>
                <w:b/>
                <w:sz w:val="20"/>
                <w:szCs w:val="18"/>
              </w:rPr>
              <w:t>STI diagnostic test</w:t>
            </w:r>
          </w:p>
        </w:tc>
        <w:tc>
          <w:tcPr>
            <w:tcW w:w="2599" w:type="dxa"/>
          </w:tcPr>
          <w:p w:rsidR="008468AD" w:rsidRPr="00010F3C" w:rsidRDefault="008468AD" w:rsidP="00DB49DC">
            <w:pPr>
              <w:rPr>
                <w:rFonts w:asciiTheme="minorHAnsi" w:hAnsiTheme="minorHAnsi" w:cstheme="minorHAnsi"/>
                <w:b/>
                <w:sz w:val="20"/>
                <w:szCs w:val="18"/>
              </w:rPr>
            </w:pPr>
            <w:r w:rsidRPr="00010F3C">
              <w:rPr>
                <w:rFonts w:asciiTheme="minorHAnsi" w:hAnsiTheme="minorHAnsi" w:cstheme="minorHAnsi"/>
                <w:b/>
                <w:sz w:val="20"/>
                <w:szCs w:val="18"/>
              </w:rPr>
              <w:t>Covariates</w:t>
            </w:r>
          </w:p>
        </w:tc>
        <w:tc>
          <w:tcPr>
            <w:tcW w:w="1309" w:type="dxa"/>
          </w:tcPr>
          <w:p w:rsidR="008468AD" w:rsidRPr="00010F3C" w:rsidRDefault="008468AD" w:rsidP="00DB49DC">
            <w:pPr>
              <w:rPr>
                <w:rFonts w:asciiTheme="minorHAnsi" w:hAnsiTheme="minorHAnsi" w:cstheme="minorHAnsi"/>
                <w:b/>
                <w:sz w:val="20"/>
                <w:szCs w:val="18"/>
              </w:rPr>
            </w:pPr>
            <w:r w:rsidRPr="00010F3C">
              <w:rPr>
                <w:rFonts w:asciiTheme="minorHAnsi" w:hAnsiTheme="minorHAnsi" w:cstheme="minorHAnsi"/>
                <w:b/>
                <w:sz w:val="20"/>
                <w:szCs w:val="18"/>
              </w:rPr>
              <w:t>Reference group</w:t>
            </w:r>
          </w:p>
        </w:tc>
        <w:tc>
          <w:tcPr>
            <w:tcW w:w="1207" w:type="dxa"/>
          </w:tcPr>
          <w:p w:rsidR="008468AD" w:rsidRPr="00010F3C" w:rsidRDefault="008468AD" w:rsidP="00DB49DC">
            <w:pPr>
              <w:rPr>
                <w:rFonts w:asciiTheme="minorHAnsi" w:hAnsiTheme="minorHAnsi" w:cstheme="minorHAnsi"/>
                <w:b/>
                <w:sz w:val="20"/>
                <w:szCs w:val="18"/>
              </w:rPr>
            </w:pPr>
            <w:proofErr w:type="spellStart"/>
            <w:r w:rsidRPr="00010F3C">
              <w:rPr>
                <w:rFonts w:asciiTheme="minorHAnsi" w:hAnsiTheme="minorHAnsi" w:cstheme="minorHAnsi"/>
                <w:b/>
                <w:sz w:val="20"/>
                <w:szCs w:val="18"/>
              </w:rPr>
              <w:t>OC</w:t>
            </w:r>
            <w:r>
              <w:rPr>
                <w:rFonts w:asciiTheme="minorHAnsi" w:hAnsiTheme="minorHAnsi" w:cstheme="minorHAnsi"/>
                <w:b/>
                <w:sz w:val="20"/>
                <w:szCs w:val="18"/>
              </w:rPr>
              <w:t>P</w:t>
            </w:r>
            <w:r w:rsidRPr="002811E0">
              <w:rPr>
                <w:rFonts w:asciiTheme="minorHAnsi" w:hAnsiTheme="minorHAnsi" w:cstheme="minorHAnsi"/>
                <w:sz w:val="20"/>
                <w:szCs w:val="18"/>
                <w:vertAlign w:val="superscript"/>
              </w:rPr>
              <w:t>a</w:t>
            </w:r>
            <w:proofErr w:type="spellEnd"/>
          </w:p>
        </w:tc>
        <w:tc>
          <w:tcPr>
            <w:tcW w:w="1353" w:type="dxa"/>
          </w:tcPr>
          <w:p w:rsidR="008468AD" w:rsidRPr="00010F3C" w:rsidRDefault="008468AD" w:rsidP="00DB49DC">
            <w:pPr>
              <w:rPr>
                <w:rFonts w:asciiTheme="minorHAnsi" w:hAnsiTheme="minorHAnsi" w:cstheme="minorHAnsi"/>
                <w:b/>
                <w:sz w:val="20"/>
                <w:szCs w:val="18"/>
              </w:rPr>
            </w:pPr>
            <w:r w:rsidRPr="00010F3C">
              <w:rPr>
                <w:rFonts w:asciiTheme="minorHAnsi" w:hAnsiTheme="minorHAnsi" w:cstheme="minorHAnsi"/>
                <w:b/>
                <w:sz w:val="20"/>
                <w:szCs w:val="18"/>
              </w:rPr>
              <w:t>Injectable</w:t>
            </w:r>
          </w:p>
        </w:tc>
        <w:tc>
          <w:tcPr>
            <w:tcW w:w="1290" w:type="dxa"/>
          </w:tcPr>
          <w:p w:rsidR="008468AD" w:rsidRPr="00010F3C" w:rsidRDefault="008468AD" w:rsidP="00DB49DC">
            <w:pPr>
              <w:rPr>
                <w:rFonts w:asciiTheme="minorHAnsi" w:hAnsiTheme="minorHAnsi" w:cstheme="minorHAnsi"/>
                <w:b/>
                <w:sz w:val="20"/>
                <w:szCs w:val="18"/>
              </w:rPr>
            </w:pPr>
            <w:r w:rsidRPr="00010F3C">
              <w:rPr>
                <w:rFonts w:asciiTheme="minorHAnsi" w:hAnsiTheme="minorHAnsi" w:cstheme="minorHAnsi"/>
                <w:b/>
                <w:sz w:val="20"/>
                <w:szCs w:val="18"/>
              </w:rPr>
              <w:t>Implant</w:t>
            </w:r>
          </w:p>
        </w:tc>
      </w:tr>
      <w:tr w:rsidR="008468AD" w:rsidRPr="00010F3C" w:rsidTr="00DB49DC">
        <w:tc>
          <w:tcPr>
            <w:tcW w:w="948" w:type="dxa"/>
          </w:tcPr>
          <w:p w:rsidR="008468AD" w:rsidRPr="00010F3C" w:rsidRDefault="008468AD" w:rsidP="00DB49DC">
            <w:pPr>
              <w:rPr>
                <w:rFonts w:asciiTheme="minorHAnsi" w:hAnsiTheme="minorHAnsi" w:cstheme="minorHAnsi"/>
                <w:sz w:val="18"/>
                <w:szCs w:val="18"/>
              </w:rPr>
            </w:pPr>
            <w:r w:rsidRPr="00010F3C">
              <w:rPr>
                <w:rFonts w:asciiTheme="minorHAnsi" w:hAnsiTheme="minorHAnsi" w:cstheme="minorHAnsi"/>
                <w:sz w:val="18"/>
                <w:szCs w:val="18"/>
              </w:rPr>
              <w:t>Low 2014</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{"citationItems":[{"id":"ITEM-1","itemData":{"DOI":"10.1136/sextrans-2013-051233","ISSN":"1368-4973","PMID":"24337732","abstract":"OBJECTIVES Neisseria gonorrhoeae (NG) and Chlamydia trachomatis (CT) are common sexually transmitted infections (STI). We assessed the cumulative risk of NG and CT in a cohort of HIV-1-infected high-risk women taking antiretrovirals over 4 years in Burkina Faso. METHODS Between March 2007 and February 2011, participants were followed every 3-6 months. At each visit, participants underwent a gynaecological examination with collection of cervical and vaginal swabs. Random-effects logistic regression models were used to analyse associations of NG and CT infection with behavioural and biological factors. RESULTS 172 women had samples tested for NG and CT during the study period, in a total of 1135 visits. NG was detected in 6.4% of women (11/172, 95% CI 2.7 to 10.1) at a rate of 2.76 cases (95% CI 1.53 to 4.99) per 100 person-years. CT was detected in 1.7% (3/172, 95% CI 0 to 3.7) of women at a rate of 0.75 cases (95% CI 0.24 to 2.34) per 100 person-years. The majority of women were asymptomatic (9/14). In the multivariable model, the presence of NG or CT was associated with tobacco use (aOR=11.85, 95% CI 1.13 to 124.17), and concurrent genital HIV-1 RNA shedding (aOR=4.78, 95% CI 1.17 to 19.46). Higher levels of education (aOR=0.17, 95% CI 0.03 to 0.92), and age greater than 35 years (aOR=0.07, 95% CI 0.01 to 0.92) were associated with lower odds of infection. CONCLUSIONS The risk of NG or CT infection remains low among high-risk women in Bobo-Dioulasso. This provides some evidence that antiretroviral use does not contribute to behavioural disinhibition. The asymptomatic nature of most infections underscores the need for regular screening and treatment of STIs in core groups.","author":[{"dropping-particle":"","family":"Low","given":"Andrea J","non-dropping-particle":"","parse-names":false,"suffix":""},{"dropping-particle":"","family":"Konate","given":"Issouf","non-dropping-particle":"","parse-names":false,"suffix":""},{"dropping-particle":"","family":"Nagot","given":"Nicolas","non-dropping-particle":"","parse-names":false,"suffix":""},{"dropping-particle":"","family":"Weiss","given":"Helen A","non-dropping-particle":"","parse-names":false,"suffix":""},{"dropping-particle":"","family":"Mabey","given":"David","non-dropping-particle":"","parse-names":false,"suffix":""},{"dropping-particle":"","family":"Segondy","given":"Michel","non-dropping-particle":"","parse-names":false,"suffix":""},{"dropping-particle":"","family":"Vickerman","given":"Peter","non-dropping-particle":"","parse-names":false,"suffix":""},{"dropping-particle":"","family":"Meda","given":"Nicolas","non-dropping-particle":"","parse-names":false,"suffix":""},{"dropping-particle":"","family":"Perre","given":"Philippe","non-dropping-particle":"van de","parse-names":false,"suffix":""},{"dropping-particle":"","family":"Mayaud","given":"Philippe","non-dropping-particle":"","parse-names":false,"suffix":""},{"dropping-particle":"","family":"Yerelon Cohort study group","given":"","non-dropping-particle":"","parse-names":false,"suffix":""}],"container-title":"Sexually Transmitted Infections","id":"ITEM-1","issue":"2","issued":{"date-parts":[["2014","3"]]},"page":"100-103","title":"Neisseria gonorrhoeae and Chlamydia trachomatis infection in HIV-1-infected women taking antiretroviral therapy: a prospective cohort study from Burkina Faso","type":"article-journal","volume":"90"},"uris":["http://www.mendeley.com/documents/?uuid=2adc8552-3b00-301b-b3e7-8b2a7fd4c000"]}],"mendeley":{"formattedCitation":"[55]","plainTextFormattedCitation":"[55]","previouslyFormattedCitation":"[55]"},"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[55]</w:t>
            </w:r>
            <w:r>
              <w:rPr>
                <w:rFonts w:asciiTheme="minorHAnsi" w:hAnsiTheme="minorHAnsi" w:cstheme="minorHAnsi"/>
                <w:sz w:val="18"/>
                <w:szCs w:val="18"/>
              </w:rPr>
              <w:fldChar w:fldCharType="end"/>
            </w:r>
          </w:p>
        </w:tc>
        <w:tc>
          <w:tcPr>
            <w:tcW w:w="1515" w:type="dxa"/>
          </w:tcPr>
          <w:p w:rsidR="008468AD" w:rsidRPr="00010F3C" w:rsidRDefault="008468AD" w:rsidP="00DB49DC">
            <w:pPr>
              <w:rPr>
                <w:rFonts w:asciiTheme="minorHAnsi" w:hAnsiTheme="minorHAnsi" w:cstheme="minorHAnsi"/>
                <w:sz w:val="18"/>
                <w:szCs w:val="18"/>
              </w:rPr>
            </w:pPr>
            <w:r w:rsidRPr="00010F3C">
              <w:rPr>
                <w:rFonts w:asciiTheme="minorHAnsi" w:hAnsiTheme="minorHAnsi" w:cstheme="minorHAnsi"/>
                <w:sz w:val="18"/>
                <w:szCs w:val="18"/>
              </w:rPr>
              <w:t>172, HIV-1 positive women on antiretrovirals who engage in transactional sex in Bobo-</w:t>
            </w:r>
            <w:proofErr w:type="spellStart"/>
            <w:r w:rsidRPr="00010F3C">
              <w:rPr>
                <w:rFonts w:asciiTheme="minorHAnsi" w:hAnsiTheme="minorHAnsi" w:cstheme="minorHAnsi"/>
                <w:sz w:val="18"/>
                <w:szCs w:val="18"/>
              </w:rPr>
              <w:t>Dioulasso</w:t>
            </w:r>
            <w:proofErr w:type="spellEnd"/>
            <w:r w:rsidRPr="00010F3C">
              <w:rPr>
                <w:rFonts w:asciiTheme="minorHAnsi" w:hAnsiTheme="minorHAnsi" w:cstheme="minorHAnsi"/>
                <w:sz w:val="18"/>
                <w:szCs w:val="18"/>
              </w:rPr>
              <w:t xml:space="preserve"> Burkina Faso, ages 18 to 50, </w:t>
            </w:r>
            <w:r w:rsidRPr="00DD1E16">
              <w:rPr>
                <w:rFonts w:asciiTheme="minorHAnsi" w:hAnsiTheme="minorHAnsi" w:cstheme="minorHAnsi"/>
                <w:i/>
                <w:sz w:val="18"/>
                <w:szCs w:val="18"/>
              </w:rPr>
              <w:t>N=11 incident cases GN; rate of 2.76 cases per</w:t>
            </w:r>
            <w:r w:rsidRPr="00010F3C">
              <w:rPr>
                <w:rFonts w:asciiTheme="minorHAnsi" w:hAnsiTheme="minorHAnsi" w:cstheme="minorHAnsi"/>
                <w:i/>
                <w:sz w:val="18"/>
                <w:szCs w:val="18"/>
              </w:rPr>
              <w:t xml:space="preserve"> 100 PY; 3 incident cases CT, rate of 0.75 per 100 PY </w:t>
            </w:r>
            <w:r>
              <w:rPr>
                <w:rFonts w:asciiTheme="minorHAnsi" w:hAnsiTheme="minorHAnsi" w:cstheme="minorHAnsi"/>
                <w:i/>
                <w:sz w:val="18"/>
                <w:szCs w:val="18"/>
                <w:vertAlign w:val="superscript"/>
              </w:rPr>
              <w:t>b</w:t>
            </w:r>
          </w:p>
        </w:tc>
        <w:tc>
          <w:tcPr>
            <w:tcW w:w="1527" w:type="dxa"/>
          </w:tcPr>
          <w:p w:rsidR="008468AD" w:rsidRPr="00010F3C" w:rsidRDefault="008468AD" w:rsidP="00DB49DC">
            <w:pPr>
              <w:rPr>
                <w:rFonts w:asciiTheme="minorHAnsi" w:hAnsiTheme="minorHAnsi" w:cstheme="minorHAnsi"/>
                <w:sz w:val="18"/>
                <w:szCs w:val="18"/>
              </w:rPr>
            </w:pPr>
            <w:r w:rsidRPr="00010F3C">
              <w:rPr>
                <w:rFonts w:asciiTheme="minorHAnsi" w:hAnsiTheme="minorHAnsi" w:cstheme="minorHAnsi"/>
                <w:sz w:val="18"/>
                <w:szCs w:val="18"/>
              </w:rPr>
              <w:t>4Y; 0M, ~3-6M</w:t>
            </w:r>
          </w:p>
          <w:p w:rsidR="008468AD" w:rsidRPr="00010F3C" w:rsidRDefault="008468AD" w:rsidP="00DB49DC">
            <w:pPr>
              <w:pStyle w:val="p1"/>
              <w:rPr>
                <w:rFonts w:asciiTheme="minorHAnsi" w:hAnsiTheme="minorHAnsi" w:cstheme="minorHAnsi"/>
                <w:sz w:val="18"/>
                <w:szCs w:val="18"/>
              </w:rPr>
            </w:pPr>
          </w:p>
        </w:tc>
        <w:tc>
          <w:tcPr>
            <w:tcW w:w="1428" w:type="dxa"/>
          </w:tcPr>
          <w:p w:rsidR="008468AD" w:rsidRPr="00010F3C" w:rsidRDefault="008468AD" w:rsidP="00DB49DC">
            <w:pPr>
              <w:rPr>
                <w:rFonts w:asciiTheme="minorHAnsi" w:hAnsiTheme="minorHAnsi" w:cstheme="minorHAnsi"/>
                <w:sz w:val="18"/>
                <w:szCs w:val="18"/>
              </w:rPr>
            </w:pPr>
            <w:r w:rsidRPr="00010F3C">
              <w:rPr>
                <w:rFonts w:asciiTheme="minorHAnsi" w:hAnsiTheme="minorHAnsi" w:cstheme="minorHAnsi"/>
                <w:sz w:val="18"/>
                <w:szCs w:val="18"/>
              </w:rPr>
              <w:t>Cervical swab via PCR (</w:t>
            </w:r>
            <w:proofErr w:type="spellStart"/>
            <w:r w:rsidRPr="00010F3C">
              <w:rPr>
                <w:rFonts w:asciiTheme="minorHAnsi" w:hAnsiTheme="minorHAnsi" w:cstheme="minorHAnsi"/>
                <w:sz w:val="18"/>
                <w:szCs w:val="18"/>
              </w:rPr>
              <w:t>Amplicor</w:t>
            </w:r>
            <w:proofErr w:type="spellEnd"/>
            <w:r w:rsidRPr="00010F3C">
              <w:rPr>
                <w:rFonts w:asciiTheme="minorHAnsi" w:hAnsiTheme="minorHAnsi" w:cstheme="minorHAnsi"/>
                <w:sz w:val="18"/>
                <w:szCs w:val="18"/>
              </w:rPr>
              <w:t xml:space="preserve"> CT/NG PCR assay, Roche) using pooling approach</w:t>
            </w:r>
          </w:p>
        </w:tc>
        <w:tc>
          <w:tcPr>
            <w:tcW w:w="2599" w:type="dxa"/>
          </w:tcPr>
          <w:p w:rsidR="008468AD" w:rsidRPr="00010F3C" w:rsidRDefault="008468AD" w:rsidP="00DB49DC">
            <w:pPr>
              <w:autoSpaceDE w:val="0"/>
              <w:autoSpaceDN w:val="0"/>
              <w:adjustRightInd w:val="0"/>
              <w:rPr>
                <w:rFonts w:asciiTheme="minorHAnsi" w:hAnsiTheme="minorHAnsi" w:cstheme="minorHAnsi"/>
                <w:sz w:val="18"/>
                <w:szCs w:val="18"/>
              </w:rPr>
            </w:pPr>
            <w:r w:rsidRPr="00010F3C">
              <w:rPr>
                <w:rFonts w:asciiTheme="minorHAnsi" w:hAnsiTheme="minorHAnsi" w:cstheme="minorHAnsi"/>
                <w:sz w:val="18"/>
                <w:szCs w:val="18"/>
              </w:rPr>
              <w:t xml:space="preserve">Age, education, tobacco use, # sex acts past </w:t>
            </w:r>
            <w:proofErr w:type="spellStart"/>
            <w:r w:rsidRPr="00010F3C">
              <w:rPr>
                <w:rFonts w:asciiTheme="minorHAnsi" w:hAnsiTheme="minorHAnsi" w:cstheme="minorHAnsi"/>
                <w:sz w:val="18"/>
                <w:szCs w:val="18"/>
              </w:rPr>
              <w:t>wk</w:t>
            </w:r>
            <w:proofErr w:type="spellEnd"/>
            <w:r w:rsidRPr="00010F3C">
              <w:rPr>
                <w:rFonts w:asciiTheme="minorHAnsi" w:hAnsiTheme="minorHAnsi" w:cstheme="minorHAnsi"/>
                <w:sz w:val="18"/>
                <w:szCs w:val="18"/>
              </w:rPr>
              <w:t xml:space="preserve">, alcohol use, sex work, condom use, vaginal washing, antibiotic use past 1M, abnormal vaginal discharge on exam, genital ulcers on exam, abnormal cervical exam, genital warts, concurrent BV, </w:t>
            </w:r>
            <w:r w:rsidRPr="00DB4DED">
              <w:rPr>
                <w:rFonts w:asciiTheme="minorHAnsi" w:hAnsiTheme="minorHAnsi" w:cstheme="minorHAnsi"/>
                <w:i/>
                <w:sz w:val="18"/>
                <w:szCs w:val="18"/>
              </w:rPr>
              <w:t>T. vaginalis</w:t>
            </w:r>
            <w:r w:rsidRPr="00010F3C">
              <w:rPr>
                <w:rFonts w:asciiTheme="minorHAnsi" w:hAnsiTheme="minorHAnsi" w:cstheme="minorHAnsi"/>
                <w:sz w:val="18"/>
                <w:szCs w:val="18"/>
              </w:rPr>
              <w:t xml:space="preserve">, </w:t>
            </w:r>
            <w:r w:rsidRPr="00DB4DED">
              <w:rPr>
                <w:rFonts w:asciiTheme="minorHAnsi" w:hAnsiTheme="minorHAnsi" w:cstheme="minorHAnsi"/>
                <w:i/>
                <w:sz w:val="18"/>
                <w:szCs w:val="18"/>
              </w:rPr>
              <w:t>Candida albicans</w:t>
            </w:r>
            <w:r w:rsidRPr="00010F3C">
              <w:rPr>
                <w:rFonts w:asciiTheme="minorHAnsi" w:hAnsiTheme="minorHAnsi" w:cstheme="minorHAnsi"/>
                <w:sz w:val="18"/>
                <w:szCs w:val="18"/>
              </w:rPr>
              <w:t xml:space="preserve">, or HSV-2 DNA, presence of Y-PCR, HIV-1 plasma viral load, HIV-1 </w:t>
            </w:r>
            <w:proofErr w:type="spellStart"/>
            <w:r w:rsidRPr="00010F3C">
              <w:rPr>
                <w:rFonts w:asciiTheme="minorHAnsi" w:hAnsiTheme="minorHAnsi" w:cstheme="minorHAnsi"/>
                <w:sz w:val="18"/>
                <w:szCs w:val="18"/>
              </w:rPr>
              <w:t>eCVL</w:t>
            </w:r>
            <w:proofErr w:type="spellEnd"/>
            <w:r w:rsidRPr="00010F3C">
              <w:rPr>
                <w:rFonts w:asciiTheme="minorHAnsi" w:hAnsiTheme="minorHAnsi" w:cstheme="minorHAnsi"/>
                <w:sz w:val="18"/>
                <w:szCs w:val="18"/>
              </w:rPr>
              <w:t xml:space="preserve"> RNA detected, CD4 count, time since sample</w:t>
            </w:r>
          </w:p>
          <w:p w:rsidR="008468AD" w:rsidRPr="00010F3C" w:rsidRDefault="008468AD" w:rsidP="00DB49DC">
            <w:pPr>
              <w:rPr>
                <w:rFonts w:asciiTheme="minorHAnsi" w:hAnsiTheme="minorHAnsi" w:cstheme="minorHAnsi"/>
                <w:sz w:val="18"/>
                <w:szCs w:val="18"/>
              </w:rPr>
            </w:pPr>
            <w:r w:rsidRPr="00010F3C">
              <w:rPr>
                <w:rFonts w:asciiTheme="minorHAnsi" w:hAnsiTheme="minorHAnsi" w:cstheme="minorHAnsi"/>
                <w:sz w:val="18"/>
                <w:szCs w:val="18"/>
              </w:rPr>
              <w:t>collection, antiretroviral status</w:t>
            </w:r>
          </w:p>
          <w:p w:rsidR="008468AD" w:rsidRPr="00010F3C" w:rsidRDefault="008468AD" w:rsidP="00DB49DC">
            <w:pPr>
              <w:rPr>
                <w:rFonts w:asciiTheme="minorHAnsi" w:hAnsiTheme="minorHAnsi" w:cstheme="minorHAnsi"/>
                <w:sz w:val="18"/>
                <w:szCs w:val="18"/>
              </w:rPr>
            </w:pPr>
          </w:p>
          <w:p w:rsidR="008468AD" w:rsidRPr="00010F3C" w:rsidRDefault="008468AD" w:rsidP="00DB49DC">
            <w:pPr>
              <w:rPr>
                <w:rFonts w:asciiTheme="minorHAnsi" w:hAnsiTheme="minorHAnsi" w:cstheme="minorHAnsi"/>
                <w:sz w:val="18"/>
                <w:szCs w:val="18"/>
              </w:rPr>
            </w:pPr>
            <w:r w:rsidRPr="00010F3C">
              <w:rPr>
                <w:rFonts w:asciiTheme="minorHAnsi" w:hAnsiTheme="minorHAnsi" w:cstheme="minorHAnsi"/>
                <w:sz w:val="18"/>
                <w:szCs w:val="18"/>
              </w:rPr>
              <w:t xml:space="preserve">Final model (empirical and theoretical approach): # sex acts past </w:t>
            </w:r>
            <w:proofErr w:type="spellStart"/>
            <w:r w:rsidRPr="00010F3C">
              <w:rPr>
                <w:rFonts w:asciiTheme="minorHAnsi" w:hAnsiTheme="minorHAnsi" w:cstheme="minorHAnsi"/>
                <w:sz w:val="18"/>
                <w:szCs w:val="18"/>
              </w:rPr>
              <w:t>wk</w:t>
            </w:r>
            <w:proofErr w:type="spellEnd"/>
            <w:r w:rsidRPr="00010F3C">
              <w:rPr>
                <w:rFonts w:asciiTheme="minorHAnsi" w:hAnsiTheme="minorHAnsi" w:cstheme="minorHAnsi"/>
                <w:sz w:val="18"/>
                <w:szCs w:val="18"/>
              </w:rPr>
              <w:t>, CD4 count, education</w:t>
            </w:r>
          </w:p>
        </w:tc>
        <w:tc>
          <w:tcPr>
            <w:tcW w:w="1309" w:type="dxa"/>
          </w:tcPr>
          <w:p w:rsidR="008468AD" w:rsidRPr="00010F3C" w:rsidRDefault="008468AD" w:rsidP="00DB49DC">
            <w:pPr>
              <w:rPr>
                <w:rFonts w:asciiTheme="minorHAnsi" w:hAnsiTheme="minorHAnsi" w:cstheme="minorHAnsi"/>
                <w:color w:val="000000"/>
                <w:sz w:val="18"/>
                <w:szCs w:val="18"/>
              </w:rPr>
            </w:pPr>
            <w:r w:rsidRPr="00010F3C">
              <w:rPr>
                <w:rFonts w:asciiTheme="minorHAnsi" w:hAnsiTheme="minorHAnsi" w:cstheme="minorHAnsi"/>
                <w:sz w:val="18"/>
                <w:szCs w:val="18"/>
              </w:rPr>
              <w:t>Non-</w:t>
            </w:r>
            <w:r>
              <w:rPr>
                <w:rFonts w:asciiTheme="minorHAnsi" w:hAnsiTheme="minorHAnsi" w:cstheme="minorHAnsi"/>
                <w:sz w:val="18"/>
                <w:szCs w:val="18"/>
              </w:rPr>
              <w:t xml:space="preserve">hormonal </w:t>
            </w:r>
            <w:r w:rsidRPr="00010F3C">
              <w:rPr>
                <w:rFonts w:asciiTheme="minorHAnsi" w:hAnsiTheme="minorHAnsi" w:cstheme="minorHAnsi"/>
                <w:sz w:val="18"/>
                <w:szCs w:val="18"/>
              </w:rPr>
              <w:t xml:space="preserve">user </w:t>
            </w:r>
          </w:p>
        </w:tc>
        <w:tc>
          <w:tcPr>
            <w:tcW w:w="1207" w:type="dxa"/>
          </w:tcPr>
          <w:p w:rsidR="008468AD" w:rsidRPr="00010F3C" w:rsidRDefault="008468AD" w:rsidP="00DB49DC">
            <w:pPr>
              <w:rPr>
                <w:rFonts w:asciiTheme="minorHAnsi" w:hAnsiTheme="minorHAnsi" w:cstheme="minorHAnsi"/>
                <w:sz w:val="18"/>
                <w:szCs w:val="18"/>
              </w:rPr>
            </w:pPr>
            <w:r w:rsidRPr="00010F3C">
              <w:rPr>
                <w:rFonts w:asciiTheme="minorHAnsi" w:hAnsiTheme="minorHAnsi" w:cstheme="minorHAnsi"/>
                <w:color w:val="000000"/>
                <w:sz w:val="18"/>
                <w:szCs w:val="18"/>
              </w:rPr>
              <w:t>OC</w:t>
            </w:r>
            <w:r>
              <w:rPr>
                <w:rFonts w:asciiTheme="minorHAnsi" w:hAnsiTheme="minorHAnsi" w:cstheme="minorHAnsi"/>
                <w:color w:val="000000"/>
                <w:sz w:val="18"/>
                <w:szCs w:val="18"/>
              </w:rPr>
              <w:t>P</w:t>
            </w:r>
            <w:r w:rsidRPr="00010F3C">
              <w:rPr>
                <w:rFonts w:asciiTheme="minorHAnsi" w:hAnsiTheme="minorHAnsi" w:cstheme="minorHAnsi"/>
                <w:color w:val="000000"/>
                <w:sz w:val="18"/>
                <w:szCs w:val="18"/>
              </w:rPr>
              <w:t xml:space="preserve"> </w:t>
            </w:r>
            <w:proofErr w:type="spellStart"/>
            <w:r w:rsidRPr="00010F3C">
              <w:rPr>
                <w:rFonts w:asciiTheme="minorHAnsi" w:hAnsiTheme="minorHAnsi" w:cstheme="minorHAnsi"/>
                <w:color w:val="000000"/>
                <w:sz w:val="18"/>
                <w:szCs w:val="18"/>
              </w:rPr>
              <w:t>aOR</w:t>
            </w:r>
            <w:proofErr w:type="spellEnd"/>
            <w:r w:rsidRPr="00010F3C">
              <w:rPr>
                <w:rFonts w:asciiTheme="minorHAnsi" w:hAnsiTheme="minorHAnsi" w:cstheme="minorHAnsi"/>
                <w:color w:val="000000"/>
                <w:sz w:val="18"/>
                <w:szCs w:val="18"/>
              </w:rPr>
              <w:t xml:space="preserve">: ns (NR) </w:t>
            </w:r>
          </w:p>
        </w:tc>
        <w:tc>
          <w:tcPr>
            <w:tcW w:w="1353" w:type="dxa"/>
          </w:tcPr>
          <w:p w:rsidR="008468AD" w:rsidRPr="00010F3C" w:rsidRDefault="008468AD" w:rsidP="00DB49DC">
            <w:pPr>
              <w:rPr>
                <w:rFonts w:asciiTheme="minorHAnsi" w:hAnsiTheme="minorHAnsi" w:cstheme="minorHAnsi"/>
                <w:sz w:val="18"/>
                <w:szCs w:val="18"/>
              </w:rPr>
            </w:pPr>
            <w:proofErr w:type="gramStart"/>
            <w:r w:rsidRPr="00010F3C">
              <w:rPr>
                <w:rFonts w:asciiTheme="minorHAnsi" w:hAnsiTheme="minorHAnsi" w:cstheme="minorHAnsi"/>
                <w:sz w:val="18"/>
                <w:szCs w:val="18"/>
              </w:rPr>
              <w:t>DMPA  on</w:t>
            </w:r>
            <w:proofErr w:type="gramEnd"/>
            <w:r w:rsidRPr="00010F3C">
              <w:rPr>
                <w:rFonts w:asciiTheme="minorHAnsi" w:hAnsiTheme="minorHAnsi" w:cstheme="minorHAnsi"/>
                <w:sz w:val="18"/>
                <w:szCs w:val="18"/>
              </w:rPr>
              <w:t xml:space="preserve"> NG/CT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sz w:val="18"/>
                <w:szCs w:val="18"/>
              </w:rPr>
              <w:t>: 5.83 (0.90</w:t>
            </w:r>
            <w:r>
              <w:rPr>
                <w:rFonts w:asciiTheme="minorHAnsi" w:hAnsiTheme="minorHAnsi" w:cstheme="minorHAnsi"/>
                <w:sz w:val="18"/>
                <w:szCs w:val="18"/>
              </w:rPr>
              <w:t>,</w:t>
            </w:r>
            <w:r w:rsidRPr="00010F3C">
              <w:rPr>
                <w:rFonts w:asciiTheme="minorHAnsi" w:hAnsiTheme="minorHAnsi" w:cstheme="minorHAnsi"/>
                <w:sz w:val="18"/>
                <w:szCs w:val="18"/>
              </w:rPr>
              <w:t xml:space="preserve"> 37.70)</w:t>
            </w:r>
          </w:p>
        </w:tc>
        <w:tc>
          <w:tcPr>
            <w:tcW w:w="1290" w:type="dxa"/>
          </w:tcPr>
          <w:p w:rsidR="008468AD" w:rsidRPr="00010F3C" w:rsidRDefault="008468AD" w:rsidP="00DB49DC">
            <w:pPr>
              <w:rPr>
                <w:rFonts w:asciiTheme="minorHAnsi" w:hAnsiTheme="minorHAnsi" w:cstheme="minorHAnsi"/>
                <w:sz w:val="18"/>
                <w:szCs w:val="18"/>
              </w:rPr>
            </w:pPr>
            <w:r w:rsidRPr="00010F3C">
              <w:rPr>
                <w:rFonts w:asciiTheme="minorHAnsi" w:hAnsiTheme="minorHAnsi" w:cstheme="minorHAnsi"/>
                <w:sz w:val="18"/>
                <w:szCs w:val="18"/>
              </w:rPr>
              <w:t>NA</w:t>
            </w:r>
          </w:p>
        </w:tc>
      </w:tr>
      <w:tr w:rsidR="008468AD" w:rsidRPr="00010F3C" w:rsidTr="00DB49DC">
        <w:tc>
          <w:tcPr>
            <w:tcW w:w="948" w:type="dxa"/>
          </w:tcPr>
          <w:p w:rsidR="008468AD" w:rsidRPr="00010F3C" w:rsidRDefault="008468AD" w:rsidP="00DB49DC">
            <w:pPr>
              <w:rPr>
                <w:rFonts w:asciiTheme="minorHAnsi" w:hAnsiTheme="minorHAnsi" w:cstheme="minorHAnsi"/>
                <w:sz w:val="18"/>
                <w:szCs w:val="18"/>
              </w:rPr>
            </w:pPr>
            <w:r>
              <w:rPr>
                <w:rFonts w:asciiTheme="minorHAnsi" w:hAnsiTheme="minorHAnsi" w:cstheme="minorHAnsi"/>
                <w:sz w:val="18"/>
                <w:szCs w:val="18"/>
              </w:rPr>
              <w:t xml:space="preserve">Morrison 2004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{"citationItems":[{"id":"ITEM-1","itemData":{"PMID":"15480119","abstract":"BACKGROUND AND OBJECTIVES Several previous studies have suggested that hormonal contraception could be associated with increased risk of cervical infections. However, few high-quality prospective studies have examined this relationship. GOAL The goal of this study was to measure the effect of oral contraceptives (OC) and depot-medroxyprogesterone acetate (DMPA) on the acquisition of cervical chlamydial and gonococcal infections. STUDY Women attending 2 reproductive health centers in Baltimore, MD, were enrolled into a prospective cohort study. Participants were 15 to 45 years and were initiating OCs or DMPA or not using hormonal contraception. Interviews, physical examinations, and testing for incident cervical infections were conducted at 3, 6, and 12 months. RESULTS The analysis included 819 women. Most were single (77%) and nulliparous (75%); 43% were black. Median age was 22 years. During the study, 45 women acquired a chlamydial or gonococcal infection (6.2 per 100 women-years). DMPA use (hazard ratio [HR], 3.6; 95% confidence interval [CI], 1.6-8.5), but not OC use (HR, 1.5; 95% CI, 0.6-3.5), was significantly associated with increased acquisition of cervical infections after adjusting for other risk factors. Cervical ectopy was not an important mediator of cervical infection risk. CONCLUSIONS DMPA use, but not OC use, appeared to be significantly associated with increased acquisition of cervical chlamydial and gonococcal infections.","author":[{"dropping-particle":"","family":"Morrison","given":"Charles S","non-dropping-particle":"","parse-names":false,"suffix":""},{"dropping-particle":"","family":"Bright","given":"Patricia","non-dropping-particle":"","parse-names":false,"suffix":""},{"dropping-particle":"","family":"Wong","given":"Emelita L","non-dropping-particle":"","parse-names":false,"suffix":""},{"dropping-particle":"","family":"Kwok","given":"Cynthia","non-dropping-particle":"","parse-names":false,"suffix":""},{"dropping-particle":"","family":"Yacobson","given":"Irina","non-dropping-particle":"","parse-names":false,"suffix":""},{"dropping-particle":"","family":"Gaydos","given":"Charlotte A","non-dropping-particle":"","parse-names":false,"suffix":""},{"dropping-particle":"","family":"Tucker","given":"Heidi T","non-dropping-particle":"","parse-names":false,"suffix":""},{"dropping-particle":"","family":"Blumenthal","given":"Paul D","non-dropping-particle":"","parse-names":false,"suffix":""}],"container-title":"Sexually Transmitted Diseases","id":"ITEM-1","issue":"9","issued":{"date-parts":[["2004","9"]]},"page":"561-7","title":"Hormonal contraceptive use, cervical ectopy, and the acquisition of cervical infections.","type":"article-journal","volume":"31"},"uris":["http://www.mendeley.com/documents/?uuid=06eeb7f9-281c-3ad6-9a76-388c295597df"]}],"mendeley":{"formattedCitation":"[25]","plainTextFormattedCitation":"[25]","previouslyFormattedCitation":"[25]"},"properties":{"noteIndex":0},"schema":"https://github.com/citation-style-language/schema/raw/master/csl-citation.json"}</w:instrText>
            </w:r>
            <w:r>
              <w:rPr>
                <w:rFonts w:asciiTheme="minorHAnsi" w:hAnsiTheme="minorHAnsi" w:cstheme="minorHAnsi"/>
                <w:sz w:val="18"/>
                <w:szCs w:val="18"/>
              </w:rPr>
              <w:fldChar w:fldCharType="separate"/>
            </w:r>
            <w:r w:rsidRPr="00E115DE">
              <w:rPr>
                <w:rFonts w:asciiTheme="minorHAnsi" w:hAnsiTheme="minorHAnsi" w:cstheme="minorHAnsi"/>
                <w:noProof/>
                <w:sz w:val="18"/>
                <w:szCs w:val="18"/>
              </w:rPr>
              <w:t>[25]</w:t>
            </w:r>
            <w:r>
              <w:rPr>
                <w:rFonts w:asciiTheme="minorHAnsi" w:hAnsiTheme="minorHAnsi" w:cstheme="minorHAnsi"/>
                <w:sz w:val="18"/>
                <w:szCs w:val="18"/>
              </w:rPr>
              <w:fldChar w:fldCharType="end"/>
            </w:r>
            <w:r>
              <w:rPr>
                <w:rFonts w:asciiTheme="minorHAnsi" w:hAnsiTheme="minorHAnsi" w:cstheme="minorHAnsi"/>
                <w:sz w:val="18"/>
                <w:szCs w:val="18"/>
              </w:rPr>
              <w:t xml:space="preserve"> </w:t>
            </w:r>
          </w:p>
        </w:tc>
        <w:tc>
          <w:tcPr>
            <w:tcW w:w="1515" w:type="dxa"/>
          </w:tcPr>
          <w:p w:rsidR="008468AD" w:rsidRPr="00010F3C" w:rsidRDefault="008468AD" w:rsidP="00DB49DC">
            <w:pPr>
              <w:rPr>
                <w:rFonts w:asciiTheme="minorHAnsi" w:hAnsiTheme="minorHAnsi" w:cstheme="minorHAnsi"/>
                <w:sz w:val="18"/>
                <w:szCs w:val="18"/>
              </w:rPr>
            </w:pPr>
            <w:r>
              <w:rPr>
                <w:rFonts w:asciiTheme="minorHAnsi" w:hAnsiTheme="minorHAnsi" w:cstheme="minorHAnsi"/>
                <w:sz w:val="18"/>
                <w:szCs w:val="18"/>
              </w:rPr>
              <w:t>819, women attending 2 reproductive health clinics in Baltimore, USA ages 15 to 45. N=45 incident cases of CT or GN; 6.2 per 100 PY.</w:t>
            </w:r>
          </w:p>
        </w:tc>
        <w:tc>
          <w:tcPr>
            <w:tcW w:w="1527" w:type="dxa"/>
          </w:tcPr>
          <w:p w:rsidR="008468AD" w:rsidRPr="00010F3C" w:rsidRDefault="008468AD" w:rsidP="00DB49DC">
            <w:pPr>
              <w:rPr>
                <w:rFonts w:asciiTheme="minorHAnsi" w:hAnsiTheme="minorHAnsi" w:cstheme="minorHAnsi"/>
                <w:sz w:val="18"/>
                <w:szCs w:val="18"/>
              </w:rPr>
            </w:pPr>
            <w:r>
              <w:rPr>
                <w:rFonts w:asciiTheme="minorHAnsi" w:hAnsiTheme="minorHAnsi" w:cstheme="minorHAnsi"/>
                <w:sz w:val="18"/>
                <w:szCs w:val="18"/>
              </w:rPr>
              <w:t>3, 6 and 12M</w:t>
            </w:r>
          </w:p>
        </w:tc>
        <w:tc>
          <w:tcPr>
            <w:tcW w:w="1428" w:type="dxa"/>
          </w:tcPr>
          <w:p w:rsidR="008468AD" w:rsidRPr="00553A24" w:rsidRDefault="008468AD" w:rsidP="00DB49DC">
            <w:pPr>
              <w:rPr>
                <w:rFonts w:asciiTheme="minorHAnsi" w:hAnsiTheme="minorHAnsi" w:cstheme="minorHAnsi"/>
                <w:sz w:val="18"/>
                <w:szCs w:val="18"/>
              </w:rPr>
            </w:pPr>
            <w:r w:rsidRPr="00553A24">
              <w:rPr>
                <w:rFonts w:asciiTheme="minorHAnsi" w:hAnsiTheme="minorHAnsi" w:cstheme="minorHAnsi"/>
                <w:sz w:val="18"/>
                <w:szCs w:val="18"/>
              </w:rPr>
              <w:t>CT by ligase chain reaction (</w:t>
            </w:r>
            <w:proofErr w:type="spellStart"/>
            <w:r w:rsidRPr="00553A24">
              <w:rPr>
                <w:rFonts w:asciiTheme="minorHAnsi" w:hAnsiTheme="minorHAnsi" w:cstheme="minorHAnsi"/>
                <w:sz w:val="18"/>
                <w:szCs w:val="18"/>
              </w:rPr>
              <w:t>LCx</w:t>
            </w:r>
            <w:proofErr w:type="spellEnd"/>
            <w:r w:rsidRPr="00553A24">
              <w:rPr>
                <w:rFonts w:asciiTheme="minorHAnsi" w:hAnsiTheme="minorHAnsi" w:cstheme="minorHAnsi"/>
                <w:sz w:val="18"/>
                <w:szCs w:val="18"/>
              </w:rPr>
              <w:t>; Abbott Laboratories). GN by Gram stain, oxidase reaction, lactamase</w:t>
            </w:r>
          </w:p>
          <w:p w:rsidR="008468AD" w:rsidRPr="00010F3C" w:rsidRDefault="008468AD" w:rsidP="00DB49DC">
            <w:pPr>
              <w:rPr>
                <w:rFonts w:asciiTheme="minorHAnsi" w:hAnsiTheme="minorHAnsi" w:cstheme="minorHAnsi"/>
                <w:sz w:val="18"/>
                <w:szCs w:val="18"/>
              </w:rPr>
            </w:pPr>
            <w:r w:rsidRPr="00553A24">
              <w:rPr>
                <w:rFonts w:asciiTheme="minorHAnsi" w:hAnsiTheme="minorHAnsi" w:cstheme="minorHAnsi"/>
                <w:sz w:val="18"/>
                <w:szCs w:val="18"/>
              </w:rPr>
              <w:t xml:space="preserve">and production. </w:t>
            </w:r>
            <w:r>
              <w:rPr>
                <w:rFonts w:asciiTheme="minorHAnsi" w:hAnsiTheme="minorHAnsi" w:cstheme="minorHAnsi"/>
                <w:sz w:val="18"/>
                <w:szCs w:val="18"/>
              </w:rPr>
              <w:t>C</w:t>
            </w:r>
            <w:r w:rsidRPr="00553A24">
              <w:rPr>
                <w:rFonts w:asciiTheme="minorHAnsi" w:hAnsiTheme="minorHAnsi" w:cstheme="minorHAnsi"/>
                <w:sz w:val="18"/>
                <w:szCs w:val="18"/>
              </w:rPr>
              <w:t>onfirm</w:t>
            </w:r>
            <w:r>
              <w:rPr>
                <w:rFonts w:asciiTheme="minorHAnsi" w:hAnsiTheme="minorHAnsi" w:cstheme="minorHAnsi"/>
                <w:sz w:val="18"/>
                <w:szCs w:val="18"/>
              </w:rPr>
              <w:t xml:space="preserve">ation </w:t>
            </w:r>
            <w:r w:rsidRPr="00553A24">
              <w:rPr>
                <w:rFonts w:asciiTheme="minorHAnsi" w:hAnsiTheme="minorHAnsi" w:cstheme="minorHAnsi"/>
                <w:sz w:val="18"/>
                <w:szCs w:val="18"/>
              </w:rPr>
              <w:t xml:space="preserve">by </w:t>
            </w:r>
            <w:proofErr w:type="spellStart"/>
            <w:r w:rsidRPr="00553A24">
              <w:rPr>
                <w:rFonts w:asciiTheme="minorHAnsi" w:hAnsiTheme="minorHAnsi" w:cstheme="minorHAnsi"/>
                <w:sz w:val="18"/>
                <w:szCs w:val="18"/>
              </w:rPr>
              <w:t>Gonocheck</w:t>
            </w:r>
            <w:proofErr w:type="spellEnd"/>
            <w:r w:rsidRPr="00553A24">
              <w:rPr>
                <w:rFonts w:asciiTheme="minorHAnsi" w:hAnsiTheme="minorHAnsi" w:cstheme="minorHAnsi"/>
                <w:sz w:val="18"/>
                <w:szCs w:val="18"/>
              </w:rPr>
              <w:t xml:space="preserve"> II (E-Y Laboratories).</w:t>
            </w:r>
          </w:p>
        </w:tc>
        <w:tc>
          <w:tcPr>
            <w:tcW w:w="2599" w:type="dxa"/>
          </w:tcPr>
          <w:p w:rsidR="008468AD" w:rsidRPr="00010F3C" w:rsidRDefault="008468AD" w:rsidP="00DB49DC">
            <w:pPr>
              <w:autoSpaceDE w:val="0"/>
              <w:autoSpaceDN w:val="0"/>
              <w:adjustRightInd w:val="0"/>
              <w:rPr>
                <w:rFonts w:asciiTheme="minorHAnsi" w:hAnsiTheme="minorHAnsi" w:cstheme="minorHAnsi"/>
                <w:sz w:val="18"/>
                <w:szCs w:val="18"/>
              </w:rPr>
            </w:pPr>
            <w:r w:rsidRPr="004A67E8">
              <w:rPr>
                <w:rFonts w:asciiTheme="minorHAnsi" w:hAnsiTheme="minorHAnsi" w:cstheme="minorHAnsi"/>
                <w:sz w:val="18"/>
                <w:szCs w:val="18"/>
              </w:rPr>
              <w:t>Age, race, and site and measures of contraceptive exposure</w:t>
            </w:r>
            <w:r>
              <w:rPr>
                <w:rFonts w:asciiTheme="minorHAnsi" w:hAnsiTheme="minorHAnsi" w:cstheme="minorHAnsi"/>
                <w:sz w:val="18"/>
                <w:szCs w:val="18"/>
              </w:rPr>
              <w:t xml:space="preserve">. </w:t>
            </w:r>
          </w:p>
        </w:tc>
        <w:tc>
          <w:tcPr>
            <w:tcW w:w="1309" w:type="dxa"/>
          </w:tcPr>
          <w:p w:rsidR="008468AD" w:rsidRPr="00010F3C" w:rsidRDefault="008468AD" w:rsidP="00DB49DC">
            <w:pPr>
              <w:rPr>
                <w:rFonts w:asciiTheme="minorHAnsi" w:hAnsiTheme="minorHAnsi" w:cstheme="minorHAnsi"/>
                <w:sz w:val="18"/>
                <w:szCs w:val="18"/>
              </w:rPr>
            </w:pPr>
            <w:r>
              <w:rPr>
                <w:rFonts w:asciiTheme="minorHAnsi" w:hAnsiTheme="minorHAnsi" w:cstheme="minorHAnsi"/>
                <w:sz w:val="18"/>
                <w:szCs w:val="18"/>
              </w:rPr>
              <w:t>Non-hormonal user</w:t>
            </w:r>
          </w:p>
        </w:tc>
        <w:tc>
          <w:tcPr>
            <w:tcW w:w="1207" w:type="dxa"/>
          </w:tcPr>
          <w:p w:rsidR="008468AD" w:rsidRPr="00010F3C" w:rsidRDefault="008468AD" w:rsidP="00DB49D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COC </w:t>
            </w:r>
            <w:proofErr w:type="spellStart"/>
            <w:r>
              <w:rPr>
                <w:rFonts w:asciiTheme="minorHAnsi" w:hAnsiTheme="minorHAnsi" w:cstheme="minorHAnsi"/>
                <w:color w:val="000000"/>
                <w:sz w:val="18"/>
                <w:szCs w:val="18"/>
              </w:rPr>
              <w:t>aHR</w:t>
            </w:r>
            <w:proofErr w:type="spellEnd"/>
            <w:r>
              <w:rPr>
                <w:rFonts w:asciiTheme="minorHAnsi" w:hAnsiTheme="minorHAnsi" w:cstheme="minorHAnsi"/>
                <w:color w:val="000000"/>
                <w:sz w:val="18"/>
                <w:szCs w:val="18"/>
              </w:rPr>
              <w:t>: 1.5 (0.6, 3.5)</w:t>
            </w:r>
          </w:p>
        </w:tc>
        <w:tc>
          <w:tcPr>
            <w:tcW w:w="1353" w:type="dxa"/>
          </w:tcPr>
          <w:p w:rsidR="008468AD" w:rsidRPr="00010F3C" w:rsidRDefault="008468AD" w:rsidP="00DB49DC">
            <w:pPr>
              <w:rPr>
                <w:rFonts w:asciiTheme="minorHAnsi" w:hAnsiTheme="minorHAnsi" w:cstheme="minorHAnsi"/>
                <w:sz w:val="18"/>
                <w:szCs w:val="18"/>
              </w:rPr>
            </w:pPr>
            <w:r>
              <w:rPr>
                <w:rFonts w:asciiTheme="minorHAnsi" w:hAnsiTheme="minorHAnsi" w:cstheme="minorHAnsi"/>
                <w:sz w:val="18"/>
                <w:szCs w:val="18"/>
              </w:rPr>
              <w:t xml:space="preserve">DMPA: </w:t>
            </w:r>
            <w:proofErr w:type="spellStart"/>
            <w:r>
              <w:rPr>
                <w:rFonts w:asciiTheme="minorHAnsi" w:hAnsiTheme="minorHAnsi" w:cstheme="minorHAnsi"/>
                <w:sz w:val="18"/>
                <w:szCs w:val="18"/>
              </w:rPr>
              <w:t>aHR</w:t>
            </w:r>
            <w:proofErr w:type="spellEnd"/>
            <w:r>
              <w:rPr>
                <w:rFonts w:asciiTheme="minorHAnsi" w:hAnsiTheme="minorHAnsi" w:cstheme="minorHAnsi"/>
                <w:sz w:val="18"/>
                <w:szCs w:val="18"/>
              </w:rPr>
              <w:t>: 3.6 (1.6, 8.5)</w:t>
            </w:r>
          </w:p>
        </w:tc>
        <w:tc>
          <w:tcPr>
            <w:tcW w:w="1290" w:type="dxa"/>
          </w:tcPr>
          <w:p w:rsidR="008468AD" w:rsidRPr="00010F3C" w:rsidRDefault="008468AD" w:rsidP="00DB49DC">
            <w:pPr>
              <w:rPr>
                <w:rFonts w:asciiTheme="minorHAnsi" w:hAnsiTheme="minorHAnsi" w:cstheme="minorHAnsi"/>
                <w:sz w:val="18"/>
                <w:szCs w:val="18"/>
              </w:rPr>
            </w:pPr>
            <w:r>
              <w:rPr>
                <w:rFonts w:asciiTheme="minorHAnsi" w:hAnsiTheme="minorHAnsi" w:cstheme="minorHAnsi"/>
                <w:sz w:val="18"/>
                <w:szCs w:val="18"/>
              </w:rPr>
              <w:t>NA</w:t>
            </w:r>
          </w:p>
        </w:tc>
      </w:tr>
    </w:tbl>
    <w:p w:rsidR="008468AD" w:rsidRDefault="008468AD" w:rsidP="008468AD">
      <w:pPr>
        <w:rPr>
          <w:rFonts w:asciiTheme="minorHAnsi" w:hAnsiTheme="minorHAnsi" w:cstheme="minorHAnsi"/>
          <w:sz w:val="18"/>
          <w:szCs w:val="18"/>
        </w:rPr>
      </w:pPr>
      <w:r w:rsidRPr="002811E0">
        <w:rPr>
          <w:rFonts w:asciiTheme="minorHAnsi" w:hAnsiTheme="minorHAnsi" w:cstheme="minorHAnsi"/>
          <w:color w:val="000000" w:themeColor="text1"/>
          <w:sz w:val="18"/>
          <w:szCs w:val="18"/>
        </w:rPr>
        <w:t>Notes:</w:t>
      </w:r>
      <w:r>
        <w:rPr>
          <w:rFonts w:asciiTheme="minorHAnsi" w:hAnsiTheme="minorHAnsi" w:cstheme="minorHAnsi"/>
          <w:color w:val="000000" w:themeColor="text1"/>
          <w:sz w:val="18"/>
          <w:szCs w:val="18"/>
          <w:vertAlign w:val="superscript"/>
        </w:rPr>
        <w:t xml:space="preserve"> </w:t>
      </w:r>
      <w:r w:rsidRPr="00010F3C">
        <w:rPr>
          <w:rFonts w:asciiTheme="minorHAnsi" w:hAnsiTheme="minorHAnsi" w:cstheme="minorHAnsi"/>
          <w:sz w:val="18"/>
          <w:szCs w:val="18"/>
        </w:rPr>
        <w:t>PY: person-years at risk</w:t>
      </w:r>
      <w:r>
        <w:rPr>
          <w:rFonts w:asciiTheme="minorHAnsi" w:hAnsiTheme="minorHAnsi" w:cstheme="minorHAnsi"/>
          <w:sz w:val="18"/>
          <w:szCs w:val="18"/>
        </w:rPr>
        <w:t>.</w:t>
      </w:r>
      <w:r w:rsidRPr="00F655B0">
        <w:rPr>
          <w:rFonts w:asciiTheme="minorHAnsi" w:hAnsiTheme="minorHAnsi" w:cstheme="minorHAnsi"/>
          <w:sz w:val="18"/>
          <w:szCs w:val="18"/>
        </w:rPr>
        <w:t xml:space="preserve"> </w:t>
      </w:r>
      <w:r w:rsidRPr="00010F3C">
        <w:rPr>
          <w:rFonts w:asciiTheme="minorHAnsi" w:hAnsiTheme="minorHAnsi" w:cstheme="minorHAnsi"/>
          <w:sz w:val="18"/>
          <w:szCs w:val="18"/>
        </w:rPr>
        <w:t>* Statistically significant at p&lt;0.05.</w:t>
      </w:r>
      <w:r>
        <w:rPr>
          <w:rFonts w:asciiTheme="minorHAnsi" w:hAnsiTheme="minorHAnsi" w:cstheme="minorHAnsi"/>
          <w:sz w:val="18"/>
          <w:szCs w:val="18"/>
        </w:rPr>
        <w:t xml:space="preserve"> </w:t>
      </w:r>
    </w:p>
    <w:p w:rsidR="008468AD" w:rsidRPr="00010F3C" w:rsidRDefault="008468AD" w:rsidP="008468AD">
      <w:pPr>
        <w:rPr>
          <w:rFonts w:asciiTheme="minorHAnsi" w:hAnsiTheme="minorHAnsi" w:cstheme="minorHAnsi"/>
          <w:color w:val="000000" w:themeColor="text1"/>
          <w:sz w:val="18"/>
          <w:szCs w:val="18"/>
          <w:vertAlign w:val="superscript"/>
        </w:rPr>
      </w:pPr>
      <w:r w:rsidRPr="00010F3C">
        <w:rPr>
          <w:rFonts w:asciiTheme="minorHAnsi" w:hAnsiTheme="minorHAnsi" w:cstheme="minorHAnsi"/>
          <w:color w:val="000000" w:themeColor="text1"/>
          <w:sz w:val="18"/>
          <w:szCs w:val="18"/>
          <w:vertAlign w:val="superscript"/>
        </w:rPr>
        <w:t xml:space="preserve"> </w:t>
      </w:r>
      <w:proofErr w:type="gramStart"/>
      <w:r w:rsidRPr="00010F3C">
        <w:rPr>
          <w:rFonts w:asciiTheme="minorHAnsi" w:hAnsiTheme="minorHAnsi" w:cstheme="minorHAnsi"/>
          <w:color w:val="000000" w:themeColor="text1"/>
          <w:sz w:val="18"/>
          <w:szCs w:val="18"/>
          <w:vertAlign w:val="superscript"/>
        </w:rPr>
        <w:t>a</w:t>
      </w:r>
      <w:proofErr w:type="gramEnd"/>
      <w:r w:rsidRPr="00010F3C">
        <w:rPr>
          <w:rFonts w:asciiTheme="minorHAnsi" w:hAnsiTheme="minorHAnsi" w:cstheme="minorHAnsi"/>
          <w:color w:val="000000" w:themeColor="text1"/>
          <w:sz w:val="18"/>
          <w:szCs w:val="18"/>
          <w:vertAlign w:val="superscript"/>
        </w:rPr>
        <w:t xml:space="preserve"> </w:t>
      </w:r>
      <w:r w:rsidRPr="00010F3C">
        <w:rPr>
          <w:rFonts w:asciiTheme="minorHAnsi" w:hAnsiTheme="minorHAnsi" w:cstheme="minorHAnsi"/>
          <w:sz w:val="18"/>
          <w:szCs w:val="18"/>
        </w:rPr>
        <w:t>OC</w:t>
      </w:r>
      <w:r>
        <w:rPr>
          <w:rFonts w:asciiTheme="minorHAnsi" w:hAnsiTheme="minorHAnsi" w:cstheme="minorHAnsi"/>
          <w:sz w:val="18"/>
          <w:szCs w:val="18"/>
        </w:rPr>
        <w:t>P</w:t>
      </w:r>
      <w:r w:rsidRPr="00010F3C">
        <w:rPr>
          <w:rFonts w:asciiTheme="minorHAnsi" w:hAnsiTheme="minorHAnsi" w:cstheme="minorHAnsi"/>
          <w:sz w:val="18"/>
          <w:szCs w:val="18"/>
        </w:rPr>
        <w:t xml:space="preserve"> </w:t>
      </w:r>
      <w:r>
        <w:rPr>
          <w:rFonts w:asciiTheme="minorHAnsi" w:hAnsiTheme="minorHAnsi" w:cstheme="minorHAnsi"/>
          <w:sz w:val="18"/>
          <w:szCs w:val="18"/>
        </w:rPr>
        <w:t xml:space="preserve">type </w:t>
      </w:r>
      <w:r w:rsidRPr="00010F3C">
        <w:rPr>
          <w:rFonts w:asciiTheme="minorHAnsi" w:hAnsiTheme="minorHAnsi" w:cstheme="minorHAnsi"/>
          <w:sz w:val="18"/>
          <w:szCs w:val="18"/>
        </w:rPr>
        <w:t xml:space="preserve">was unspecified unless COC </w:t>
      </w:r>
      <w:r>
        <w:rPr>
          <w:rFonts w:asciiTheme="minorHAnsi" w:hAnsiTheme="minorHAnsi" w:cstheme="minorHAnsi"/>
          <w:sz w:val="18"/>
          <w:szCs w:val="18"/>
        </w:rPr>
        <w:t>(</w:t>
      </w:r>
      <w:r w:rsidRPr="00010F3C">
        <w:rPr>
          <w:rFonts w:asciiTheme="minorHAnsi" w:hAnsiTheme="minorHAnsi" w:cstheme="minorHAnsi"/>
          <w:sz w:val="18"/>
          <w:szCs w:val="18"/>
        </w:rPr>
        <w:t>combined oral contraception</w:t>
      </w:r>
      <w:r>
        <w:rPr>
          <w:rFonts w:asciiTheme="minorHAnsi" w:hAnsiTheme="minorHAnsi" w:cstheme="minorHAnsi"/>
          <w:sz w:val="18"/>
          <w:szCs w:val="18"/>
        </w:rPr>
        <w:t>) or POP (progestin-only pill</w:t>
      </w:r>
      <w:r w:rsidRPr="00010F3C">
        <w:rPr>
          <w:rFonts w:asciiTheme="minorHAnsi" w:hAnsiTheme="minorHAnsi" w:cstheme="minorHAnsi"/>
          <w:sz w:val="18"/>
          <w:szCs w:val="18"/>
        </w:rPr>
        <w:t xml:space="preserve">) is noted. </w:t>
      </w:r>
    </w:p>
    <w:p w:rsidR="008468AD" w:rsidRPr="00010F3C" w:rsidRDefault="008468AD" w:rsidP="008468AD">
      <w:pPr>
        <w:rPr>
          <w:rFonts w:asciiTheme="minorHAnsi" w:hAnsiTheme="minorHAnsi" w:cstheme="minorHAnsi"/>
          <w:color w:val="FF0000"/>
          <w:sz w:val="18"/>
          <w:szCs w:val="18"/>
        </w:rPr>
      </w:pPr>
      <w:r>
        <w:rPr>
          <w:rFonts w:asciiTheme="minorHAnsi" w:hAnsiTheme="minorHAnsi" w:cstheme="minorHAnsi"/>
          <w:color w:val="000000" w:themeColor="text1"/>
          <w:sz w:val="18"/>
          <w:szCs w:val="18"/>
          <w:vertAlign w:val="superscript"/>
        </w:rPr>
        <w:t xml:space="preserve">b </w:t>
      </w:r>
      <w:r w:rsidRPr="00010F3C">
        <w:rPr>
          <w:rFonts w:asciiTheme="minorHAnsi" w:hAnsiTheme="minorHAnsi" w:cstheme="minorHAnsi"/>
          <w:color w:val="000000" w:themeColor="text1"/>
          <w:sz w:val="18"/>
          <w:szCs w:val="18"/>
        </w:rPr>
        <w:t xml:space="preserve">Incidence is new cases of NG or CT during study period, divided by number of women at risk; cases at baseline excluded. </w:t>
      </w:r>
    </w:p>
    <w:p w:rsidR="008468AD" w:rsidRDefault="008468AD" w:rsidP="008468AD"/>
    <w:p w:rsidR="001C1BDE" w:rsidRDefault="001C1BDE">
      <w:bookmarkStart w:id="0" w:name="_GoBack"/>
      <w:bookmarkEnd w:id="0"/>
    </w:p>
    <w:sectPr w:rsidR="001C1BDE" w:rsidSect="00B26D4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AD"/>
    <w:rsid w:val="001C1BDE"/>
    <w:rsid w:val="003F5C4C"/>
    <w:rsid w:val="00484844"/>
    <w:rsid w:val="008468AD"/>
    <w:rsid w:val="00894BCC"/>
    <w:rsid w:val="008D746A"/>
    <w:rsid w:val="00D7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29960-8375-42DE-AF0B-EC73B9BA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468AD"/>
    <w:rPr>
      <w:rFonts w:ascii="Times" w:eastAsiaTheme="minorHAnsi" w:hAnsi="Times"/>
      <w:sz w:val="14"/>
      <w:szCs w:val="14"/>
    </w:rPr>
  </w:style>
  <w:style w:type="table" w:styleId="TableGrid">
    <w:name w:val="Table Grid"/>
    <w:basedOn w:val="TableNormal"/>
    <w:uiPriority w:val="39"/>
    <w:rsid w:val="008468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Detweiler, Rachelle</dc:creator>
  <cp:keywords/>
  <dc:description/>
  <cp:lastModifiedBy>Detweiler, Rachelle</cp:lastModifiedBy>
  <cp:revision>1</cp:revision>
  <dcterms:created xsi:type="dcterms:W3CDTF">2019-03-06T21:26:00Z</dcterms:created>
  <dcterms:modified xsi:type="dcterms:W3CDTF">2019-03-06T21:27:00Z</dcterms:modified>
</cp:coreProperties>
</file>