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974D1" w14:textId="77777777" w:rsidR="006F0DBF" w:rsidRPr="00F958A6" w:rsidRDefault="006F0DBF" w:rsidP="006F0DBF">
      <w:pPr>
        <w:outlineLvl w:val="0"/>
        <w:rPr>
          <w:rFonts w:asciiTheme="minorHAnsi" w:hAnsiTheme="minorHAnsi" w:cstheme="minorHAnsi"/>
          <w:b/>
          <w:sz w:val="22"/>
          <w:szCs w:val="18"/>
        </w:rPr>
      </w:pPr>
      <w:r>
        <w:rPr>
          <w:rFonts w:asciiTheme="minorHAnsi" w:hAnsiTheme="minorHAnsi" w:cstheme="minorHAnsi"/>
          <w:b/>
          <w:sz w:val="22"/>
          <w:szCs w:val="18"/>
        </w:rPr>
        <w:t>Table 10</w:t>
      </w:r>
      <w:r w:rsidRPr="00010F3C">
        <w:rPr>
          <w:rFonts w:asciiTheme="minorHAnsi" w:hAnsiTheme="minorHAnsi" w:cstheme="minorHAnsi"/>
          <w:b/>
          <w:sz w:val="22"/>
          <w:szCs w:val="18"/>
        </w:rPr>
        <w:t xml:space="preserve">. Prospective associations between hormonal contraceptive use and </w:t>
      </w:r>
      <w:r w:rsidRPr="00C25E3E">
        <w:rPr>
          <w:rFonts w:asciiTheme="minorHAnsi" w:hAnsiTheme="minorHAnsi" w:cstheme="minorHAnsi"/>
          <w:b/>
          <w:i/>
          <w:sz w:val="22"/>
          <w:szCs w:val="18"/>
        </w:rPr>
        <w:t>T. vaginalis</w:t>
      </w:r>
      <w:r w:rsidRPr="00010F3C">
        <w:rPr>
          <w:rFonts w:asciiTheme="minorHAnsi" w:hAnsiTheme="minorHAnsi" w:cstheme="minorHAnsi"/>
          <w:b/>
          <w:sz w:val="22"/>
          <w:szCs w:val="18"/>
        </w:rPr>
        <w:t xml:space="preserve"> (TV) (N=</w:t>
      </w:r>
      <w:r>
        <w:rPr>
          <w:rFonts w:asciiTheme="minorHAnsi" w:hAnsiTheme="minorHAnsi" w:cstheme="minorHAnsi"/>
          <w:b/>
          <w:sz w:val="22"/>
          <w:szCs w:val="18"/>
        </w:rPr>
        <w:t>9</w:t>
      </w:r>
      <w:r w:rsidRPr="00010F3C">
        <w:rPr>
          <w:rFonts w:asciiTheme="minorHAnsi" w:hAnsiTheme="minorHAnsi" w:cstheme="minorHAnsi"/>
          <w:b/>
          <w:sz w:val="22"/>
          <w:szCs w:val="18"/>
        </w:rPr>
        <w:t xml:space="preserve">). </w:t>
      </w:r>
    </w:p>
    <w:tbl>
      <w:tblPr>
        <w:tblStyle w:val="TableGrid"/>
        <w:tblW w:w="13225" w:type="dxa"/>
        <w:tblLayout w:type="fixed"/>
        <w:tblLook w:val="04A0" w:firstRow="1" w:lastRow="0" w:firstColumn="1" w:lastColumn="0" w:noHBand="0" w:noVBand="1"/>
      </w:tblPr>
      <w:tblGrid>
        <w:gridCol w:w="1144"/>
        <w:gridCol w:w="1554"/>
        <w:gridCol w:w="1175"/>
        <w:gridCol w:w="1537"/>
        <w:gridCol w:w="2325"/>
        <w:gridCol w:w="1488"/>
        <w:gridCol w:w="1458"/>
        <w:gridCol w:w="1290"/>
        <w:gridCol w:w="1254"/>
      </w:tblGrid>
      <w:tr w:rsidR="006F0DBF" w:rsidRPr="00010F3C" w14:paraId="638E82ED" w14:textId="77777777" w:rsidTr="00C51E46">
        <w:trPr>
          <w:trHeight w:val="1106"/>
          <w:tblHeader/>
        </w:trPr>
        <w:tc>
          <w:tcPr>
            <w:tcW w:w="1144" w:type="dxa"/>
          </w:tcPr>
          <w:p w14:paraId="2BD36FD6" w14:textId="77777777" w:rsidR="006F0DBF" w:rsidRPr="00010F3C" w:rsidRDefault="006F0DBF" w:rsidP="00C51E46">
            <w:pPr>
              <w:rPr>
                <w:rFonts w:asciiTheme="minorHAnsi" w:hAnsiTheme="minorHAnsi" w:cstheme="minorHAnsi"/>
                <w:b/>
                <w:sz w:val="20"/>
                <w:szCs w:val="18"/>
              </w:rPr>
            </w:pPr>
            <w:r w:rsidRPr="00010F3C">
              <w:rPr>
                <w:rFonts w:asciiTheme="minorHAnsi" w:hAnsiTheme="minorHAnsi" w:cstheme="minorHAnsi"/>
                <w:b/>
                <w:sz w:val="20"/>
                <w:szCs w:val="18"/>
              </w:rPr>
              <w:t>Study</w:t>
            </w:r>
          </w:p>
        </w:tc>
        <w:tc>
          <w:tcPr>
            <w:tcW w:w="1554" w:type="dxa"/>
          </w:tcPr>
          <w:p w14:paraId="69762C85" w14:textId="77777777" w:rsidR="006F0DBF" w:rsidRPr="00010F3C" w:rsidRDefault="006F0DBF" w:rsidP="00C51E46">
            <w:pPr>
              <w:rPr>
                <w:rFonts w:asciiTheme="minorHAnsi" w:hAnsiTheme="minorHAnsi" w:cstheme="minorHAnsi"/>
                <w:b/>
                <w:sz w:val="20"/>
                <w:szCs w:val="18"/>
              </w:rPr>
            </w:pPr>
            <w:r w:rsidRPr="00010F3C">
              <w:rPr>
                <w:rFonts w:asciiTheme="minorHAnsi" w:hAnsiTheme="minorHAnsi" w:cstheme="minorHAnsi"/>
                <w:b/>
                <w:sz w:val="20"/>
                <w:szCs w:val="18"/>
              </w:rPr>
              <w:t>N, study sample</w:t>
            </w:r>
          </w:p>
        </w:tc>
        <w:tc>
          <w:tcPr>
            <w:tcW w:w="1175" w:type="dxa"/>
          </w:tcPr>
          <w:p w14:paraId="7596EAF7" w14:textId="77777777" w:rsidR="006F0DBF" w:rsidRPr="00010F3C" w:rsidRDefault="006F0DBF" w:rsidP="00C51E46">
            <w:pPr>
              <w:rPr>
                <w:rFonts w:asciiTheme="minorHAnsi" w:hAnsiTheme="minorHAnsi" w:cstheme="minorHAnsi"/>
                <w:b/>
                <w:sz w:val="20"/>
                <w:szCs w:val="18"/>
              </w:rPr>
            </w:pPr>
            <w:r w:rsidRPr="00010F3C">
              <w:rPr>
                <w:rFonts w:asciiTheme="minorHAnsi" w:hAnsiTheme="minorHAnsi" w:cstheme="minorHAnsi"/>
                <w:b/>
                <w:sz w:val="20"/>
                <w:szCs w:val="18"/>
              </w:rPr>
              <w:t>Length of follow-up; frequency STI assessment</w:t>
            </w:r>
          </w:p>
        </w:tc>
        <w:tc>
          <w:tcPr>
            <w:tcW w:w="1537" w:type="dxa"/>
          </w:tcPr>
          <w:p w14:paraId="39C10137" w14:textId="77777777" w:rsidR="006F0DBF" w:rsidRPr="00010F3C" w:rsidRDefault="006F0DBF" w:rsidP="00C51E46">
            <w:pPr>
              <w:rPr>
                <w:rFonts w:asciiTheme="minorHAnsi" w:hAnsiTheme="minorHAnsi" w:cstheme="minorHAnsi"/>
                <w:b/>
                <w:sz w:val="20"/>
                <w:szCs w:val="18"/>
              </w:rPr>
            </w:pPr>
            <w:r w:rsidRPr="00010F3C">
              <w:rPr>
                <w:rFonts w:asciiTheme="minorHAnsi" w:hAnsiTheme="minorHAnsi" w:cstheme="minorHAnsi"/>
                <w:b/>
                <w:sz w:val="20"/>
                <w:szCs w:val="18"/>
              </w:rPr>
              <w:t>STI diagnostic test</w:t>
            </w:r>
          </w:p>
        </w:tc>
        <w:tc>
          <w:tcPr>
            <w:tcW w:w="2325" w:type="dxa"/>
          </w:tcPr>
          <w:p w14:paraId="3C585BA5" w14:textId="77777777" w:rsidR="006F0DBF" w:rsidRPr="00010F3C" w:rsidRDefault="006F0DBF" w:rsidP="00C51E46">
            <w:pPr>
              <w:rPr>
                <w:rFonts w:asciiTheme="minorHAnsi" w:hAnsiTheme="minorHAnsi" w:cstheme="minorHAnsi"/>
                <w:b/>
                <w:sz w:val="20"/>
                <w:szCs w:val="18"/>
              </w:rPr>
            </w:pPr>
            <w:r w:rsidRPr="00010F3C">
              <w:rPr>
                <w:rFonts w:asciiTheme="minorHAnsi" w:hAnsiTheme="minorHAnsi" w:cstheme="minorHAnsi"/>
                <w:b/>
                <w:sz w:val="20"/>
                <w:szCs w:val="18"/>
              </w:rPr>
              <w:t>Covariates</w:t>
            </w:r>
          </w:p>
        </w:tc>
        <w:tc>
          <w:tcPr>
            <w:tcW w:w="1488" w:type="dxa"/>
          </w:tcPr>
          <w:p w14:paraId="24C0996B" w14:textId="77777777" w:rsidR="006F0DBF" w:rsidRPr="00010F3C" w:rsidRDefault="006F0DBF" w:rsidP="00C51E46">
            <w:pPr>
              <w:rPr>
                <w:rFonts w:asciiTheme="minorHAnsi" w:hAnsiTheme="minorHAnsi" w:cstheme="minorHAnsi"/>
                <w:b/>
                <w:sz w:val="20"/>
                <w:szCs w:val="18"/>
              </w:rPr>
            </w:pPr>
            <w:r w:rsidRPr="00010F3C">
              <w:rPr>
                <w:rFonts w:asciiTheme="minorHAnsi" w:hAnsiTheme="minorHAnsi" w:cstheme="minorHAnsi"/>
                <w:b/>
                <w:sz w:val="20"/>
                <w:szCs w:val="18"/>
              </w:rPr>
              <w:t>Reference group</w:t>
            </w:r>
          </w:p>
        </w:tc>
        <w:tc>
          <w:tcPr>
            <w:tcW w:w="1458" w:type="dxa"/>
          </w:tcPr>
          <w:p w14:paraId="0BCA547F" w14:textId="77777777" w:rsidR="006F0DBF" w:rsidRPr="00010F3C" w:rsidRDefault="006F0DBF" w:rsidP="00C51E46">
            <w:pPr>
              <w:rPr>
                <w:rFonts w:asciiTheme="minorHAnsi" w:hAnsiTheme="minorHAnsi" w:cstheme="minorHAnsi"/>
                <w:b/>
                <w:sz w:val="20"/>
                <w:szCs w:val="18"/>
              </w:rPr>
            </w:pPr>
            <w:proofErr w:type="spellStart"/>
            <w:r w:rsidRPr="00010F3C">
              <w:rPr>
                <w:rFonts w:asciiTheme="minorHAnsi" w:hAnsiTheme="minorHAnsi" w:cstheme="minorHAnsi"/>
                <w:b/>
                <w:sz w:val="20"/>
                <w:szCs w:val="18"/>
              </w:rPr>
              <w:t>OC</w:t>
            </w:r>
            <w:r>
              <w:rPr>
                <w:rFonts w:asciiTheme="minorHAnsi" w:hAnsiTheme="minorHAnsi" w:cstheme="minorHAnsi"/>
                <w:b/>
                <w:sz w:val="20"/>
                <w:szCs w:val="18"/>
              </w:rPr>
              <w:t>P</w:t>
            </w:r>
            <w:r w:rsidRPr="002811E0">
              <w:rPr>
                <w:rFonts w:asciiTheme="minorHAnsi" w:hAnsiTheme="minorHAnsi" w:cstheme="minorHAnsi"/>
                <w:sz w:val="20"/>
                <w:szCs w:val="18"/>
                <w:vertAlign w:val="superscript"/>
              </w:rPr>
              <w:t>a</w:t>
            </w:r>
            <w:proofErr w:type="spellEnd"/>
          </w:p>
        </w:tc>
        <w:tc>
          <w:tcPr>
            <w:tcW w:w="1290" w:type="dxa"/>
          </w:tcPr>
          <w:p w14:paraId="6C184F92" w14:textId="77777777" w:rsidR="006F0DBF" w:rsidRPr="00010F3C" w:rsidRDefault="006F0DBF" w:rsidP="00C51E46">
            <w:pPr>
              <w:rPr>
                <w:rFonts w:asciiTheme="minorHAnsi" w:hAnsiTheme="minorHAnsi" w:cstheme="minorHAnsi"/>
                <w:b/>
                <w:sz w:val="20"/>
                <w:szCs w:val="18"/>
              </w:rPr>
            </w:pPr>
            <w:r w:rsidRPr="00010F3C">
              <w:rPr>
                <w:rFonts w:asciiTheme="minorHAnsi" w:hAnsiTheme="minorHAnsi" w:cstheme="minorHAnsi"/>
                <w:b/>
                <w:sz w:val="20"/>
                <w:szCs w:val="18"/>
              </w:rPr>
              <w:t>Injectable</w:t>
            </w:r>
          </w:p>
        </w:tc>
        <w:tc>
          <w:tcPr>
            <w:tcW w:w="1254" w:type="dxa"/>
          </w:tcPr>
          <w:p w14:paraId="7BB18028" w14:textId="77777777" w:rsidR="006F0DBF" w:rsidRPr="00010F3C" w:rsidRDefault="006F0DBF" w:rsidP="00C51E46">
            <w:pPr>
              <w:rPr>
                <w:rFonts w:asciiTheme="minorHAnsi" w:hAnsiTheme="minorHAnsi" w:cstheme="minorHAnsi"/>
                <w:b/>
                <w:sz w:val="20"/>
                <w:szCs w:val="18"/>
              </w:rPr>
            </w:pPr>
            <w:r w:rsidRPr="00010F3C">
              <w:rPr>
                <w:rFonts w:asciiTheme="minorHAnsi" w:hAnsiTheme="minorHAnsi" w:cstheme="minorHAnsi"/>
                <w:b/>
                <w:sz w:val="20"/>
                <w:szCs w:val="18"/>
              </w:rPr>
              <w:t>Implant or combined HC</w:t>
            </w:r>
          </w:p>
        </w:tc>
      </w:tr>
      <w:tr w:rsidR="006F0DBF" w:rsidRPr="00010F3C" w14:paraId="69DB4D1F" w14:textId="77777777" w:rsidTr="00C51E46">
        <w:tc>
          <w:tcPr>
            <w:tcW w:w="1144" w:type="dxa"/>
          </w:tcPr>
          <w:p w14:paraId="6D41BCCD" w14:textId="77777777" w:rsidR="006F0DBF" w:rsidRPr="00010F3C" w:rsidRDefault="006F0DBF" w:rsidP="00C51E46">
            <w:pPr>
              <w:rPr>
                <w:rFonts w:asciiTheme="minorHAnsi" w:hAnsiTheme="minorHAnsi" w:cstheme="minorHAnsi"/>
                <w:sz w:val="18"/>
                <w:szCs w:val="18"/>
              </w:rPr>
            </w:pPr>
            <w:proofErr w:type="spellStart"/>
            <w:r w:rsidRPr="00010F3C">
              <w:rPr>
                <w:rFonts w:asciiTheme="minorHAnsi" w:hAnsiTheme="minorHAnsi" w:cstheme="minorHAnsi"/>
                <w:sz w:val="18"/>
                <w:szCs w:val="18"/>
              </w:rPr>
              <w:t>Balkus</w:t>
            </w:r>
            <w:proofErr w:type="spellEnd"/>
            <w:r w:rsidRPr="00010F3C">
              <w:rPr>
                <w:rFonts w:asciiTheme="minorHAnsi" w:hAnsiTheme="minorHAnsi" w:cstheme="minorHAnsi"/>
                <w:sz w:val="18"/>
                <w:szCs w:val="18"/>
              </w:rPr>
              <w:t>, 2014</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{"citationItems":[{"id":"ITEM-1","itemData":{"DOI":"10.1097/OLQ.0000000000000075","ISSN":"0148-5717","PMID":"24413493","abstract":"BACKGROUND The vaginal microbiota may play a role in mediating susceptibility to sexually transmitted infections, including Trichomonas vaginalis (TV). METHODS Data were analyzed from HIV-1-seronegative women participating in HIV Prevention Trials Network Protocol 035. At quarterly visits for up to 30 months, participants completed structured interviews and specimens were collected for genital tract infection testing. T. vaginalis was detected by saline microscopy. Bacterial vaginosis (BV) was characterized by Gram stain using the Nugent score (BV = 7-10; intermediate = 4-6; normal = 0-3 [reference group]). Cox proportional hazards models stratified by study site were used to assess the association between Nugent score category at the prior quarterly visit and TV acquisition. RESULTS In this secondary analysis, 2920 participants from Malawi, South Africa, United States, Zambia, and Zimbabwe contributed 16,259 follow-up visits. Bacterial vaginosis was detected at 5680 (35%) visits, and TV was detected at 400 (2.5%) visits. Adjusting for age, marital status, hormonal contraceptive use, unprotected sex in the last week and TV at baseline, intermediate Nugent score, and BV at the prior visit were associated with an increased risk of TV (intermediate score: adjusted hazard ratio [aHR], 1.73; 95% confidence interval [CI], 1.21-2.19; BV: aHR, 2.40; 95% CI, 1.92-3.00). Sensitivity analyses excluding 211 participants with TV at baseline were similar to those from the full study population (intermediate score: aHR, 1.54; 95% CI, 1.10-2.14; BV: aHR, 2.23; 95% CI, 1.75-2.84). CONCLUSIONS Women with a Nugent score higher than 3 were at an increased risk for acquiring TV. If this relationship is causal, interventions that improve the vaginal microbiota could contribute to reductions in TV incidence.","author":[{"dropping-particle":"","family":"Balkus","given":"Jennifer E.","non-dropping-particle":"","parse-names":false,"suffix":""},{"dropping-particle":"","family":"Richardson","given":"Barbra A.","non-dropping-particle":"","parse-names":false,"suffix":""},{"dropping-particle":"","family":"Rabe","given":"Lorna K.","non-dropping-particle":"","parse-names":false,"suffix":""},{"dropping-particle":"","family":"Taha","given":"Taha E.","non-dropping-particle":"","parse-names":false,"suffix":""},{"dropping-particle":"","family":"Mgodi","given":"Nyaradzo","non-dropping-particle":"","parse-names":false,"suffix":""},{"dropping-particle":"","family":"Kasaro","given":"Margaret Phiri","non-dropping-particle":"","parse-names":false,"suffix":""},{"dropping-particle":"","family":"Ramjee","given":"Gita","non-dropping-particle":"","parse-names":false,"suffix":""},{"dropping-particle":"","family":"Hoffman","given":"Irving F.","non-dropping-particle":"","parse-names":false,"suffix":""},{"dropping-particle":"","family":"Abdool Karim","given":"Salim S.","non-dropping-particle":"","parse-names":false,"suffix":""}],"container-title":"Sexually Transmitted Diseases","id":"ITEM-1","issue":"2","issued":{"date-parts":[["2014","2"]]},"page":"123-128","title":"Bacterial vaginosis and the risk of Trichomonas vaginalis acquisition among HIV-1–negative women","type":"article-journal","volume":"41"},"uris":["http://www.mendeley.com/documents/?uuid=02d16161-85ff-3c60-a867-f2f4b07cd0b4"]}],"mendeley":{"formattedCitation":"[34]","plainTextFormattedCitation":"[34]","previouslyFormattedCitation":"[34]"},"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[34]</w:t>
            </w:r>
            <w:r>
              <w:rPr>
                <w:rFonts w:asciiTheme="minorHAnsi" w:hAnsiTheme="minorHAnsi" w:cstheme="minorHAnsi"/>
                <w:sz w:val="18"/>
                <w:szCs w:val="18"/>
              </w:rPr>
              <w:fldChar w:fldCharType="end"/>
            </w:r>
          </w:p>
        </w:tc>
        <w:tc>
          <w:tcPr>
            <w:tcW w:w="1554" w:type="dxa"/>
          </w:tcPr>
          <w:p w14:paraId="0DF4E43C" w14:textId="77777777" w:rsidR="006F0DBF" w:rsidRPr="00010F3C" w:rsidRDefault="006F0DBF" w:rsidP="00C51E46">
            <w:pPr>
              <w:rPr>
                <w:rFonts w:asciiTheme="minorHAnsi" w:hAnsiTheme="minorHAnsi" w:cstheme="minorHAnsi"/>
                <w:i/>
                <w:sz w:val="18"/>
                <w:szCs w:val="18"/>
              </w:rPr>
            </w:pPr>
            <w:r w:rsidRPr="00010F3C">
              <w:rPr>
                <w:rFonts w:asciiTheme="minorHAnsi" w:hAnsiTheme="minorHAnsi" w:cstheme="minorHAnsi"/>
                <w:sz w:val="18"/>
                <w:szCs w:val="18"/>
              </w:rPr>
              <w:t xml:space="preserve">2920, HIV-negative women ages 18+ with no-drug use in past 12M in Blantyre, Lilongwe Malawi; Durban, Hlabisa, South Africa; Philadelphia USA; Lusaka Zambia; Harare, Chitungwiza, Zimbabwe, Detection at </w:t>
            </w:r>
            <w:r w:rsidRPr="00010F3C">
              <w:rPr>
                <w:rFonts w:asciiTheme="minorHAnsi" w:hAnsiTheme="minorHAnsi" w:cstheme="minorHAnsi"/>
                <w:i/>
                <w:sz w:val="18"/>
                <w:szCs w:val="18"/>
              </w:rPr>
              <w:t xml:space="preserve">N=400 of 16,259 </w:t>
            </w:r>
            <w:proofErr w:type="spellStart"/>
            <w:r w:rsidRPr="00010F3C">
              <w:rPr>
                <w:rFonts w:asciiTheme="minorHAnsi" w:hAnsiTheme="minorHAnsi" w:cstheme="minorHAnsi"/>
                <w:i/>
                <w:sz w:val="18"/>
                <w:szCs w:val="18"/>
              </w:rPr>
              <w:t>visits</w:t>
            </w:r>
            <w:r>
              <w:rPr>
                <w:rFonts w:asciiTheme="minorHAnsi" w:hAnsiTheme="minorHAnsi" w:cstheme="minorHAnsi"/>
                <w:i/>
                <w:sz w:val="18"/>
                <w:szCs w:val="18"/>
                <w:vertAlign w:val="superscript"/>
              </w:rPr>
              <w:t>d</w:t>
            </w:r>
            <w:proofErr w:type="spellEnd"/>
          </w:p>
        </w:tc>
        <w:tc>
          <w:tcPr>
            <w:tcW w:w="1175" w:type="dxa"/>
          </w:tcPr>
          <w:p w14:paraId="06E48AAC" w14:textId="77777777" w:rsidR="006F0DBF" w:rsidRPr="00010F3C" w:rsidRDefault="006F0DBF" w:rsidP="00C51E46">
            <w:pPr>
              <w:pStyle w:val="p1"/>
              <w:rPr>
                <w:rFonts w:asciiTheme="minorHAnsi" w:hAnsiTheme="minorHAnsi" w:cstheme="minorHAnsi"/>
                <w:sz w:val="18"/>
                <w:szCs w:val="18"/>
              </w:rPr>
            </w:pPr>
            <w:r w:rsidRPr="00010F3C">
              <w:rPr>
                <w:rFonts w:asciiTheme="minorHAnsi" w:hAnsiTheme="minorHAnsi" w:cstheme="minorHAnsi"/>
                <w:sz w:val="18"/>
                <w:szCs w:val="18"/>
              </w:rPr>
              <w:t>12 to 30 M; 0M, 12M, 30M (or study exit)</w:t>
            </w:r>
          </w:p>
        </w:tc>
        <w:tc>
          <w:tcPr>
            <w:tcW w:w="1537" w:type="dxa"/>
          </w:tcPr>
          <w:p w14:paraId="08A896CB"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Vaginal wet mount via saline microscopy</w:t>
            </w:r>
          </w:p>
        </w:tc>
        <w:tc>
          <w:tcPr>
            <w:tcW w:w="2325" w:type="dxa"/>
          </w:tcPr>
          <w:p w14:paraId="46ADA6F6" w14:textId="77777777" w:rsidR="006F0DBF" w:rsidRPr="00010F3C" w:rsidRDefault="006F0DBF" w:rsidP="00C51E46">
            <w:pPr>
              <w:autoSpaceDE w:val="0"/>
              <w:autoSpaceDN w:val="0"/>
              <w:adjustRightInd w:val="0"/>
              <w:rPr>
                <w:rFonts w:asciiTheme="minorHAnsi" w:hAnsiTheme="minorHAnsi" w:cstheme="minorHAnsi"/>
                <w:sz w:val="18"/>
                <w:szCs w:val="20"/>
              </w:rPr>
            </w:pPr>
            <w:r w:rsidRPr="00010F3C">
              <w:rPr>
                <w:rFonts w:asciiTheme="minorHAnsi" w:hAnsiTheme="minorHAnsi" w:cstheme="minorHAnsi"/>
                <w:sz w:val="18"/>
                <w:szCs w:val="20"/>
              </w:rPr>
              <w:t xml:space="preserve">Age, marital status, unprotected sex in </w:t>
            </w:r>
            <w:r w:rsidRPr="00010F3C">
              <w:rPr>
                <w:rFonts w:asciiTheme="minorHAnsi" w:hAnsiTheme="minorHAnsi" w:cstheme="minorHAnsi"/>
                <w:color w:val="000000" w:themeColor="text1"/>
                <w:sz w:val="18"/>
                <w:szCs w:val="20"/>
              </w:rPr>
              <w:t xml:space="preserve">the last week, T. vaginalis at baseline, intermediate Nugent score, BV at prior </w:t>
            </w:r>
            <w:r w:rsidRPr="00010F3C">
              <w:rPr>
                <w:rFonts w:asciiTheme="minorHAnsi" w:hAnsiTheme="minorHAnsi" w:cstheme="minorHAnsi"/>
                <w:sz w:val="18"/>
                <w:szCs w:val="20"/>
              </w:rPr>
              <w:t>visit</w:t>
            </w:r>
          </w:p>
          <w:p w14:paraId="0EEB1492" w14:textId="77777777" w:rsidR="006F0DBF" w:rsidRPr="00010F3C" w:rsidRDefault="006F0DBF" w:rsidP="00C51E46">
            <w:pPr>
              <w:autoSpaceDE w:val="0"/>
              <w:autoSpaceDN w:val="0"/>
              <w:adjustRightInd w:val="0"/>
              <w:rPr>
                <w:rFonts w:asciiTheme="minorHAnsi" w:hAnsiTheme="minorHAnsi" w:cstheme="minorHAnsi"/>
                <w:sz w:val="20"/>
                <w:szCs w:val="20"/>
              </w:rPr>
            </w:pPr>
          </w:p>
          <w:p w14:paraId="6B80D969" w14:textId="77777777" w:rsidR="006F0DBF" w:rsidRPr="00010F3C" w:rsidRDefault="006F0DBF" w:rsidP="00C51E46">
            <w:pPr>
              <w:autoSpaceDE w:val="0"/>
              <w:autoSpaceDN w:val="0"/>
              <w:adjustRightInd w:val="0"/>
              <w:rPr>
                <w:rFonts w:asciiTheme="minorHAnsi" w:hAnsiTheme="minorHAnsi" w:cstheme="minorHAnsi"/>
                <w:sz w:val="20"/>
                <w:szCs w:val="20"/>
              </w:rPr>
            </w:pPr>
          </w:p>
        </w:tc>
        <w:tc>
          <w:tcPr>
            <w:tcW w:w="1488" w:type="dxa"/>
          </w:tcPr>
          <w:p w14:paraId="49219013"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Non-pregnant non-hormonal </w:t>
            </w:r>
            <w:r>
              <w:rPr>
                <w:rFonts w:asciiTheme="minorHAnsi" w:hAnsiTheme="minorHAnsi" w:cstheme="minorHAnsi"/>
                <w:sz w:val="18"/>
                <w:szCs w:val="18"/>
              </w:rPr>
              <w:t>user</w:t>
            </w:r>
          </w:p>
        </w:tc>
        <w:tc>
          <w:tcPr>
            <w:tcW w:w="1458" w:type="dxa"/>
          </w:tcPr>
          <w:p w14:paraId="27A0F75B"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OC</w:t>
            </w:r>
            <w:r>
              <w:rPr>
                <w:rFonts w:asciiTheme="minorHAnsi" w:hAnsiTheme="minorHAnsi" w:cstheme="minorHAnsi"/>
                <w:sz w:val="18"/>
                <w:szCs w:val="18"/>
              </w:rPr>
              <w:t>P</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xml:space="preserve">: 0.64 (0.47, </w:t>
            </w:r>
            <w:proofErr w:type="gramStart"/>
            <w:r w:rsidRPr="00010F3C">
              <w:rPr>
                <w:rFonts w:asciiTheme="minorHAnsi" w:hAnsiTheme="minorHAnsi" w:cstheme="minorHAnsi"/>
                <w:sz w:val="18"/>
                <w:szCs w:val="18"/>
              </w:rPr>
              <w:t>0.89)</w:t>
            </w:r>
            <w:r>
              <w:rPr>
                <w:rFonts w:asciiTheme="minorHAnsi" w:hAnsiTheme="minorHAnsi" w:cstheme="minorHAnsi"/>
                <w:sz w:val="18"/>
                <w:szCs w:val="18"/>
              </w:rPr>
              <w:t>*</w:t>
            </w:r>
            <w:proofErr w:type="gramEnd"/>
          </w:p>
        </w:tc>
        <w:tc>
          <w:tcPr>
            <w:tcW w:w="1290" w:type="dxa"/>
          </w:tcPr>
          <w:p w14:paraId="653E185A"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Injectable (type not specified) </w:t>
            </w: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xml:space="preserve">: 0.60 (0.47, </w:t>
            </w:r>
            <w:proofErr w:type="gramStart"/>
            <w:r w:rsidRPr="00010F3C">
              <w:rPr>
                <w:rFonts w:asciiTheme="minorHAnsi" w:hAnsiTheme="minorHAnsi" w:cstheme="minorHAnsi"/>
                <w:sz w:val="18"/>
                <w:szCs w:val="18"/>
              </w:rPr>
              <w:t>0.78)</w:t>
            </w:r>
            <w:r>
              <w:rPr>
                <w:rFonts w:asciiTheme="minorHAnsi" w:hAnsiTheme="minorHAnsi" w:cstheme="minorHAnsi"/>
                <w:sz w:val="18"/>
                <w:szCs w:val="18"/>
              </w:rPr>
              <w:t>*</w:t>
            </w:r>
            <w:proofErr w:type="gramEnd"/>
          </w:p>
        </w:tc>
        <w:tc>
          <w:tcPr>
            <w:tcW w:w="1254" w:type="dxa"/>
          </w:tcPr>
          <w:p w14:paraId="1A391AAD"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Implant (type not specified) </w:t>
            </w: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0.57 (0.20, 1.60)</w:t>
            </w:r>
          </w:p>
          <w:p w14:paraId="1BC11A7E" w14:textId="77777777" w:rsidR="006F0DBF" w:rsidRPr="00010F3C" w:rsidRDefault="006F0DBF" w:rsidP="00C51E46">
            <w:pPr>
              <w:rPr>
                <w:rFonts w:asciiTheme="minorHAnsi" w:hAnsiTheme="minorHAnsi" w:cstheme="minorHAnsi"/>
                <w:sz w:val="18"/>
                <w:szCs w:val="18"/>
              </w:rPr>
            </w:pPr>
          </w:p>
          <w:p w14:paraId="5A221DBA" w14:textId="77777777" w:rsidR="006F0DBF" w:rsidRPr="00010F3C" w:rsidRDefault="006F0DBF" w:rsidP="00C51E46">
            <w:pPr>
              <w:rPr>
                <w:rFonts w:asciiTheme="minorHAnsi" w:hAnsiTheme="minorHAnsi" w:cstheme="minorHAnsi"/>
                <w:sz w:val="18"/>
                <w:szCs w:val="18"/>
              </w:rPr>
            </w:pPr>
          </w:p>
        </w:tc>
      </w:tr>
      <w:tr w:rsidR="006F0DBF" w:rsidRPr="00010F3C" w14:paraId="4AA1EAC8" w14:textId="77777777" w:rsidTr="00C51E46">
        <w:tc>
          <w:tcPr>
            <w:tcW w:w="1144" w:type="dxa"/>
          </w:tcPr>
          <w:p w14:paraId="1D2A9553" w14:textId="77777777" w:rsidR="006F0DBF" w:rsidRPr="00010F3C" w:rsidRDefault="006F0DBF" w:rsidP="00C51E46">
            <w:pPr>
              <w:rPr>
                <w:rFonts w:asciiTheme="minorHAnsi" w:hAnsiTheme="minorHAnsi" w:cstheme="minorHAnsi"/>
                <w:sz w:val="18"/>
                <w:szCs w:val="18"/>
              </w:rPr>
            </w:pPr>
            <w:proofErr w:type="spellStart"/>
            <w:r w:rsidRPr="00E94DEF">
              <w:rPr>
                <w:rFonts w:asciiTheme="minorHAnsi" w:hAnsiTheme="minorHAnsi" w:cstheme="minorHAnsi"/>
                <w:sz w:val="18"/>
                <w:szCs w:val="18"/>
              </w:rPr>
              <w:t>Baeten</w:t>
            </w:r>
            <w:proofErr w:type="spellEnd"/>
            <w:r w:rsidRPr="00E94DEF">
              <w:rPr>
                <w:rFonts w:asciiTheme="minorHAnsi" w:hAnsiTheme="minorHAnsi" w:cstheme="minorHAnsi"/>
                <w:sz w:val="18"/>
                <w:szCs w:val="18"/>
              </w:rPr>
              <w:t xml:space="preserve">, 2001 </w:t>
            </w:r>
            <w:r w:rsidRPr="00E94DEF">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{"citationItems":[{"id":"ITEM-1","itemData":{"DOI":"10.1067/mob.2001.115862","ISSN":"00029378","PMID":"11518896","abstract":"OBJECTIVES To examine the relationship between use of oral contraceptive pills or depot medroxyprogesterone acetate and sexually transmitted disease acquisition. STUDY DESIGN Prospective cohort included 948 Kenyan prostitutes. Multivariate Andersen-Gill proportional hazards models were constructed, adjusting for sexual behavioral and demographic variables. RESULTS When compared with women who were using no contraception, users of oral contraceptive pills were at increased risk for acquisition of chlamydia (hazard ratio, 1.8; 95% confidence interval, 1.1-2.9) and vaginal candidiasis (hazard ratio, 1.5; 95% confidence interval, 1.2-1.9) and at decreased risk for bacterial vaginosis (hazard ratio, 0.8; 95% confidence interval, 0.7-1.0). Women using depot medroxyprogesterone acetate had significantly increased risk of chlamydia infection (hazard ratio, 1.6; 95% confidence interval, 1.1-2.4) and significantly decreased risk of bacterial vaginosis (hazard ratio, 0.7; 95% confidence interval, 0.5-0.8), trichomoniasis (hazard ratio, 0.6; 95% confidence interval, 0.4-1.0), and pelvic inflammatory disease (hazard ratio, 0.4; 95% confidence interval, 0.2-0.7). Consistent condom use was associated with significantly decreased risk of gonorrhea, chlamydia, genital ulcer disease, bacterial vaginosis, and pelvic inflammatory disease. CONCLUSIONS The use of oral or injectable hormonal contraception altered susceptibility to sexually transmitted diseases, which may in turn influence transmission of human immunodeficiency virus type 1. Consistent condom use was protective with regards to sexually transmitted disease and should be encouraged for the prevention of sexually transmitted disease and human immunodeficiency virus type 1 among women who use hormonal contraception.","author":[{"dropping-particle":"","family":"Baeten","given":"Jared M.","non-dropping-particle":"","parse-names":false,"suffix":""},{"dropping-particle":"","family":"Nyange","given":"Patrick M.","non-dropping-particle":"","parse-names":false,"suffix":""},{"dropping-particle":"","family":"Richardson","given":"Barbra A.","non-dropping-particle":"","parse-names":false,"suffix":""},{"dropping-particle":"","family":"Lavreys","given":"Ludo","non-dropping-particle":"","parse-names":false,"suffix":""},{"dropping-particle":"","family":"Chohan","given":"Bhavna","non-dropping-particle":"","parse-names":false,"suffix":""},{"dropping-particle":"","family":"Martin","given":"Harold L.","non-dropping-particle":"","parse-names":false,"suffix":""},{"dropping-particle":"","family":"Mandaliya","given":"Kishorchandra","non-dropping-particle":"","parse-names":false,"suffix":""},{"dropping-particle":"","family":"Ndinya-Achola","given":"Jeckoniah O.","non-dropping-particle":"","parse-names":false,"suffix":""},{"dropping-particle":"","family":"Bwayo","given":"Job J.","non-dropping-particle":"","parse-names":false,"suffix":""},{"dropping-particle":"","family":"Kreiss","given":"Joan K.","non-dropping-particle":"","parse-names":false,"suffix":""}],"container-title":"American Journal of Obstetrics and Gynecology","id":"ITEM-1","issue":"2","issued":{"date-parts":[["2001","8"]]},"page":"380-385","title":"Hormonal contraception and risk of sexually transmitted disease acquisition: Results from a prospective study","type":"article-journal","volume":"185"},"uris":["http://www.mendeley.com/documents/?uuid=9c9675ce-9729-368a-b116-fc5af34e832f"]}],"mendeley":{"formattedCitation":"[21]","plainTextFormattedCitation":"[21]","previouslyFormattedCitation":"[21]"},"properties":{"noteIndex":0},"schema":"https://github.com/citation-style-language/schema/raw/master/csl-citation.json"}</w:instrText>
            </w:r>
            <w:r w:rsidRPr="00E94DEF">
              <w:rPr>
                <w:rFonts w:asciiTheme="minorHAnsi" w:hAnsiTheme="minorHAnsi" w:cstheme="minorHAnsi"/>
                <w:sz w:val="18"/>
                <w:szCs w:val="18"/>
              </w:rPr>
              <w:fldChar w:fldCharType="separate"/>
            </w:r>
            <w:r w:rsidRPr="00E115DE">
              <w:rPr>
                <w:rFonts w:asciiTheme="minorHAnsi" w:hAnsiTheme="minorHAnsi" w:cstheme="minorHAnsi"/>
                <w:noProof/>
                <w:sz w:val="18"/>
                <w:szCs w:val="18"/>
              </w:rPr>
              <w:t>[21]</w:t>
            </w:r>
            <w:r w:rsidRPr="00E94DEF">
              <w:rPr>
                <w:rFonts w:asciiTheme="minorHAnsi" w:hAnsiTheme="minorHAnsi" w:cstheme="minorHAnsi"/>
                <w:sz w:val="18"/>
                <w:szCs w:val="18"/>
              </w:rPr>
              <w:fldChar w:fldCharType="end"/>
            </w:r>
          </w:p>
        </w:tc>
        <w:tc>
          <w:tcPr>
            <w:tcW w:w="1554" w:type="dxa"/>
          </w:tcPr>
          <w:p w14:paraId="05AF5CAF" w14:textId="77777777" w:rsidR="006F0DBF" w:rsidRPr="00010F3C" w:rsidRDefault="006F0DBF" w:rsidP="00C51E46">
            <w:pPr>
              <w:rPr>
                <w:rFonts w:asciiTheme="minorHAnsi" w:hAnsiTheme="minorHAnsi" w:cstheme="minorHAnsi"/>
                <w:sz w:val="18"/>
                <w:szCs w:val="18"/>
              </w:rPr>
            </w:pPr>
            <w:r w:rsidRPr="00E94DEF">
              <w:rPr>
                <w:rFonts w:asciiTheme="minorHAnsi" w:hAnsiTheme="minorHAnsi" w:cstheme="minorHAnsi"/>
                <w:sz w:val="18"/>
                <w:szCs w:val="18"/>
              </w:rPr>
              <w:t>948, HIV-1 negative sex workers in Mombasa, Kenya ages 16-48</w:t>
            </w:r>
            <w:r>
              <w:rPr>
                <w:rFonts w:asciiTheme="minorHAnsi" w:hAnsiTheme="minorHAnsi" w:cstheme="minorHAnsi"/>
                <w:sz w:val="18"/>
                <w:szCs w:val="18"/>
              </w:rPr>
              <w:t>; N=435 incident cases (26.4/100 PY)</w:t>
            </w:r>
          </w:p>
        </w:tc>
        <w:tc>
          <w:tcPr>
            <w:tcW w:w="1175" w:type="dxa"/>
          </w:tcPr>
          <w:p w14:paraId="33835CA6" w14:textId="77777777" w:rsidR="006F0DBF" w:rsidRPr="00010F3C" w:rsidRDefault="006F0DBF" w:rsidP="00C51E46">
            <w:pPr>
              <w:pStyle w:val="p1"/>
              <w:rPr>
                <w:rFonts w:asciiTheme="minorHAnsi" w:hAnsiTheme="minorHAnsi" w:cstheme="minorHAnsi"/>
                <w:sz w:val="18"/>
                <w:szCs w:val="18"/>
              </w:rPr>
            </w:pPr>
            <w:r w:rsidRPr="00897A42">
              <w:rPr>
                <w:rFonts w:asciiTheme="minorHAnsi" w:hAnsiTheme="minorHAnsi" w:cstheme="minorHAnsi"/>
                <w:sz w:val="18"/>
                <w:szCs w:val="18"/>
              </w:rPr>
              <w:t>Range 15 to 2366</w:t>
            </w:r>
            <w:r>
              <w:rPr>
                <w:rFonts w:asciiTheme="minorHAnsi" w:hAnsiTheme="minorHAnsi" w:cstheme="minorHAnsi"/>
                <w:sz w:val="18"/>
                <w:szCs w:val="18"/>
              </w:rPr>
              <w:t xml:space="preserve"> days</w:t>
            </w:r>
            <w:r w:rsidRPr="00897A42">
              <w:rPr>
                <w:rFonts w:asciiTheme="minorHAnsi" w:hAnsiTheme="minorHAnsi" w:cstheme="minorHAnsi"/>
                <w:sz w:val="18"/>
                <w:szCs w:val="18"/>
              </w:rPr>
              <w:t xml:space="preserve"> (median: 42</w:t>
            </w:r>
            <w:r>
              <w:rPr>
                <w:rFonts w:asciiTheme="minorHAnsi" w:hAnsiTheme="minorHAnsi" w:cstheme="minorHAnsi"/>
                <w:sz w:val="18"/>
                <w:szCs w:val="18"/>
              </w:rPr>
              <w:t>1 days); median time b/w visits: 35 days</w:t>
            </w:r>
          </w:p>
        </w:tc>
        <w:tc>
          <w:tcPr>
            <w:tcW w:w="1537" w:type="dxa"/>
          </w:tcPr>
          <w:p w14:paraId="51861330" w14:textId="77777777" w:rsidR="006F0DBF" w:rsidRPr="00010F3C" w:rsidRDefault="006F0DBF" w:rsidP="00C51E46">
            <w:pPr>
              <w:rPr>
                <w:rFonts w:asciiTheme="minorHAnsi" w:hAnsiTheme="minorHAnsi" w:cstheme="minorHAnsi"/>
                <w:sz w:val="18"/>
                <w:szCs w:val="18"/>
              </w:rPr>
            </w:pPr>
            <w:r>
              <w:rPr>
                <w:rFonts w:asciiTheme="minorHAnsi" w:hAnsiTheme="minorHAnsi" w:cstheme="minorHAnsi"/>
                <w:sz w:val="18"/>
                <w:szCs w:val="18"/>
              </w:rPr>
              <w:t>V</w:t>
            </w:r>
            <w:r w:rsidRPr="0099140D">
              <w:rPr>
                <w:rFonts w:asciiTheme="minorHAnsi" w:hAnsiTheme="minorHAnsi" w:cstheme="minorHAnsi"/>
                <w:sz w:val="18"/>
                <w:szCs w:val="18"/>
              </w:rPr>
              <w:t>aginal wet mount</w:t>
            </w:r>
          </w:p>
        </w:tc>
        <w:tc>
          <w:tcPr>
            <w:tcW w:w="2325" w:type="dxa"/>
          </w:tcPr>
          <w:p w14:paraId="1F9AEBD6" w14:textId="77777777" w:rsidR="006F0DBF" w:rsidRPr="00010F3C" w:rsidRDefault="006F0DBF" w:rsidP="00C51E46">
            <w:pPr>
              <w:autoSpaceDE w:val="0"/>
              <w:autoSpaceDN w:val="0"/>
              <w:adjustRightInd w:val="0"/>
              <w:rPr>
                <w:rFonts w:asciiTheme="minorHAnsi" w:hAnsiTheme="minorHAnsi" w:cstheme="minorHAnsi"/>
                <w:sz w:val="18"/>
                <w:szCs w:val="20"/>
              </w:rPr>
            </w:pPr>
            <w:r w:rsidRPr="00E94DEF">
              <w:rPr>
                <w:rFonts w:asciiTheme="minorHAnsi" w:hAnsiTheme="minorHAnsi" w:cstheme="minorHAnsi"/>
                <w:sz w:val="18"/>
                <w:szCs w:val="18"/>
              </w:rPr>
              <w:t>Age, years of education, years of prostitution, parity, number of sexual partners, place of work (</w:t>
            </w:r>
            <w:proofErr w:type="spellStart"/>
            <w:r w:rsidRPr="00E94DEF">
              <w:rPr>
                <w:rFonts w:asciiTheme="minorHAnsi" w:hAnsiTheme="minorHAnsi" w:cstheme="minorHAnsi"/>
                <w:sz w:val="18"/>
                <w:szCs w:val="18"/>
              </w:rPr>
              <w:t>ie</w:t>
            </w:r>
            <w:proofErr w:type="spellEnd"/>
            <w:r w:rsidRPr="00E94DEF">
              <w:rPr>
                <w:rFonts w:asciiTheme="minorHAnsi" w:hAnsiTheme="minorHAnsi" w:cstheme="minorHAnsi"/>
                <w:sz w:val="18"/>
                <w:szCs w:val="18"/>
              </w:rPr>
              <w:t>, bar vs. nightclub), number of sexual contacts</w:t>
            </w:r>
            <w:r>
              <w:rPr>
                <w:rFonts w:asciiTheme="minorHAnsi" w:hAnsiTheme="minorHAnsi" w:cstheme="minorHAnsi"/>
                <w:sz w:val="18"/>
                <w:szCs w:val="18"/>
              </w:rPr>
              <w:t xml:space="preserve"> per week</w:t>
            </w:r>
            <w:r w:rsidRPr="00E94DEF">
              <w:rPr>
                <w:rFonts w:asciiTheme="minorHAnsi" w:hAnsiTheme="minorHAnsi" w:cstheme="minorHAnsi"/>
                <w:sz w:val="18"/>
                <w:szCs w:val="18"/>
              </w:rPr>
              <w:t>, and condom usage</w:t>
            </w:r>
          </w:p>
        </w:tc>
        <w:tc>
          <w:tcPr>
            <w:tcW w:w="1488" w:type="dxa"/>
          </w:tcPr>
          <w:p w14:paraId="15562A97" w14:textId="77777777" w:rsidR="006F0DBF" w:rsidRPr="00010F3C" w:rsidRDefault="006F0DBF" w:rsidP="00C51E46">
            <w:pPr>
              <w:rPr>
                <w:rFonts w:asciiTheme="minorHAnsi" w:hAnsiTheme="minorHAnsi" w:cstheme="minorHAnsi"/>
                <w:sz w:val="18"/>
                <w:szCs w:val="18"/>
              </w:rPr>
            </w:pPr>
            <w:r w:rsidRPr="00E752DB">
              <w:rPr>
                <w:rFonts w:asciiTheme="minorHAnsi" w:hAnsiTheme="minorHAnsi" w:cstheme="minorHAnsi"/>
                <w:sz w:val="18"/>
                <w:szCs w:val="18"/>
              </w:rPr>
              <w:t>No</w:t>
            </w:r>
            <w:r>
              <w:rPr>
                <w:rFonts w:asciiTheme="minorHAnsi" w:hAnsiTheme="minorHAnsi" w:cstheme="minorHAnsi"/>
                <w:sz w:val="18"/>
                <w:szCs w:val="18"/>
              </w:rPr>
              <w:t xml:space="preserve">n-hormonal user </w:t>
            </w:r>
            <w:r w:rsidRPr="00E752DB">
              <w:rPr>
                <w:rFonts w:asciiTheme="minorHAnsi" w:hAnsiTheme="minorHAnsi" w:cstheme="minorHAnsi"/>
                <w:sz w:val="18"/>
                <w:szCs w:val="18"/>
              </w:rPr>
              <w:t>or tubal ligation</w:t>
            </w:r>
          </w:p>
        </w:tc>
        <w:tc>
          <w:tcPr>
            <w:tcW w:w="1458" w:type="dxa"/>
          </w:tcPr>
          <w:p w14:paraId="25AC9F06" w14:textId="77777777" w:rsidR="006F0DBF" w:rsidRPr="00010F3C" w:rsidRDefault="006F0DBF" w:rsidP="00C51E46">
            <w:pPr>
              <w:rPr>
                <w:rFonts w:asciiTheme="minorHAnsi" w:hAnsiTheme="minorHAnsi" w:cstheme="minorHAnsi"/>
                <w:sz w:val="18"/>
                <w:szCs w:val="18"/>
              </w:rPr>
            </w:pPr>
            <w:r>
              <w:rPr>
                <w:rFonts w:asciiTheme="minorHAnsi" w:hAnsiTheme="minorHAnsi" w:cstheme="minorHAnsi"/>
                <w:sz w:val="18"/>
                <w:szCs w:val="18"/>
              </w:rPr>
              <w:t xml:space="preserve">OCP </w:t>
            </w:r>
            <w:proofErr w:type="spellStart"/>
            <w:r>
              <w:rPr>
                <w:rFonts w:asciiTheme="minorHAnsi" w:hAnsiTheme="minorHAnsi" w:cstheme="minorHAnsi"/>
                <w:sz w:val="18"/>
                <w:szCs w:val="18"/>
              </w:rPr>
              <w:t>aHR</w:t>
            </w:r>
            <w:proofErr w:type="spellEnd"/>
            <w:r>
              <w:rPr>
                <w:rFonts w:asciiTheme="minorHAnsi" w:hAnsiTheme="minorHAnsi" w:cstheme="minorHAnsi"/>
                <w:sz w:val="18"/>
                <w:szCs w:val="18"/>
              </w:rPr>
              <w:t>: 0.90 (0.70, 1.30)</w:t>
            </w:r>
          </w:p>
        </w:tc>
        <w:tc>
          <w:tcPr>
            <w:tcW w:w="1290" w:type="dxa"/>
          </w:tcPr>
          <w:p w14:paraId="6A5D7D8C" w14:textId="77777777" w:rsidR="006F0DBF" w:rsidRPr="00010F3C" w:rsidRDefault="006F0DBF" w:rsidP="00C51E46">
            <w:pPr>
              <w:rPr>
                <w:rFonts w:asciiTheme="minorHAnsi" w:hAnsiTheme="minorHAnsi" w:cstheme="minorHAnsi"/>
                <w:sz w:val="18"/>
                <w:szCs w:val="18"/>
              </w:rPr>
            </w:pPr>
            <w:r>
              <w:rPr>
                <w:rFonts w:asciiTheme="minorHAnsi" w:hAnsiTheme="minorHAnsi" w:cstheme="minorHAnsi"/>
                <w:sz w:val="18"/>
                <w:szCs w:val="18"/>
              </w:rPr>
              <w:t xml:space="preserve">DMPA </w:t>
            </w:r>
            <w:proofErr w:type="spellStart"/>
            <w:r>
              <w:rPr>
                <w:rFonts w:asciiTheme="minorHAnsi" w:hAnsiTheme="minorHAnsi" w:cstheme="minorHAnsi"/>
                <w:sz w:val="18"/>
                <w:szCs w:val="18"/>
              </w:rPr>
              <w:t>aHR</w:t>
            </w:r>
            <w:proofErr w:type="spellEnd"/>
            <w:r>
              <w:rPr>
                <w:rFonts w:asciiTheme="minorHAnsi" w:hAnsiTheme="minorHAnsi" w:cstheme="minorHAnsi"/>
                <w:sz w:val="18"/>
                <w:szCs w:val="18"/>
              </w:rPr>
              <w:t>: 0.60 (0.40 1.</w:t>
            </w:r>
            <w:proofErr w:type="gramStart"/>
            <w:r>
              <w:rPr>
                <w:rFonts w:asciiTheme="minorHAnsi" w:hAnsiTheme="minorHAnsi" w:cstheme="minorHAnsi"/>
                <w:sz w:val="18"/>
                <w:szCs w:val="18"/>
              </w:rPr>
              <w:t>0)*</w:t>
            </w:r>
            <w:proofErr w:type="gramEnd"/>
          </w:p>
        </w:tc>
        <w:tc>
          <w:tcPr>
            <w:tcW w:w="1254" w:type="dxa"/>
          </w:tcPr>
          <w:p w14:paraId="1FA651EE" w14:textId="77777777" w:rsidR="006F0DBF" w:rsidRPr="00010F3C" w:rsidRDefault="006F0DBF" w:rsidP="00C51E46">
            <w:pPr>
              <w:rPr>
                <w:rFonts w:asciiTheme="minorHAnsi" w:hAnsiTheme="minorHAnsi" w:cstheme="minorHAnsi"/>
                <w:sz w:val="18"/>
                <w:szCs w:val="18"/>
              </w:rPr>
            </w:pPr>
            <w:r w:rsidRPr="00897A42">
              <w:rPr>
                <w:rFonts w:asciiTheme="minorHAnsi" w:hAnsiTheme="minorHAnsi" w:cstheme="minorHAnsi"/>
                <w:sz w:val="18"/>
                <w:szCs w:val="18"/>
              </w:rPr>
              <w:t>NA</w:t>
            </w:r>
          </w:p>
        </w:tc>
      </w:tr>
      <w:tr w:rsidR="006F0DBF" w:rsidRPr="00010F3C" w14:paraId="52398514" w14:textId="77777777" w:rsidTr="00C51E46">
        <w:tc>
          <w:tcPr>
            <w:tcW w:w="1144" w:type="dxa"/>
          </w:tcPr>
          <w:p w14:paraId="40B8D3E5" w14:textId="77777777" w:rsidR="006F0DBF" w:rsidRPr="00F77DB6" w:rsidRDefault="006F0DBF" w:rsidP="00C51E46">
            <w:pPr>
              <w:rPr>
                <w:rFonts w:asciiTheme="minorHAnsi" w:hAnsiTheme="minorHAnsi" w:cstheme="minorHAnsi"/>
                <w:color w:val="FF0000"/>
                <w:sz w:val="18"/>
                <w:szCs w:val="18"/>
              </w:rPr>
            </w:pPr>
            <w:proofErr w:type="spellStart"/>
            <w:r>
              <w:rPr>
                <w:rFonts w:asciiTheme="minorHAnsi" w:hAnsiTheme="minorHAnsi" w:cstheme="minorHAnsi"/>
                <w:sz w:val="18"/>
                <w:szCs w:val="18"/>
              </w:rPr>
              <w:t>Barbone</w:t>
            </w:r>
            <w:proofErr w:type="spellEnd"/>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{"citationItems":[{"id":"ITEM-1","itemData":{"PMID":"2167008","abstract":"A randomized, clinical trial was conducted to evaluate the spermicidal agent nonoxynol 9 as prophylaxis for sexually transmitted diseases. Eight hundred eighteen women using birth control who attended a sexually transmitted disease clinic were evaluated monthly for trichomoniasis, candidiasis, and bacterial vaginosis for 6 months. Women using the active spermicide experienced a somewhat lower incidence rate of trichomoniasis (relative rate 0.83; 95% confidence interval 0.61 to 1.12) and bacterial vaginosis (relative rate 0.86; 95% confidence interval 0.69 to 1.12) as compared with placebo users. The rate of candidiasis was nearly identical for spermicide and placebo users (relative rate 1.02; 95% confidence interval 0.77 to 1.35). The number of sexual partners during the preceding month was related directly to the occurrence of trichomoniasis (p = 0.047) and bacterial vaginosis (p = 0.009) but not candidiasis (p = 0.99). Subjects using oral contraceptives experienced a statistically significant lower rate of trichomoniasis than did women using an intrauterine contraceptive device or who had had a tubal ligation (relative rate 0.56; 95% confidence interval 0.39 to 0.81).","author":[{"dropping-particle":"","family":"Barbone","given":"F","non-dropping-particle":"","parse-names":false,"suffix":""},{"dropping-particle":"","family":"Austin","given":"H","non-dropping-particle":"","parse-names":false,"suffix":""},{"dropping-particle":"","family":"Louv","given":"W C","non-dropping-particle":"","parse-names":false,"suffix":""},{"dropping-particle":"","family":"Alexander","given":"W J","non-dropping-particle":"","parse-names":false,"suffix":""}],"container-title":"American Journal of Obstetrics and Gynecology","id":"ITEM-1","issue":"2","issued":{"date-parts":[["1990","8"]]},"page":"510-4","title":"A follow-up study of methods of contraception, sexual activity, and rates of trichomoniasis, candidiasis, and bacterial vaginosis.","type":"article-journal","volume":"163"},"uris":["http://www.mendeley.com/documents/?uuid=24d39e3d-44b1-3d88-8d95-23af67f636e0"]}],"mendeley":{"formattedCitation":"[24]","plainTextFormattedCitation":"[24]","previouslyFormattedCitation":"[24]"},"properties":{"noteIndex":0},"schema":"https://github.com/citation-style-language/schema/raw/master/csl-citation.json"}</w:instrText>
            </w:r>
            <w:r>
              <w:rPr>
                <w:rFonts w:asciiTheme="minorHAnsi" w:hAnsiTheme="minorHAnsi" w:cstheme="minorHAnsi"/>
                <w:sz w:val="18"/>
                <w:szCs w:val="18"/>
              </w:rPr>
              <w:fldChar w:fldCharType="separate"/>
            </w:r>
            <w:r w:rsidRPr="00E115DE">
              <w:rPr>
                <w:rFonts w:asciiTheme="minorHAnsi" w:hAnsiTheme="minorHAnsi" w:cstheme="minorHAnsi"/>
                <w:noProof/>
                <w:sz w:val="18"/>
                <w:szCs w:val="18"/>
              </w:rPr>
              <w:t>[24]</w:t>
            </w:r>
            <w:r>
              <w:rPr>
                <w:rFonts w:asciiTheme="minorHAnsi" w:hAnsiTheme="minorHAnsi" w:cstheme="minorHAnsi"/>
                <w:sz w:val="18"/>
                <w:szCs w:val="18"/>
              </w:rPr>
              <w:fldChar w:fldCharType="end"/>
            </w:r>
          </w:p>
        </w:tc>
        <w:tc>
          <w:tcPr>
            <w:tcW w:w="1554" w:type="dxa"/>
          </w:tcPr>
          <w:p w14:paraId="0DA5DED9" w14:textId="77777777" w:rsidR="006F0DBF" w:rsidRPr="00E94DEF" w:rsidRDefault="006F0DBF" w:rsidP="00C51E46">
            <w:pPr>
              <w:rPr>
                <w:rFonts w:asciiTheme="minorHAnsi" w:hAnsiTheme="minorHAnsi" w:cstheme="minorHAnsi"/>
                <w:sz w:val="18"/>
                <w:szCs w:val="18"/>
              </w:rPr>
            </w:pPr>
            <w:r>
              <w:rPr>
                <w:rFonts w:asciiTheme="minorHAnsi" w:hAnsiTheme="minorHAnsi" w:cstheme="minorHAnsi"/>
                <w:sz w:val="18"/>
                <w:szCs w:val="18"/>
              </w:rPr>
              <w:t xml:space="preserve">818, U.S. women ages 19 to 29 attending a STI clinic in Birmingham Alabama; </w:t>
            </w:r>
            <w:r>
              <w:rPr>
                <w:rFonts w:asciiTheme="minorHAnsi" w:hAnsiTheme="minorHAnsi" w:cstheme="minorHAnsi"/>
                <w:i/>
                <w:sz w:val="18"/>
                <w:szCs w:val="18"/>
              </w:rPr>
              <w:t xml:space="preserve">N=171 incident </w:t>
            </w:r>
            <w:proofErr w:type="spellStart"/>
            <w:r>
              <w:rPr>
                <w:rFonts w:asciiTheme="minorHAnsi" w:hAnsiTheme="minorHAnsi" w:cstheme="minorHAnsi"/>
                <w:i/>
                <w:sz w:val="18"/>
                <w:szCs w:val="18"/>
              </w:rPr>
              <w:t>cases</w:t>
            </w:r>
            <w:r w:rsidRPr="00F77DB6">
              <w:rPr>
                <w:rFonts w:asciiTheme="minorHAnsi" w:hAnsiTheme="minorHAnsi" w:cstheme="minorHAnsi"/>
                <w:i/>
                <w:sz w:val="18"/>
                <w:szCs w:val="18"/>
                <w:vertAlign w:val="superscript"/>
              </w:rPr>
              <w:t>e</w:t>
            </w:r>
            <w:proofErr w:type="spellEnd"/>
          </w:p>
        </w:tc>
        <w:tc>
          <w:tcPr>
            <w:tcW w:w="1175" w:type="dxa"/>
          </w:tcPr>
          <w:p w14:paraId="2F62D877" w14:textId="77777777" w:rsidR="006F0DBF" w:rsidRPr="00897A42" w:rsidRDefault="006F0DBF" w:rsidP="00C51E46">
            <w:pPr>
              <w:pStyle w:val="p1"/>
              <w:rPr>
                <w:rFonts w:asciiTheme="minorHAnsi" w:hAnsiTheme="minorHAnsi" w:cstheme="minorHAnsi"/>
                <w:sz w:val="18"/>
                <w:szCs w:val="18"/>
              </w:rPr>
            </w:pPr>
            <w:r>
              <w:rPr>
                <w:rFonts w:asciiTheme="minorHAnsi" w:hAnsiTheme="minorHAnsi" w:cstheme="minorHAnsi"/>
                <w:sz w:val="18"/>
                <w:szCs w:val="18"/>
              </w:rPr>
              <w:t>6M; Monthly</w:t>
            </w:r>
          </w:p>
        </w:tc>
        <w:tc>
          <w:tcPr>
            <w:tcW w:w="1537" w:type="dxa"/>
          </w:tcPr>
          <w:p w14:paraId="7E171874" w14:textId="77777777" w:rsidR="006F0DBF" w:rsidRDefault="006F0DBF" w:rsidP="00C51E46">
            <w:pPr>
              <w:rPr>
                <w:rFonts w:asciiTheme="minorHAnsi" w:hAnsiTheme="minorHAnsi" w:cstheme="minorHAnsi"/>
                <w:sz w:val="18"/>
                <w:szCs w:val="18"/>
              </w:rPr>
            </w:pPr>
            <w:r>
              <w:rPr>
                <w:rFonts w:asciiTheme="minorHAnsi" w:hAnsiTheme="minorHAnsi" w:cstheme="minorHAnsi"/>
                <w:sz w:val="18"/>
                <w:szCs w:val="18"/>
              </w:rPr>
              <w:t>Vaginal wet mount</w:t>
            </w:r>
          </w:p>
        </w:tc>
        <w:tc>
          <w:tcPr>
            <w:tcW w:w="2325" w:type="dxa"/>
          </w:tcPr>
          <w:p w14:paraId="5712286E" w14:textId="77777777" w:rsidR="006F0DBF" w:rsidRPr="00084F21" w:rsidRDefault="006F0DBF" w:rsidP="00C51E46">
            <w:pPr>
              <w:autoSpaceDE w:val="0"/>
              <w:autoSpaceDN w:val="0"/>
              <w:adjustRightInd w:val="0"/>
              <w:rPr>
                <w:rFonts w:asciiTheme="minorHAnsi" w:hAnsiTheme="minorHAnsi" w:cstheme="minorHAnsi"/>
                <w:sz w:val="18"/>
                <w:szCs w:val="18"/>
              </w:rPr>
            </w:pPr>
            <w:r w:rsidRPr="00084F21">
              <w:rPr>
                <w:rFonts w:asciiTheme="minorHAnsi" w:hAnsiTheme="minorHAnsi" w:cstheme="minorHAnsi"/>
                <w:sz w:val="18"/>
                <w:szCs w:val="18"/>
              </w:rPr>
              <w:t>Spermicide use, sexual</w:t>
            </w:r>
          </w:p>
          <w:p w14:paraId="6EA5DB66" w14:textId="77777777" w:rsidR="006F0DBF" w:rsidRPr="00E94DEF" w:rsidRDefault="006F0DBF" w:rsidP="00C51E46">
            <w:pPr>
              <w:autoSpaceDE w:val="0"/>
              <w:autoSpaceDN w:val="0"/>
              <w:adjustRightInd w:val="0"/>
              <w:rPr>
                <w:rFonts w:asciiTheme="minorHAnsi" w:hAnsiTheme="minorHAnsi" w:cstheme="minorHAnsi"/>
                <w:sz w:val="18"/>
                <w:szCs w:val="18"/>
              </w:rPr>
            </w:pPr>
            <w:r w:rsidRPr="00084F21">
              <w:rPr>
                <w:rFonts w:asciiTheme="minorHAnsi" w:hAnsiTheme="minorHAnsi" w:cstheme="minorHAnsi"/>
                <w:sz w:val="18"/>
                <w:szCs w:val="18"/>
              </w:rPr>
              <w:t>activity, age, race</w:t>
            </w:r>
          </w:p>
        </w:tc>
        <w:tc>
          <w:tcPr>
            <w:tcW w:w="1488" w:type="dxa"/>
          </w:tcPr>
          <w:p w14:paraId="6BDED748" w14:textId="77777777" w:rsidR="006F0DBF" w:rsidRPr="00E752DB" w:rsidRDefault="006F0DBF" w:rsidP="00C51E46">
            <w:pPr>
              <w:rPr>
                <w:rFonts w:asciiTheme="minorHAnsi" w:hAnsiTheme="minorHAnsi" w:cstheme="minorHAnsi"/>
                <w:sz w:val="18"/>
                <w:szCs w:val="18"/>
              </w:rPr>
            </w:pPr>
            <w:r>
              <w:rPr>
                <w:rFonts w:asciiTheme="minorHAnsi" w:hAnsiTheme="minorHAnsi" w:cstheme="minorHAnsi"/>
                <w:sz w:val="18"/>
                <w:szCs w:val="18"/>
              </w:rPr>
              <w:t>Tubal ligation or IUD user</w:t>
            </w:r>
          </w:p>
        </w:tc>
        <w:tc>
          <w:tcPr>
            <w:tcW w:w="1458" w:type="dxa"/>
          </w:tcPr>
          <w:p w14:paraId="5EF5CF7A" w14:textId="77777777" w:rsidR="006F0DBF" w:rsidRDefault="006F0DBF" w:rsidP="00C51E46">
            <w:pPr>
              <w:rPr>
                <w:rFonts w:asciiTheme="minorHAnsi" w:hAnsiTheme="minorHAnsi" w:cstheme="minorHAnsi"/>
                <w:sz w:val="18"/>
                <w:szCs w:val="18"/>
              </w:rPr>
            </w:pPr>
            <w:r>
              <w:rPr>
                <w:rFonts w:asciiTheme="minorHAnsi" w:hAnsiTheme="minorHAnsi" w:cstheme="minorHAnsi"/>
                <w:sz w:val="18"/>
                <w:szCs w:val="18"/>
              </w:rPr>
              <w:t xml:space="preserve">OCP: </w:t>
            </w:r>
            <w:proofErr w:type="spellStart"/>
            <w:r w:rsidRPr="00925D02">
              <w:rPr>
                <w:rFonts w:asciiTheme="minorHAnsi" w:hAnsiTheme="minorHAnsi" w:cstheme="minorHAnsi"/>
                <w:sz w:val="18"/>
                <w:szCs w:val="18"/>
              </w:rPr>
              <w:t>aHR</w:t>
            </w:r>
            <w:proofErr w:type="spellEnd"/>
            <w:r w:rsidRPr="00925D02">
              <w:rPr>
                <w:rFonts w:asciiTheme="minorHAnsi" w:hAnsiTheme="minorHAnsi" w:cstheme="minorHAnsi"/>
                <w:sz w:val="18"/>
                <w:szCs w:val="18"/>
              </w:rPr>
              <w:t xml:space="preserve"> 0.56 (0.39, </w:t>
            </w:r>
            <w:proofErr w:type="gramStart"/>
            <w:r w:rsidRPr="00925D02">
              <w:rPr>
                <w:rFonts w:asciiTheme="minorHAnsi" w:hAnsiTheme="minorHAnsi" w:cstheme="minorHAnsi"/>
                <w:sz w:val="18"/>
                <w:szCs w:val="18"/>
              </w:rPr>
              <w:t>0.81)</w:t>
            </w:r>
            <w:r>
              <w:rPr>
                <w:rFonts w:asciiTheme="minorHAnsi" w:hAnsiTheme="minorHAnsi" w:cstheme="minorHAnsi"/>
                <w:sz w:val="18"/>
                <w:szCs w:val="18"/>
              </w:rPr>
              <w:t>*</w:t>
            </w:r>
            <w:proofErr w:type="gramEnd"/>
          </w:p>
        </w:tc>
        <w:tc>
          <w:tcPr>
            <w:tcW w:w="1290" w:type="dxa"/>
          </w:tcPr>
          <w:p w14:paraId="172571EF" w14:textId="77777777" w:rsidR="006F0DBF" w:rsidRDefault="006F0DBF" w:rsidP="00C51E46">
            <w:pPr>
              <w:rPr>
                <w:rFonts w:asciiTheme="minorHAnsi" w:hAnsiTheme="minorHAnsi" w:cstheme="minorHAnsi"/>
                <w:sz w:val="18"/>
                <w:szCs w:val="18"/>
              </w:rPr>
            </w:pPr>
            <w:r>
              <w:rPr>
                <w:rFonts w:asciiTheme="minorHAnsi" w:hAnsiTheme="minorHAnsi" w:cstheme="minorHAnsi"/>
                <w:sz w:val="18"/>
                <w:szCs w:val="18"/>
              </w:rPr>
              <w:t>NA</w:t>
            </w:r>
          </w:p>
        </w:tc>
        <w:tc>
          <w:tcPr>
            <w:tcW w:w="1254" w:type="dxa"/>
          </w:tcPr>
          <w:p w14:paraId="1290A5E9" w14:textId="77777777" w:rsidR="006F0DBF" w:rsidRPr="00897A42" w:rsidRDefault="006F0DBF" w:rsidP="00C51E46">
            <w:pPr>
              <w:rPr>
                <w:rFonts w:asciiTheme="minorHAnsi" w:hAnsiTheme="minorHAnsi" w:cstheme="minorHAnsi"/>
                <w:sz w:val="18"/>
                <w:szCs w:val="18"/>
              </w:rPr>
            </w:pPr>
            <w:r>
              <w:rPr>
                <w:rFonts w:asciiTheme="minorHAnsi" w:hAnsiTheme="minorHAnsi" w:cstheme="minorHAnsi"/>
                <w:sz w:val="18"/>
                <w:szCs w:val="18"/>
              </w:rPr>
              <w:t>NA</w:t>
            </w:r>
          </w:p>
        </w:tc>
      </w:tr>
      <w:tr w:rsidR="006F0DBF" w:rsidRPr="00010F3C" w14:paraId="60B91DE6" w14:textId="77777777" w:rsidTr="00C51E46">
        <w:tc>
          <w:tcPr>
            <w:tcW w:w="1144" w:type="dxa"/>
          </w:tcPr>
          <w:p w14:paraId="03B33B44" w14:textId="77777777" w:rsidR="006F0DBF" w:rsidRPr="00010F3C" w:rsidRDefault="006F0DBF" w:rsidP="00C51E46">
            <w:pPr>
              <w:rPr>
                <w:rFonts w:asciiTheme="minorHAnsi" w:hAnsiTheme="minorHAnsi" w:cstheme="minorHAnsi"/>
                <w:sz w:val="18"/>
                <w:szCs w:val="18"/>
              </w:rPr>
            </w:pPr>
            <w:proofErr w:type="spellStart"/>
            <w:r w:rsidRPr="00010F3C">
              <w:rPr>
                <w:rFonts w:asciiTheme="minorHAnsi" w:hAnsiTheme="minorHAnsi" w:cstheme="minorHAnsi"/>
                <w:sz w:val="18"/>
                <w:szCs w:val="18"/>
              </w:rPr>
              <w:t>Borgdorff</w:t>
            </w:r>
            <w:proofErr w:type="spellEnd"/>
            <w:r w:rsidRPr="00010F3C">
              <w:rPr>
                <w:rFonts w:asciiTheme="minorHAnsi" w:hAnsiTheme="minorHAnsi" w:cstheme="minorHAnsi"/>
                <w:sz w:val="18"/>
                <w:szCs w:val="18"/>
              </w:rPr>
              <w:t>, 2015</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{"citationItems":[{"id":"ITEM-1","itemData":{"DOI":"10.1097/OLQ.0000000000000245","ISSN":"0148-5717","PMID":"25668647","abstract":"BACKGROUND The observed association between Depo-Provera injectable use and increased HIV acquisition may be caused by hormone-induced increased susceptibility to other sexually transmitted infections (STIs) or changes in the cervicovaginal microbiota (VMB), accompanied by genital immune activation and/or mucosal remodeling. METHODS Rwandan female sex workers (n = 800) were interviewed about contraceptive use and sexual behavior and were tested for STIs, bacterial vaginosis by Nugent score and pregnancy, at baseline. A subset of 397 HIV-negative, nonpregnant women were interviewed and tested again at regular intervals for 2 years. The VMB of a subset of 174 women was characterized by phylogenetic microarray. Outcomes of STI and VMB were compared between women with hormonal exposures (reporting oral contraceptive or injectable use, or testing positive for pregnancy) and controls (not reporting hormonal contraception and not pregnant). RESULTS Oral contraceptive use was associated with increased human papillomavirus prevalence (adjusted odds ratio [aOR], 3.10; 1.21-7.94) and Chlamydia trachomatis incidence (aOR, 6.13; 1.58-23.80), injectable use with increased herpes simplex virus-2 prevalence (aOR, 2.13; 1.26-3.59) and pregnancy with lower HIV prevalence (aOR, 0.45; 0.22-0.92) but higher candidiasis incidence (aOR, 2.14; 1.12-4.09). Hormonal status was not associated with Nugent score category or phylogenetic VMB clustering, but oral contraceptive users had lower semiquantitative vaginal abundance of Prevotella, Sneathia/Leptotrichia amnionii, and Mycoplasma species. CONCLUSIONS Oral contraceptive and injectable use were associated with several STIs but not with VMB composition. The increased herpes simplex virus-2 prevalence among injectable users might explain the potentially higher HIV risk in these women, but more research is needed to confirm these results and elucidate biological mechanisms.","author":[{"dropping-particle":"","family":"Borgdorff","given":"Hanneke","non-dropping-particle":"","parse-names":false,"suffix":""},{"dropping-particle":"","family":"Verwijs","given":"Marijn C.","non-dropping-particle":"","parse-names":false,"suffix":""},{"dropping-particle":"","family":"Wit","given":"Ferdinand W.N.M.","non-dropping-particle":"","parse-names":false,"suffix":""},{"dropping-particle":"","family":"Tsivtsivadze","given":"Evgeni","non-dropping-particle":"","parse-names":false,"suffix":""},{"dropping-particle":"","family":"Ndayisaba","given":"Gilles F.","non-dropping-particle":"","parse-names":false,"suffix":""},{"dropping-particle":"","family":"Verhelst","given":"Rita","non-dropping-particle":"","parse-names":false,"suffix":""},{"dropping-particle":"","family":"Schuren","given":"Frank H.","non-dropping-particle":"","parse-names":false,"suffix":""},{"dropping-particle":"","family":"Wijgert","given":"Janneke H.H.M.","non-dropping-particle":"van de","parse-names":false,"suffix":""}],"container-title":"Sexually Transmitted Diseases","id":"ITEM-1","issue":"3","issued":{"date-parts":[["2015","3"]]},"page":"143-152","title":"The impact of hormonal contraception and pregnancy on sexually transmitted infections and on cervicovaginal microbiota in African sex workers","type":"article-journal","volume":"42"},"uris":["http://www.mendeley.com/documents/?uuid=7085ed09-1392-3a2e-8bf7-46c4f1b4e68f"]}],"mendeley":{"formattedCitation":"[37]","plainTextFormattedCitation":"[37]","previouslyFormattedCitation":"[37]"},"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[37]</w:t>
            </w:r>
            <w:r>
              <w:rPr>
                <w:rFonts w:asciiTheme="minorHAnsi" w:hAnsiTheme="minorHAnsi" w:cstheme="minorHAnsi"/>
                <w:sz w:val="18"/>
                <w:szCs w:val="18"/>
              </w:rPr>
              <w:fldChar w:fldCharType="end"/>
            </w:r>
          </w:p>
        </w:tc>
        <w:tc>
          <w:tcPr>
            <w:tcW w:w="1554" w:type="dxa"/>
          </w:tcPr>
          <w:p w14:paraId="0DF561DE"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381, HIV-negative sex workers in Kigali, Rwanda ages 18 to 49, </w:t>
            </w:r>
            <w:r w:rsidRPr="00010F3C">
              <w:rPr>
                <w:rFonts w:asciiTheme="minorHAnsi" w:hAnsiTheme="minorHAnsi" w:cstheme="minorHAnsi"/>
                <w:i/>
                <w:sz w:val="18"/>
                <w:szCs w:val="18"/>
              </w:rPr>
              <w:lastRenderedPageBreak/>
              <w:t xml:space="preserve">N=89 incident </w:t>
            </w:r>
            <w:proofErr w:type="spellStart"/>
            <w:r w:rsidRPr="00010F3C">
              <w:rPr>
                <w:rFonts w:asciiTheme="minorHAnsi" w:hAnsiTheme="minorHAnsi" w:cstheme="minorHAnsi"/>
                <w:i/>
                <w:sz w:val="18"/>
                <w:szCs w:val="18"/>
              </w:rPr>
              <w:t>cases</w:t>
            </w:r>
            <w:r>
              <w:rPr>
                <w:rFonts w:asciiTheme="minorHAnsi" w:hAnsiTheme="minorHAnsi" w:cstheme="minorHAnsi"/>
                <w:i/>
                <w:sz w:val="18"/>
                <w:szCs w:val="18"/>
                <w:vertAlign w:val="superscript"/>
              </w:rPr>
              <w:t>b</w:t>
            </w:r>
            <w:proofErr w:type="spellEnd"/>
          </w:p>
        </w:tc>
        <w:tc>
          <w:tcPr>
            <w:tcW w:w="1175" w:type="dxa"/>
          </w:tcPr>
          <w:p w14:paraId="19B8440A"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lastRenderedPageBreak/>
              <w:t>24M; 0M, 6M, 12M, 24M</w:t>
            </w:r>
          </w:p>
          <w:p w14:paraId="4D16E48F" w14:textId="77777777" w:rsidR="006F0DBF" w:rsidRPr="00010F3C" w:rsidRDefault="006F0DBF" w:rsidP="00C51E46">
            <w:pPr>
              <w:rPr>
                <w:rFonts w:asciiTheme="minorHAnsi" w:hAnsiTheme="minorHAnsi" w:cstheme="minorHAnsi"/>
                <w:sz w:val="18"/>
                <w:szCs w:val="18"/>
              </w:rPr>
            </w:pPr>
          </w:p>
          <w:p w14:paraId="024B333F" w14:textId="77777777" w:rsidR="006F0DBF" w:rsidRPr="00010F3C" w:rsidRDefault="006F0DBF" w:rsidP="00C51E46">
            <w:pPr>
              <w:rPr>
                <w:rFonts w:asciiTheme="minorHAnsi" w:hAnsiTheme="minorHAnsi" w:cstheme="minorHAnsi"/>
                <w:sz w:val="18"/>
                <w:szCs w:val="18"/>
              </w:rPr>
            </w:pPr>
          </w:p>
        </w:tc>
        <w:tc>
          <w:tcPr>
            <w:tcW w:w="1537" w:type="dxa"/>
          </w:tcPr>
          <w:p w14:paraId="19F99D94"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lastRenderedPageBreak/>
              <w:t>Vaginal swab via culture kit (</w:t>
            </w:r>
            <w:proofErr w:type="spellStart"/>
            <w:r w:rsidRPr="00010F3C">
              <w:rPr>
                <w:rFonts w:asciiTheme="minorHAnsi" w:hAnsiTheme="minorHAnsi" w:cstheme="minorHAnsi"/>
                <w:sz w:val="18"/>
                <w:szCs w:val="18"/>
              </w:rPr>
              <w:t>InPouch</w:t>
            </w:r>
            <w:proofErr w:type="spellEnd"/>
            <w:r w:rsidRPr="00010F3C">
              <w:rPr>
                <w:rFonts w:asciiTheme="minorHAnsi" w:hAnsiTheme="minorHAnsi" w:cstheme="minorHAnsi"/>
                <w:sz w:val="18"/>
                <w:szCs w:val="18"/>
              </w:rPr>
              <w:t xml:space="preserve">, BioMed Diagnostics) and </w:t>
            </w:r>
            <w:r w:rsidRPr="00010F3C">
              <w:rPr>
                <w:rFonts w:asciiTheme="minorHAnsi" w:hAnsiTheme="minorHAnsi" w:cstheme="minorHAnsi"/>
                <w:sz w:val="18"/>
                <w:szCs w:val="18"/>
              </w:rPr>
              <w:lastRenderedPageBreak/>
              <w:t>Gram stain (presence of &gt;20% clue cells and Nugent criteria)</w:t>
            </w:r>
            <w:r>
              <w:rPr>
                <w:rFonts w:asciiTheme="minorHAnsi" w:hAnsiTheme="minorHAnsi" w:cstheme="minorHAnsi"/>
                <w:sz w:val="18"/>
                <w:szCs w:val="18"/>
              </w:rPr>
              <w:t>.</w:t>
            </w:r>
            <w:r w:rsidRPr="00010F3C">
              <w:rPr>
                <w:rFonts w:asciiTheme="minorHAnsi" w:hAnsiTheme="minorHAnsi" w:cstheme="minorHAnsi"/>
                <w:sz w:val="18"/>
                <w:szCs w:val="18"/>
              </w:rPr>
              <w:t xml:space="preserve"> Considered positive if tested positive on either test.</w:t>
            </w:r>
          </w:p>
        </w:tc>
        <w:tc>
          <w:tcPr>
            <w:tcW w:w="2325" w:type="dxa"/>
          </w:tcPr>
          <w:p w14:paraId="181EF842"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lastRenderedPageBreak/>
              <w:t xml:space="preserve">Age, education, years worked as sex worker, breast-feeding, consistent condom use, antibiotic use </w:t>
            </w:r>
            <w:r w:rsidRPr="00010F3C">
              <w:rPr>
                <w:rFonts w:asciiTheme="minorHAnsi" w:hAnsiTheme="minorHAnsi" w:cstheme="minorHAnsi"/>
                <w:sz w:val="18"/>
                <w:szCs w:val="18"/>
              </w:rPr>
              <w:lastRenderedPageBreak/>
              <w:t>past 14 d, ever used antibiotics, time duration between assessments</w:t>
            </w:r>
          </w:p>
        </w:tc>
        <w:tc>
          <w:tcPr>
            <w:tcW w:w="1488" w:type="dxa"/>
          </w:tcPr>
          <w:p w14:paraId="7726BD03"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lastRenderedPageBreak/>
              <w:t>Non-pregnant non-</w:t>
            </w:r>
            <w:r>
              <w:rPr>
                <w:rFonts w:asciiTheme="minorHAnsi" w:hAnsiTheme="minorHAnsi" w:cstheme="minorHAnsi"/>
                <w:sz w:val="18"/>
                <w:szCs w:val="18"/>
              </w:rPr>
              <w:t xml:space="preserve">hormonal </w:t>
            </w:r>
            <w:r w:rsidRPr="00010F3C">
              <w:rPr>
                <w:rFonts w:asciiTheme="minorHAnsi" w:hAnsiTheme="minorHAnsi" w:cstheme="minorHAnsi"/>
                <w:sz w:val="18"/>
                <w:szCs w:val="18"/>
              </w:rPr>
              <w:t xml:space="preserve">user </w:t>
            </w:r>
          </w:p>
        </w:tc>
        <w:tc>
          <w:tcPr>
            <w:tcW w:w="1458" w:type="dxa"/>
          </w:tcPr>
          <w:p w14:paraId="242E0F68"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OC</w:t>
            </w:r>
            <w:r>
              <w:rPr>
                <w:rFonts w:asciiTheme="minorHAnsi" w:hAnsiTheme="minorHAnsi" w:cstheme="minorHAnsi"/>
                <w:sz w:val="18"/>
                <w:szCs w:val="18"/>
              </w:rPr>
              <w:t>P</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0.61 (0.20,</w:t>
            </w:r>
            <w:r>
              <w:rPr>
                <w:rFonts w:asciiTheme="minorHAnsi" w:hAnsiTheme="minorHAnsi" w:cstheme="minorHAnsi"/>
                <w:sz w:val="18"/>
                <w:szCs w:val="18"/>
              </w:rPr>
              <w:t xml:space="preserve"> </w:t>
            </w:r>
            <w:r w:rsidRPr="00010F3C">
              <w:rPr>
                <w:rFonts w:asciiTheme="minorHAnsi" w:hAnsiTheme="minorHAnsi" w:cstheme="minorHAnsi"/>
                <w:sz w:val="18"/>
                <w:szCs w:val="18"/>
              </w:rPr>
              <w:t>1.84)</w:t>
            </w:r>
          </w:p>
        </w:tc>
        <w:tc>
          <w:tcPr>
            <w:tcW w:w="1290" w:type="dxa"/>
          </w:tcPr>
          <w:p w14:paraId="1611D13D"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Injectable (type not </w:t>
            </w:r>
            <w:proofErr w:type="spellStart"/>
            <w:r w:rsidRPr="00010F3C">
              <w:rPr>
                <w:rFonts w:asciiTheme="minorHAnsi" w:hAnsiTheme="minorHAnsi" w:cstheme="minorHAnsi"/>
                <w:sz w:val="18"/>
                <w:szCs w:val="18"/>
              </w:rPr>
              <w:t>specified</w:t>
            </w:r>
            <w:r>
              <w:rPr>
                <w:rFonts w:asciiTheme="minorHAnsi" w:hAnsiTheme="minorHAnsi" w:cstheme="minorHAnsi"/>
                <w:sz w:val="18"/>
                <w:szCs w:val="18"/>
                <w:vertAlign w:val="superscript"/>
              </w:rPr>
              <w:t>f</w:t>
            </w:r>
            <w:proofErr w:type="spellEnd"/>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lastRenderedPageBreak/>
              <w:t>aOR</w:t>
            </w:r>
            <w:proofErr w:type="spellEnd"/>
            <w:r w:rsidRPr="00010F3C">
              <w:rPr>
                <w:rFonts w:asciiTheme="minorHAnsi" w:hAnsiTheme="minorHAnsi" w:cstheme="minorHAnsi"/>
                <w:sz w:val="18"/>
                <w:szCs w:val="18"/>
              </w:rPr>
              <w:t>: 0.44 (0.17, 1.10)</w:t>
            </w:r>
          </w:p>
          <w:p w14:paraId="4494DD70" w14:textId="77777777" w:rsidR="006F0DBF" w:rsidRPr="00010F3C" w:rsidRDefault="006F0DBF" w:rsidP="00C51E46">
            <w:pPr>
              <w:rPr>
                <w:rFonts w:asciiTheme="minorHAnsi" w:hAnsiTheme="minorHAnsi" w:cstheme="minorHAnsi"/>
                <w:sz w:val="18"/>
                <w:szCs w:val="18"/>
              </w:rPr>
            </w:pPr>
          </w:p>
          <w:p w14:paraId="1DFFE815" w14:textId="77777777" w:rsidR="006F0DBF" w:rsidRPr="00010F3C" w:rsidRDefault="006F0DBF" w:rsidP="00C51E46">
            <w:pPr>
              <w:rPr>
                <w:rFonts w:asciiTheme="minorHAnsi" w:hAnsiTheme="minorHAnsi" w:cstheme="minorHAnsi"/>
                <w:sz w:val="18"/>
                <w:szCs w:val="18"/>
              </w:rPr>
            </w:pPr>
          </w:p>
        </w:tc>
        <w:tc>
          <w:tcPr>
            <w:tcW w:w="1254" w:type="dxa"/>
          </w:tcPr>
          <w:p w14:paraId="7D7731A9"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lastRenderedPageBreak/>
              <w:t>NA</w:t>
            </w:r>
          </w:p>
        </w:tc>
      </w:tr>
      <w:tr w:rsidR="006F0DBF" w:rsidRPr="00010F3C" w14:paraId="70583B8E" w14:textId="77777777" w:rsidTr="00C51E46">
        <w:tc>
          <w:tcPr>
            <w:tcW w:w="1144" w:type="dxa"/>
          </w:tcPr>
          <w:p w14:paraId="38BCE3FC" w14:textId="77777777" w:rsidR="006F0DBF" w:rsidRPr="00010F3C" w:rsidRDefault="006F0DBF" w:rsidP="00C51E46">
            <w:pPr>
              <w:rPr>
                <w:rFonts w:asciiTheme="minorHAnsi" w:hAnsiTheme="minorHAnsi" w:cstheme="minorHAnsi"/>
                <w:sz w:val="18"/>
                <w:szCs w:val="18"/>
              </w:rPr>
            </w:pPr>
            <w:proofErr w:type="spellStart"/>
            <w:r w:rsidRPr="00010F3C">
              <w:rPr>
                <w:rFonts w:asciiTheme="minorHAnsi" w:hAnsiTheme="minorHAnsi" w:cstheme="minorHAnsi"/>
                <w:sz w:val="18"/>
                <w:szCs w:val="18"/>
              </w:rPr>
              <w:t>Brahmbhatt</w:t>
            </w:r>
            <w:proofErr w:type="spellEnd"/>
            <w:r w:rsidRPr="00010F3C">
              <w:rPr>
                <w:rFonts w:asciiTheme="minorHAnsi" w:hAnsiTheme="minorHAnsi" w:cstheme="minorHAnsi"/>
                <w:sz w:val="18"/>
                <w:szCs w:val="18"/>
              </w:rPr>
              <w:t>, 2014</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{"citationItems":[{"id":"ITEM-1","itemData":{"DOI":"10.1155/2014/916597","ISSN":"2090-7893","PMID":"26316977","abstract":"Background. Data on the incidence of Trichomonas vaginalis and use of hormonal contraception (HC) are limited. Methods. 2,374 sexually active women aged 15-49 years from cohort surveys in Rakai, Uganda, were included. Incidence of T. vaginalis was estimated per 100 person years (py) and association between HC (DMPA, Norplant, and oral contraceptives) and T. vaginalis infection was assessed by incidence rate ratios (IRR), using Poisson regression models. Results. At baseline, 34.9% had used HC in the last 12 months, 12.8% HIV+, 39.7% with high BV-scores (7-10), and 3.1% syphilis positive. The 12-month incidence of T. vaginalis was 2.4/100 py; CI (1.90, 3.25). When stratified by type of HC used, compared to women who did not use HC or condoms, incidence of T. vaginalis was significantly higher among users of Norplant (adj.IRR = 3.01, CI: 1.07-8.49) and significantly lower among DMPA users (adj.IRR = 0.55, CI: 0.30, 0.98) and women who discontinued HC use at follow-up (adj.IRR = 0.30, CI: 0.09, 0.99). HIV infection was associated with an increase in incidence of T. vaginalis (adj.IRR = 2.34, CI: 1.44, 3.78). Conclusions. Use of Norplant and being HIV+ significantly increased the risk of T. vaginalis, while use of DMPA and discontinuation of overall HC use were associated with a decreased incidence of T. vaginalis.","author":[{"dropping-particle":"","family":"Brahmbhatt","given":"Heena","non-dropping-particle":"","parse-names":false,"suffix":""},{"dropping-particle":"","family":"Musoke","given":"Richard","non-dropping-particle":"","parse-names":false,"suffix":""},{"dropping-particle":"","family":"Makumbi","given":"Frederick","non-dropping-particle":"","parse-names":false,"suffix":""},{"dropping-particle":"","family":"Kigozi","given":"Godfrey","non-dropping-particle":"","parse-names":false,"suffix":""},{"dropping-particle":"","family":"Serwadda","given":"David","non-dropping-particle":"","parse-names":false,"suffix":""},{"dropping-particle":"","family":"Wawer","given":"Maria","non-dropping-particle":"","parse-names":false,"suffix":""},{"dropping-particle":"","family":"Gray","given":"Ronald","non-dropping-particle":"","parse-names":false,"suffix":""}],"container-title":"Journal of Sexually Transmitted Diseases","id":"ITEM-1","issued":{"date-parts":[["2014"]]},"page":"916597","title":"Trichomonas vaginalis incidence associated with hormonal contraceptive use and HIV infection among women in Rakai, Uganda","type":"article-journal","volume":"2014"},"uris":["http://www.mendeley.com/documents/?uuid=e8f7a045-c986-3fa1-861b-6d802b050610"]}],"mendeley":{"formattedCitation":"[46]","plainTextFormattedCitation":"[46]","previouslyFormattedCitation":"[46]"},"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[46]</w:t>
            </w:r>
            <w:r>
              <w:rPr>
                <w:rFonts w:asciiTheme="minorHAnsi" w:hAnsiTheme="minorHAnsi" w:cstheme="minorHAnsi"/>
                <w:sz w:val="18"/>
                <w:szCs w:val="18"/>
              </w:rPr>
              <w:fldChar w:fldCharType="end"/>
            </w:r>
          </w:p>
        </w:tc>
        <w:tc>
          <w:tcPr>
            <w:tcW w:w="1554" w:type="dxa"/>
          </w:tcPr>
          <w:p w14:paraId="418315CF" w14:textId="77777777" w:rsidR="006F0DBF" w:rsidRPr="00010F3C" w:rsidRDefault="006F0DBF" w:rsidP="00C51E46">
            <w:pPr>
              <w:pStyle w:val="p1"/>
              <w:rPr>
                <w:rFonts w:asciiTheme="minorHAnsi" w:hAnsiTheme="minorHAnsi" w:cstheme="minorHAnsi"/>
                <w:sz w:val="18"/>
                <w:szCs w:val="18"/>
              </w:rPr>
            </w:pPr>
            <w:r w:rsidRPr="00010F3C">
              <w:rPr>
                <w:rFonts w:asciiTheme="minorHAnsi" w:hAnsiTheme="minorHAnsi" w:cstheme="minorHAnsi"/>
                <w:sz w:val="18"/>
                <w:szCs w:val="18"/>
              </w:rPr>
              <w:t xml:space="preserve">2374, HIV+ (304) and HIV- (2070) women ages 15 to 49 in rural Rakai, </w:t>
            </w:r>
            <w:proofErr w:type="spellStart"/>
            <w:r w:rsidRPr="00010F3C">
              <w:rPr>
                <w:rFonts w:asciiTheme="minorHAnsi" w:hAnsiTheme="minorHAnsi" w:cstheme="minorHAnsi"/>
                <w:sz w:val="18"/>
                <w:szCs w:val="18"/>
              </w:rPr>
              <w:t>Uganda</w:t>
            </w:r>
            <w:r>
              <w:rPr>
                <w:rFonts w:asciiTheme="minorHAnsi" w:hAnsiTheme="minorHAnsi" w:cstheme="minorHAnsi"/>
                <w:sz w:val="18"/>
                <w:szCs w:val="18"/>
                <w:vertAlign w:val="superscript"/>
              </w:rPr>
              <w:t>c</w:t>
            </w:r>
            <w:proofErr w:type="spellEnd"/>
            <w:r w:rsidRPr="00010F3C">
              <w:rPr>
                <w:rFonts w:asciiTheme="minorHAnsi" w:hAnsiTheme="minorHAnsi" w:cstheme="minorHAnsi"/>
                <w:sz w:val="18"/>
                <w:szCs w:val="18"/>
              </w:rPr>
              <w:t>; N=96/2374 cases; 2.4/100 PY</w:t>
            </w:r>
          </w:p>
        </w:tc>
        <w:tc>
          <w:tcPr>
            <w:tcW w:w="1175" w:type="dxa"/>
          </w:tcPr>
          <w:p w14:paraId="5CE8892E"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12M; 0M, 12M</w:t>
            </w:r>
          </w:p>
        </w:tc>
        <w:tc>
          <w:tcPr>
            <w:tcW w:w="1537" w:type="dxa"/>
          </w:tcPr>
          <w:p w14:paraId="5FE38186"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Self-collected vaginal swab via culture kit (</w:t>
            </w:r>
            <w:proofErr w:type="spellStart"/>
            <w:r w:rsidRPr="00010F3C">
              <w:rPr>
                <w:rFonts w:asciiTheme="minorHAnsi" w:hAnsiTheme="minorHAnsi" w:cstheme="minorHAnsi"/>
                <w:sz w:val="18"/>
                <w:szCs w:val="18"/>
              </w:rPr>
              <w:t>InPouch</w:t>
            </w:r>
            <w:proofErr w:type="spellEnd"/>
            <w:r w:rsidRPr="00010F3C">
              <w:rPr>
                <w:rFonts w:asciiTheme="minorHAnsi" w:hAnsiTheme="minorHAnsi" w:cstheme="minorHAnsi"/>
                <w:sz w:val="18"/>
                <w:szCs w:val="18"/>
              </w:rPr>
              <w:t>, TV, BioMed Diagnostics)</w:t>
            </w:r>
          </w:p>
        </w:tc>
        <w:tc>
          <w:tcPr>
            <w:tcW w:w="2325" w:type="dxa"/>
          </w:tcPr>
          <w:p w14:paraId="35ECED63"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10-year age group, marital status, education, # sex partners past 12M, SES (home building materials), Nugent score for BV, condom use, syphilis result, HIV status</w:t>
            </w:r>
          </w:p>
          <w:p w14:paraId="5D5BC488" w14:textId="77777777" w:rsidR="006F0DBF" w:rsidRPr="00010F3C" w:rsidRDefault="006F0DBF" w:rsidP="00C51E46">
            <w:pPr>
              <w:rPr>
                <w:rFonts w:asciiTheme="minorHAnsi" w:hAnsiTheme="minorHAnsi" w:cstheme="minorHAnsi"/>
                <w:color w:val="000000" w:themeColor="text1"/>
                <w:sz w:val="18"/>
                <w:szCs w:val="18"/>
              </w:rPr>
            </w:pPr>
          </w:p>
          <w:p w14:paraId="248F7FE2" w14:textId="77777777" w:rsidR="006F0DBF" w:rsidRPr="00010F3C" w:rsidRDefault="006F0DBF" w:rsidP="00C51E46">
            <w:pPr>
              <w:rPr>
                <w:rFonts w:asciiTheme="minorHAnsi" w:hAnsiTheme="minorHAnsi" w:cstheme="minorHAnsi"/>
                <w:color w:val="000000" w:themeColor="text1"/>
                <w:sz w:val="18"/>
                <w:szCs w:val="18"/>
              </w:rPr>
            </w:pPr>
            <w:r w:rsidRPr="00010F3C">
              <w:rPr>
                <w:rFonts w:asciiTheme="minorHAnsi" w:hAnsiTheme="minorHAnsi" w:cstheme="minorHAnsi"/>
                <w:color w:val="000000" w:themeColor="text1"/>
                <w:sz w:val="18"/>
                <w:szCs w:val="18"/>
              </w:rPr>
              <w:t>Final model (empirical and theory informed): age, marital status, education, SES, condom use and other STIs, interaction b/w HC use and HIV status</w:t>
            </w:r>
          </w:p>
        </w:tc>
        <w:tc>
          <w:tcPr>
            <w:tcW w:w="1488" w:type="dxa"/>
          </w:tcPr>
          <w:p w14:paraId="3029B8D9" w14:textId="77777777" w:rsidR="006F0DBF" w:rsidRPr="00010F3C" w:rsidRDefault="006F0DBF" w:rsidP="00C51E46">
            <w:pPr>
              <w:rPr>
                <w:rFonts w:asciiTheme="minorHAnsi" w:hAnsiTheme="minorHAnsi" w:cstheme="minorHAnsi"/>
                <w:color w:val="000000"/>
                <w:sz w:val="18"/>
                <w:szCs w:val="18"/>
              </w:rPr>
            </w:pPr>
            <w:r>
              <w:rPr>
                <w:rFonts w:asciiTheme="minorHAnsi" w:hAnsiTheme="minorHAnsi" w:cstheme="minorHAnsi"/>
                <w:color w:val="000000"/>
                <w:sz w:val="18"/>
                <w:szCs w:val="18"/>
              </w:rPr>
              <w:t>No method (neither hormonal or condom)</w:t>
            </w:r>
            <w:r w:rsidRPr="00010F3C">
              <w:rPr>
                <w:rFonts w:asciiTheme="minorHAnsi" w:hAnsiTheme="minorHAnsi" w:cstheme="minorHAnsi"/>
                <w:color w:val="000000"/>
                <w:sz w:val="18"/>
                <w:szCs w:val="18"/>
              </w:rPr>
              <w:t xml:space="preserve"> </w:t>
            </w:r>
          </w:p>
        </w:tc>
        <w:tc>
          <w:tcPr>
            <w:tcW w:w="1458" w:type="dxa"/>
          </w:tcPr>
          <w:p w14:paraId="4BA53C11"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u w:val="single"/>
              </w:rPr>
              <w:t>COC past 12M</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aIRR</w:t>
            </w:r>
            <w:proofErr w:type="spellEnd"/>
            <w:r w:rsidRPr="00010F3C">
              <w:rPr>
                <w:rFonts w:asciiTheme="minorHAnsi" w:hAnsiTheme="minorHAnsi" w:cstheme="minorHAnsi"/>
                <w:sz w:val="18"/>
                <w:szCs w:val="18"/>
              </w:rPr>
              <w:t xml:space="preserve">: 1.02 (0.40, 2.59); </w:t>
            </w:r>
            <w:r w:rsidRPr="00010F3C">
              <w:rPr>
                <w:rFonts w:asciiTheme="minorHAnsi" w:hAnsiTheme="minorHAnsi" w:cstheme="minorHAnsi"/>
                <w:sz w:val="18"/>
                <w:szCs w:val="18"/>
                <w:u w:val="single"/>
              </w:rPr>
              <w:t xml:space="preserve">Consistently used COC </w:t>
            </w:r>
            <w:r w:rsidRPr="00010F3C">
              <w:rPr>
                <w:rFonts w:asciiTheme="minorHAnsi" w:hAnsiTheme="minorHAnsi" w:cstheme="minorHAnsi"/>
                <w:sz w:val="18"/>
                <w:szCs w:val="18"/>
              </w:rPr>
              <w:t xml:space="preserve">(at baseline and follow-up) </w:t>
            </w:r>
            <w:proofErr w:type="spellStart"/>
            <w:r w:rsidRPr="00010F3C">
              <w:rPr>
                <w:rFonts w:asciiTheme="minorHAnsi" w:hAnsiTheme="minorHAnsi" w:cstheme="minorHAnsi"/>
                <w:sz w:val="18"/>
                <w:szCs w:val="18"/>
              </w:rPr>
              <w:t>aIRR</w:t>
            </w:r>
            <w:proofErr w:type="spellEnd"/>
            <w:r w:rsidRPr="00010F3C">
              <w:rPr>
                <w:rFonts w:asciiTheme="minorHAnsi" w:hAnsiTheme="minorHAnsi" w:cstheme="minorHAnsi"/>
                <w:sz w:val="18"/>
                <w:szCs w:val="18"/>
              </w:rPr>
              <w:t>: 1.07 (0.25, 4.56)</w:t>
            </w:r>
          </w:p>
        </w:tc>
        <w:tc>
          <w:tcPr>
            <w:tcW w:w="1290" w:type="dxa"/>
          </w:tcPr>
          <w:p w14:paraId="1CFE2CD9" w14:textId="77777777" w:rsidR="006F0DBF" w:rsidRPr="00010F3C" w:rsidRDefault="006F0DBF" w:rsidP="00C51E46">
            <w:pPr>
              <w:rPr>
                <w:rFonts w:asciiTheme="minorHAnsi" w:hAnsiTheme="minorHAnsi" w:cstheme="minorHAnsi"/>
                <w:color w:val="000000" w:themeColor="text1"/>
                <w:sz w:val="18"/>
                <w:szCs w:val="18"/>
              </w:rPr>
            </w:pPr>
            <w:r w:rsidRPr="00010F3C">
              <w:rPr>
                <w:rFonts w:asciiTheme="minorHAnsi" w:hAnsiTheme="minorHAnsi" w:cstheme="minorHAnsi"/>
                <w:color w:val="000000" w:themeColor="text1"/>
                <w:sz w:val="18"/>
                <w:szCs w:val="18"/>
                <w:u w:val="single"/>
              </w:rPr>
              <w:t>DMPA past 12M</w:t>
            </w:r>
            <w:r w:rsidRPr="00010F3C">
              <w:rPr>
                <w:rFonts w:asciiTheme="minorHAnsi" w:hAnsiTheme="minorHAnsi" w:cstheme="minorHAnsi"/>
                <w:color w:val="000000" w:themeColor="text1"/>
                <w:sz w:val="18"/>
                <w:szCs w:val="18"/>
              </w:rPr>
              <w:t xml:space="preserve"> </w:t>
            </w:r>
            <w:proofErr w:type="spellStart"/>
            <w:r w:rsidRPr="00010F3C">
              <w:rPr>
                <w:rFonts w:asciiTheme="minorHAnsi" w:hAnsiTheme="minorHAnsi" w:cstheme="minorHAnsi"/>
                <w:color w:val="000000" w:themeColor="text1"/>
                <w:sz w:val="18"/>
                <w:szCs w:val="18"/>
              </w:rPr>
              <w:t>aIRR</w:t>
            </w:r>
            <w:proofErr w:type="spellEnd"/>
            <w:r w:rsidRPr="00010F3C">
              <w:rPr>
                <w:rFonts w:asciiTheme="minorHAnsi" w:hAnsiTheme="minorHAnsi" w:cstheme="minorHAnsi"/>
                <w:color w:val="000000" w:themeColor="text1"/>
                <w:sz w:val="18"/>
                <w:szCs w:val="18"/>
              </w:rPr>
              <w:t xml:space="preserve">:  0.54 (0.30, </w:t>
            </w:r>
            <w:proofErr w:type="gramStart"/>
            <w:r w:rsidRPr="00010F3C">
              <w:rPr>
                <w:rFonts w:asciiTheme="minorHAnsi" w:hAnsiTheme="minorHAnsi" w:cstheme="minorHAnsi"/>
                <w:color w:val="000000" w:themeColor="text1"/>
                <w:sz w:val="18"/>
                <w:szCs w:val="18"/>
              </w:rPr>
              <w:t>0.98)</w:t>
            </w:r>
            <w:r>
              <w:rPr>
                <w:rFonts w:asciiTheme="minorHAnsi" w:hAnsiTheme="minorHAnsi" w:cstheme="minorHAnsi"/>
                <w:color w:val="000000" w:themeColor="text1"/>
                <w:sz w:val="18"/>
                <w:szCs w:val="18"/>
              </w:rPr>
              <w:t>*</w:t>
            </w:r>
            <w:proofErr w:type="gramEnd"/>
            <w:r w:rsidRPr="00010F3C">
              <w:rPr>
                <w:rFonts w:asciiTheme="minorHAnsi" w:hAnsiTheme="minorHAnsi" w:cstheme="minorHAnsi"/>
                <w:color w:val="000000" w:themeColor="text1"/>
                <w:sz w:val="18"/>
                <w:szCs w:val="18"/>
              </w:rPr>
              <w:t xml:space="preserve">; </w:t>
            </w:r>
            <w:r w:rsidRPr="00010F3C">
              <w:rPr>
                <w:rFonts w:asciiTheme="minorHAnsi" w:hAnsiTheme="minorHAnsi" w:cstheme="minorHAnsi"/>
                <w:color w:val="000000" w:themeColor="text1"/>
                <w:sz w:val="18"/>
                <w:szCs w:val="18"/>
                <w:u w:val="single"/>
              </w:rPr>
              <w:t xml:space="preserve">Consistently used DMPA only </w:t>
            </w:r>
            <w:r w:rsidRPr="00010F3C">
              <w:rPr>
                <w:rFonts w:asciiTheme="minorHAnsi" w:hAnsiTheme="minorHAnsi" w:cstheme="minorHAnsi"/>
                <w:color w:val="000000" w:themeColor="text1"/>
                <w:sz w:val="18"/>
                <w:szCs w:val="18"/>
              </w:rPr>
              <w:t>(at baseline and follow-up</w:t>
            </w:r>
            <w:r w:rsidRPr="00010F3C">
              <w:rPr>
                <w:rFonts w:asciiTheme="minorHAnsi" w:hAnsiTheme="minorHAnsi" w:cstheme="minorHAnsi"/>
                <w:color w:val="000000" w:themeColor="text1"/>
                <w:sz w:val="18"/>
                <w:szCs w:val="18"/>
                <w:u w:val="single"/>
              </w:rPr>
              <w:t>)</w:t>
            </w:r>
            <w:r w:rsidRPr="00010F3C">
              <w:rPr>
                <w:rFonts w:asciiTheme="minorHAnsi" w:hAnsiTheme="minorHAnsi" w:cstheme="minorHAnsi"/>
                <w:color w:val="000000" w:themeColor="text1"/>
                <w:sz w:val="18"/>
                <w:szCs w:val="18"/>
              </w:rPr>
              <w:t xml:space="preserve"> </w:t>
            </w:r>
            <w:proofErr w:type="spellStart"/>
            <w:r w:rsidRPr="00010F3C">
              <w:rPr>
                <w:rFonts w:asciiTheme="minorHAnsi" w:hAnsiTheme="minorHAnsi" w:cstheme="minorHAnsi"/>
                <w:color w:val="000000" w:themeColor="text1"/>
                <w:sz w:val="18"/>
                <w:szCs w:val="18"/>
              </w:rPr>
              <w:t>aIRR</w:t>
            </w:r>
            <w:proofErr w:type="spellEnd"/>
            <w:r w:rsidRPr="00010F3C">
              <w:rPr>
                <w:rFonts w:asciiTheme="minorHAnsi" w:hAnsiTheme="minorHAnsi" w:cstheme="minorHAnsi"/>
                <w:color w:val="000000" w:themeColor="text1"/>
                <w:sz w:val="18"/>
                <w:szCs w:val="18"/>
              </w:rPr>
              <w:t>: 0.59 (0.28, 1.26)</w:t>
            </w:r>
          </w:p>
        </w:tc>
        <w:tc>
          <w:tcPr>
            <w:tcW w:w="1254" w:type="dxa"/>
          </w:tcPr>
          <w:p w14:paraId="5E0B3E0C" w14:textId="77777777" w:rsidR="006F0DBF" w:rsidRPr="00010F3C" w:rsidRDefault="006F0DBF" w:rsidP="00C51E46">
            <w:pPr>
              <w:rPr>
                <w:rFonts w:asciiTheme="minorHAnsi" w:hAnsiTheme="minorHAnsi" w:cstheme="minorHAnsi"/>
                <w:color w:val="000000" w:themeColor="text1"/>
                <w:sz w:val="18"/>
                <w:szCs w:val="18"/>
              </w:rPr>
            </w:pPr>
            <w:r w:rsidRPr="00010F3C">
              <w:rPr>
                <w:rFonts w:asciiTheme="minorHAnsi" w:hAnsiTheme="minorHAnsi" w:cstheme="minorHAnsi"/>
                <w:color w:val="000000" w:themeColor="text1"/>
                <w:sz w:val="18"/>
                <w:szCs w:val="18"/>
                <w:u w:val="single"/>
              </w:rPr>
              <w:t>Norplant past 12M</w:t>
            </w:r>
            <w:r w:rsidRPr="00010F3C">
              <w:rPr>
                <w:rFonts w:asciiTheme="minorHAnsi" w:hAnsiTheme="minorHAnsi" w:cstheme="minorHAnsi"/>
                <w:color w:val="000000" w:themeColor="text1"/>
                <w:sz w:val="18"/>
                <w:szCs w:val="18"/>
              </w:rPr>
              <w:t xml:space="preserve"> </w:t>
            </w:r>
            <w:proofErr w:type="spellStart"/>
            <w:r w:rsidRPr="00010F3C">
              <w:rPr>
                <w:rFonts w:asciiTheme="minorHAnsi" w:hAnsiTheme="minorHAnsi" w:cstheme="minorHAnsi"/>
                <w:color w:val="000000" w:themeColor="text1"/>
                <w:sz w:val="18"/>
                <w:szCs w:val="18"/>
              </w:rPr>
              <w:t>aIRR</w:t>
            </w:r>
            <w:proofErr w:type="spellEnd"/>
            <w:r w:rsidRPr="00010F3C">
              <w:rPr>
                <w:rFonts w:asciiTheme="minorHAnsi" w:hAnsiTheme="minorHAnsi" w:cstheme="minorHAnsi"/>
                <w:color w:val="000000" w:themeColor="text1"/>
                <w:sz w:val="18"/>
                <w:szCs w:val="18"/>
              </w:rPr>
              <w:t xml:space="preserve">: 3.01 (1.07, </w:t>
            </w:r>
            <w:proofErr w:type="gramStart"/>
            <w:r w:rsidRPr="00010F3C">
              <w:rPr>
                <w:rFonts w:asciiTheme="minorHAnsi" w:hAnsiTheme="minorHAnsi" w:cstheme="minorHAnsi"/>
                <w:color w:val="000000" w:themeColor="text1"/>
                <w:sz w:val="18"/>
                <w:szCs w:val="18"/>
              </w:rPr>
              <w:t>8.49)</w:t>
            </w:r>
            <w:r>
              <w:rPr>
                <w:rFonts w:asciiTheme="minorHAnsi" w:hAnsiTheme="minorHAnsi" w:cstheme="minorHAnsi"/>
                <w:color w:val="000000" w:themeColor="text1"/>
                <w:sz w:val="18"/>
                <w:szCs w:val="18"/>
              </w:rPr>
              <w:t>*</w:t>
            </w:r>
            <w:proofErr w:type="gramEnd"/>
            <w:r w:rsidRPr="00010F3C">
              <w:rPr>
                <w:rFonts w:asciiTheme="minorHAnsi" w:hAnsiTheme="minorHAnsi" w:cstheme="minorHAnsi"/>
                <w:color w:val="000000" w:themeColor="text1"/>
                <w:sz w:val="18"/>
                <w:szCs w:val="18"/>
              </w:rPr>
              <w:t xml:space="preserve">; </w:t>
            </w:r>
            <w:r w:rsidRPr="00010F3C">
              <w:rPr>
                <w:rFonts w:asciiTheme="minorHAnsi" w:hAnsiTheme="minorHAnsi" w:cstheme="minorHAnsi"/>
                <w:color w:val="000000" w:themeColor="text1"/>
                <w:sz w:val="18"/>
                <w:szCs w:val="18"/>
                <w:u w:val="single"/>
              </w:rPr>
              <w:t>Consistently used Norplant only</w:t>
            </w:r>
            <w:r w:rsidRPr="00010F3C">
              <w:rPr>
                <w:rFonts w:asciiTheme="minorHAnsi" w:hAnsiTheme="minorHAnsi" w:cstheme="minorHAnsi"/>
                <w:color w:val="000000" w:themeColor="text1"/>
                <w:sz w:val="18"/>
                <w:szCs w:val="18"/>
              </w:rPr>
              <w:t xml:space="preserve"> (at baseline and follow-up) </w:t>
            </w:r>
            <w:proofErr w:type="spellStart"/>
            <w:r w:rsidRPr="00010F3C">
              <w:rPr>
                <w:rFonts w:asciiTheme="minorHAnsi" w:hAnsiTheme="minorHAnsi" w:cstheme="minorHAnsi"/>
                <w:color w:val="000000" w:themeColor="text1"/>
                <w:sz w:val="18"/>
                <w:szCs w:val="18"/>
              </w:rPr>
              <w:t>aIRR</w:t>
            </w:r>
            <w:proofErr w:type="spellEnd"/>
            <w:r w:rsidRPr="00010F3C">
              <w:rPr>
                <w:rFonts w:asciiTheme="minorHAnsi" w:hAnsiTheme="minorHAnsi" w:cstheme="minorHAnsi"/>
                <w:color w:val="000000" w:themeColor="text1"/>
                <w:sz w:val="18"/>
                <w:szCs w:val="18"/>
              </w:rPr>
              <w:t>: 3.13 (1.08, 9.07)</w:t>
            </w:r>
            <w:r>
              <w:rPr>
                <w:rFonts w:asciiTheme="minorHAnsi" w:hAnsiTheme="minorHAnsi" w:cstheme="minorHAnsi"/>
                <w:color w:val="000000" w:themeColor="text1"/>
                <w:sz w:val="18"/>
                <w:szCs w:val="18"/>
              </w:rPr>
              <w:t>*</w:t>
            </w:r>
          </w:p>
        </w:tc>
      </w:tr>
      <w:tr w:rsidR="006F0DBF" w:rsidRPr="00010F3C" w14:paraId="1B472F1B" w14:textId="77777777" w:rsidTr="00C51E46">
        <w:tc>
          <w:tcPr>
            <w:tcW w:w="1144" w:type="dxa"/>
          </w:tcPr>
          <w:p w14:paraId="03F1B7B1" w14:textId="77777777" w:rsidR="006F0DBF" w:rsidRPr="00010F3C" w:rsidRDefault="006F0DBF" w:rsidP="00C51E46">
            <w:pPr>
              <w:rPr>
                <w:rFonts w:asciiTheme="minorHAnsi" w:hAnsiTheme="minorHAnsi" w:cstheme="minorHAnsi"/>
                <w:sz w:val="18"/>
                <w:szCs w:val="18"/>
              </w:rPr>
            </w:pPr>
            <w:proofErr w:type="spellStart"/>
            <w:r w:rsidRPr="00010F3C">
              <w:rPr>
                <w:rFonts w:asciiTheme="minorHAnsi" w:hAnsiTheme="minorHAnsi" w:cstheme="minorHAnsi"/>
                <w:sz w:val="18"/>
                <w:szCs w:val="18"/>
              </w:rPr>
              <w:t>Kapiga</w:t>
            </w:r>
            <w:proofErr w:type="spellEnd"/>
            <w:r w:rsidRPr="00010F3C">
              <w:rPr>
                <w:rFonts w:asciiTheme="minorHAnsi" w:hAnsiTheme="minorHAnsi" w:cstheme="minorHAnsi"/>
                <w:sz w:val="18"/>
                <w:szCs w:val="18"/>
              </w:rPr>
              <w:t>, 2009</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{"citationItems":[{"id":"ITEM-1","itemData":{"DOI":"10.1097/OLQ.0b013e318191ba01","PMID":"19265734","abstract":"OBJECTIVE To determine risk factors for sexually transmitted infections (STIs) among women in Durban and Hlabisa (South Africa), Moshi (Tanzania), and Lusaka (Zambia). STUDY DESIGN Between 2003 and 2004, 958 women at risk of STIs were enrolled in a 1-year prospective study. They were interviewed at each monthly visit, and samples for STI testing were collected during quarterly and other visits when clinically indicated. RESULTS The incidence of infections as measured in person-years at risk (PYAR) was as follows: overall trichomoniasis, 31.9/100 PYAR; chlamydial infection in South Africa, 19.5/100 PYAR; chlamydial infection in Tanzania and Zambia, 4.9/100 PYAR; gonorrhea in South Africa, 16.5/100 PYAR; gonorrhea in Tanzania and Zambia, 5.3/100 PYAR; overall syphilis, 7.5/100 PYAR; and overall HIV, 3.8/100 PYAR. The incidence of most STIs was highest among the South African sites, where chlamydial infection and gonorrhea were detected by using a more sensitive assay. Independent risk factors included age, hormonal contraceptive methods, and measures of sexual behavior, including number of sex partners and occurrence of anal sex in the past 3 months. Women with incident HIV infection were at increased risk of chlamydial infection [odds ratio (OR) = 5.5, 95% confidence interval (CI): 2.0-15.2]and gonorrhea (OR = 5.7, 95% CI: 1.9-17.0) in South African sites. Despite ongoing counseling during the study, high-risk sexual behaviors were common, and consistent condom use remained low. CONCLUSIONS The incidence of STIs, including HIV, was high among women in this study. These findings highlight the urgent need for effective HIV/STI prevention programs in this population.","author":[{"dropping-particle":"","family":"Kapiga","given":"Saidi","non-dropping-particle":"","parse-names":false,"suffix":""},{"dropping-particle":"","family":"Kelly","given":"Cliff","non-dropping-particle":"","parse-names":false,"suffix":""},{"dropping-particle":"","family":"Weiss","given":"Stephen","non-dropping-particle":"","parse-names":false,"suffix":""},{"dropping-particle":"","family":"Daley","given":"Tara","non-dropping-particle":"","parse-names":false,"suffix":""},{"dropping-particle":"","family":"Peterson","given":"Leigh","non-dropping-particle":"","parse-names":false,"suffix":""},{"dropping-particle":"","family":"Leburg","given":"Corey","non-dropping-particle":"","parse-names":false,"suffix":""},{"dropping-particle":"","family":"Ramjee","given":"Gita","non-dropping-particle":"","parse-names":false,"suffix":""}],"container-title":"Sexually Transmitted Diseases","id":"ITEM-1","issue":"4","issued":{"date-parts":[["2009","4"]]},"page":"199-206","title":"Risk factors for incidence of sexually transmitted infections among women in South Africa, Tanzania, and Zambia: Results from HPTN 055 study","type":"article-journal","volume":"36"},"uris":["http://www.mendeley.com/documents/?uuid=9796a310-66c3-3ac3-ac3f-20e1f341bfc4"]}],"mendeley":{"formattedCitation":"[47]","plainTextFormattedCitation":"[47]","previouslyFormattedCitation":"[47]"},"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[47]</w:t>
            </w:r>
            <w:r>
              <w:rPr>
                <w:rFonts w:asciiTheme="minorHAnsi" w:hAnsiTheme="minorHAnsi" w:cstheme="minorHAnsi"/>
                <w:sz w:val="18"/>
                <w:szCs w:val="18"/>
              </w:rPr>
              <w:fldChar w:fldCharType="end"/>
            </w:r>
          </w:p>
        </w:tc>
        <w:tc>
          <w:tcPr>
            <w:tcW w:w="1554" w:type="dxa"/>
          </w:tcPr>
          <w:p w14:paraId="6B20B393" w14:textId="77777777" w:rsidR="006F0DBF" w:rsidRPr="00010F3C" w:rsidRDefault="006F0DBF" w:rsidP="00C51E46">
            <w:pPr>
              <w:pStyle w:val="p1"/>
              <w:rPr>
                <w:rFonts w:asciiTheme="minorHAnsi" w:hAnsiTheme="minorHAnsi" w:cstheme="minorHAnsi"/>
                <w:sz w:val="18"/>
                <w:szCs w:val="18"/>
              </w:rPr>
            </w:pPr>
            <w:r w:rsidRPr="00010F3C">
              <w:rPr>
                <w:rFonts w:asciiTheme="minorHAnsi" w:hAnsiTheme="minorHAnsi" w:cstheme="minorHAnsi"/>
                <w:sz w:val="18"/>
                <w:szCs w:val="18"/>
              </w:rPr>
              <w:t>958, HIV negative women ages 16 to 62 in Lusaka, Zambia (ZA), Moshi Tanzania (TZ) and Durban/Hlabisa, South Africa (SA), Incidence rate: 31.9/100 PY (all sites)</w:t>
            </w:r>
          </w:p>
          <w:p w14:paraId="60960A08" w14:textId="77777777" w:rsidR="006F0DBF" w:rsidRPr="00010F3C" w:rsidRDefault="006F0DBF" w:rsidP="00C51E46">
            <w:pPr>
              <w:pStyle w:val="p1"/>
              <w:rPr>
                <w:rFonts w:asciiTheme="minorHAnsi" w:hAnsiTheme="minorHAnsi" w:cstheme="minorHAnsi"/>
                <w:sz w:val="18"/>
                <w:szCs w:val="18"/>
              </w:rPr>
            </w:pPr>
          </w:p>
        </w:tc>
        <w:tc>
          <w:tcPr>
            <w:tcW w:w="1175" w:type="dxa"/>
          </w:tcPr>
          <w:p w14:paraId="770BCA04"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12M; every 3M</w:t>
            </w:r>
          </w:p>
          <w:p w14:paraId="1A51F7FD" w14:textId="77777777" w:rsidR="006F0DBF" w:rsidRPr="00010F3C" w:rsidRDefault="006F0DBF" w:rsidP="00C51E46">
            <w:pPr>
              <w:rPr>
                <w:rFonts w:asciiTheme="minorHAnsi" w:hAnsiTheme="minorHAnsi" w:cstheme="minorHAnsi"/>
                <w:sz w:val="18"/>
                <w:szCs w:val="18"/>
              </w:rPr>
            </w:pPr>
          </w:p>
          <w:p w14:paraId="55A35430" w14:textId="77777777" w:rsidR="006F0DBF" w:rsidRPr="00010F3C" w:rsidRDefault="006F0DBF" w:rsidP="00C51E46">
            <w:pPr>
              <w:rPr>
                <w:rFonts w:asciiTheme="minorHAnsi" w:hAnsiTheme="minorHAnsi" w:cstheme="minorHAnsi"/>
                <w:sz w:val="18"/>
                <w:szCs w:val="18"/>
              </w:rPr>
            </w:pPr>
          </w:p>
        </w:tc>
        <w:tc>
          <w:tcPr>
            <w:tcW w:w="1537" w:type="dxa"/>
          </w:tcPr>
          <w:p w14:paraId="75E1A6E0"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Vaginal swab via Gram stain using Nugent criteria</w:t>
            </w:r>
          </w:p>
          <w:p w14:paraId="6CCBDFBA" w14:textId="77777777" w:rsidR="006F0DBF" w:rsidRPr="00010F3C" w:rsidRDefault="006F0DBF" w:rsidP="00C51E46">
            <w:pPr>
              <w:rPr>
                <w:rFonts w:asciiTheme="minorHAnsi" w:hAnsiTheme="minorHAnsi" w:cstheme="minorHAnsi"/>
                <w:sz w:val="18"/>
                <w:szCs w:val="18"/>
              </w:rPr>
            </w:pPr>
          </w:p>
        </w:tc>
        <w:tc>
          <w:tcPr>
            <w:tcW w:w="2325" w:type="dxa"/>
          </w:tcPr>
          <w:p w14:paraId="6452C240"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Age, site, partner earns income, # sex partners, frequency vaginal sex in past 1W, anal sex in past 3M, other STIs, bacterial vaginosis, candida, abnormal vaginal discharge on exam, abnormal cervical discharge on exam, incident HIV infection</w:t>
            </w:r>
          </w:p>
          <w:p w14:paraId="55F30FCE" w14:textId="77777777" w:rsidR="006F0DBF" w:rsidRPr="00010F3C" w:rsidRDefault="006F0DBF" w:rsidP="00C51E46">
            <w:pPr>
              <w:rPr>
                <w:rFonts w:asciiTheme="minorHAnsi" w:hAnsiTheme="minorHAnsi" w:cstheme="minorHAnsi"/>
                <w:sz w:val="18"/>
                <w:szCs w:val="18"/>
              </w:rPr>
            </w:pPr>
          </w:p>
          <w:p w14:paraId="68B223A8"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Final model (empirical selection): site and incident </w:t>
            </w:r>
            <w:r w:rsidRPr="00010F3C">
              <w:rPr>
                <w:rFonts w:asciiTheme="minorHAnsi" w:hAnsiTheme="minorHAnsi" w:cstheme="minorHAnsi"/>
                <w:sz w:val="18"/>
                <w:szCs w:val="18"/>
              </w:rPr>
              <w:lastRenderedPageBreak/>
              <w:t>HIV infection included in SA model and only age in TZ/ZA model</w:t>
            </w:r>
          </w:p>
        </w:tc>
        <w:tc>
          <w:tcPr>
            <w:tcW w:w="1488" w:type="dxa"/>
          </w:tcPr>
          <w:p w14:paraId="150ECB5C" w14:textId="77777777" w:rsidR="006F0DBF" w:rsidRPr="00010F3C" w:rsidRDefault="006F0DBF" w:rsidP="00C51E46">
            <w:pPr>
              <w:rPr>
                <w:rFonts w:asciiTheme="minorHAnsi" w:hAnsiTheme="minorHAnsi" w:cstheme="minorHAnsi"/>
                <w:color w:val="000000"/>
                <w:sz w:val="18"/>
                <w:szCs w:val="18"/>
              </w:rPr>
            </w:pPr>
            <w:r w:rsidRPr="00010F3C">
              <w:rPr>
                <w:rFonts w:asciiTheme="minorHAnsi" w:hAnsiTheme="minorHAnsi" w:cstheme="minorHAnsi"/>
                <w:color w:val="000000"/>
                <w:sz w:val="18"/>
                <w:szCs w:val="18"/>
              </w:rPr>
              <w:lastRenderedPageBreak/>
              <w:t>Not specified</w:t>
            </w:r>
          </w:p>
        </w:tc>
        <w:tc>
          <w:tcPr>
            <w:tcW w:w="1458" w:type="dxa"/>
          </w:tcPr>
          <w:p w14:paraId="739C4E67" w14:textId="77777777" w:rsidR="006F0DBF" w:rsidRPr="00CA3B41" w:rsidRDefault="006F0DBF" w:rsidP="00C51E46">
            <w:pPr>
              <w:rPr>
                <w:rFonts w:asciiTheme="minorHAnsi" w:hAnsiTheme="minorHAnsi" w:cstheme="minorHAnsi"/>
                <w:sz w:val="18"/>
                <w:szCs w:val="18"/>
              </w:rPr>
            </w:pPr>
            <w:r w:rsidRPr="00CA3B41">
              <w:rPr>
                <w:rFonts w:asciiTheme="minorHAnsi" w:hAnsiTheme="minorHAnsi" w:cstheme="minorHAnsi"/>
                <w:sz w:val="18"/>
                <w:szCs w:val="18"/>
              </w:rPr>
              <w:t xml:space="preserve">OCP All sites </w:t>
            </w:r>
            <w:proofErr w:type="spellStart"/>
            <w:r w:rsidRPr="00CA3B41">
              <w:rPr>
                <w:rFonts w:asciiTheme="minorHAnsi" w:hAnsiTheme="minorHAnsi" w:cstheme="minorHAnsi"/>
                <w:sz w:val="18"/>
                <w:szCs w:val="18"/>
              </w:rPr>
              <w:t>aOR</w:t>
            </w:r>
            <w:proofErr w:type="spellEnd"/>
            <w:r w:rsidRPr="00CA3B41">
              <w:rPr>
                <w:rFonts w:asciiTheme="minorHAnsi" w:hAnsiTheme="minorHAnsi" w:cstheme="minorHAnsi"/>
                <w:sz w:val="18"/>
                <w:szCs w:val="18"/>
              </w:rPr>
              <w:t>: 0.6 (0.3, 1.0)</w:t>
            </w:r>
          </w:p>
        </w:tc>
        <w:tc>
          <w:tcPr>
            <w:tcW w:w="1290" w:type="dxa"/>
          </w:tcPr>
          <w:p w14:paraId="4E78B848" w14:textId="77777777" w:rsidR="006F0DBF" w:rsidRPr="00CA3B41" w:rsidRDefault="006F0DBF" w:rsidP="00C51E46">
            <w:pPr>
              <w:rPr>
                <w:rFonts w:asciiTheme="minorHAnsi" w:hAnsiTheme="minorHAnsi" w:cstheme="minorHAnsi"/>
                <w:color w:val="000000" w:themeColor="text1"/>
                <w:sz w:val="18"/>
                <w:szCs w:val="18"/>
              </w:rPr>
            </w:pPr>
            <w:r w:rsidRPr="00CA3B41">
              <w:rPr>
                <w:rFonts w:asciiTheme="minorHAnsi" w:hAnsiTheme="minorHAnsi" w:cstheme="minorHAnsi"/>
                <w:color w:val="000000" w:themeColor="text1"/>
                <w:sz w:val="18"/>
                <w:szCs w:val="18"/>
              </w:rPr>
              <w:t xml:space="preserve">All sites DMPA </w:t>
            </w:r>
            <w:proofErr w:type="spellStart"/>
            <w:r w:rsidRPr="00CA3B41">
              <w:rPr>
                <w:rFonts w:asciiTheme="minorHAnsi" w:hAnsiTheme="minorHAnsi" w:cstheme="minorHAnsi"/>
                <w:color w:val="000000" w:themeColor="text1"/>
                <w:sz w:val="18"/>
                <w:szCs w:val="18"/>
              </w:rPr>
              <w:t>aOR</w:t>
            </w:r>
            <w:proofErr w:type="spellEnd"/>
            <w:r w:rsidRPr="00CA3B41">
              <w:rPr>
                <w:rFonts w:asciiTheme="minorHAnsi" w:hAnsiTheme="minorHAnsi" w:cstheme="minorHAnsi"/>
                <w:color w:val="000000" w:themeColor="text1"/>
                <w:sz w:val="18"/>
                <w:szCs w:val="18"/>
              </w:rPr>
              <w:t>: 0.7 (0.5, 1.0)</w:t>
            </w:r>
          </w:p>
          <w:p w14:paraId="08428D88" w14:textId="77777777" w:rsidR="006F0DBF" w:rsidRPr="00CA3B41" w:rsidRDefault="006F0DBF" w:rsidP="00C51E46">
            <w:pPr>
              <w:rPr>
                <w:rFonts w:asciiTheme="minorHAnsi" w:hAnsiTheme="minorHAnsi" w:cstheme="minorHAnsi"/>
                <w:color w:val="000000" w:themeColor="text1"/>
                <w:sz w:val="18"/>
                <w:szCs w:val="18"/>
              </w:rPr>
            </w:pPr>
            <w:bookmarkStart w:id="0" w:name="_GoBack"/>
            <w:bookmarkEnd w:id="0"/>
          </w:p>
        </w:tc>
        <w:tc>
          <w:tcPr>
            <w:tcW w:w="1254" w:type="dxa"/>
          </w:tcPr>
          <w:p w14:paraId="7C3C590B" w14:textId="77777777" w:rsidR="006F0DBF" w:rsidRPr="00CA3B41" w:rsidRDefault="006F0DBF" w:rsidP="00C51E46">
            <w:pPr>
              <w:rPr>
                <w:rFonts w:asciiTheme="minorHAnsi" w:hAnsiTheme="minorHAnsi" w:cstheme="minorHAnsi"/>
                <w:color w:val="000000" w:themeColor="text1"/>
                <w:sz w:val="18"/>
                <w:szCs w:val="18"/>
              </w:rPr>
            </w:pPr>
            <w:r w:rsidRPr="00CA3B41">
              <w:rPr>
                <w:rFonts w:asciiTheme="minorHAnsi" w:hAnsiTheme="minorHAnsi" w:cstheme="minorHAnsi"/>
                <w:color w:val="000000" w:themeColor="text1"/>
                <w:sz w:val="18"/>
                <w:szCs w:val="18"/>
              </w:rPr>
              <w:t xml:space="preserve">All sites Norplant </w:t>
            </w:r>
            <w:proofErr w:type="spellStart"/>
            <w:r w:rsidRPr="00CA3B41">
              <w:rPr>
                <w:rFonts w:asciiTheme="minorHAnsi" w:hAnsiTheme="minorHAnsi" w:cstheme="minorHAnsi"/>
                <w:color w:val="000000" w:themeColor="text1"/>
                <w:sz w:val="18"/>
                <w:szCs w:val="18"/>
              </w:rPr>
              <w:t>aOR</w:t>
            </w:r>
            <w:proofErr w:type="spellEnd"/>
            <w:r w:rsidRPr="00CA3B41">
              <w:rPr>
                <w:rFonts w:asciiTheme="minorHAnsi" w:hAnsiTheme="minorHAnsi" w:cstheme="minorHAnsi"/>
                <w:color w:val="000000" w:themeColor="text1"/>
                <w:sz w:val="18"/>
                <w:szCs w:val="18"/>
              </w:rPr>
              <w:t>: NR (ns)</w:t>
            </w:r>
          </w:p>
          <w:p w14:paraId="3230F581" w14:textId="77777777" w:rsidR="006F0DBF" w:rsidRPr="00CA3B41" w:rsidRDefault="006F0DBF" w:rsidP="00C51E46">
            <w:pPr>
              <w:rPr>
                <w:rFonts w:asciiTheme="minorHAnsi" w:hAnsiTheme="minorHAnsi" w:cstheme="minorHAnsi"/>
                <w:color w:val="000000" w:themeColor="text1"/>
                <w:sz w:val="18"/>
                <w:szCs w:val="18"/>
              </w:rPr>
            </w:pPr>
          </w:p>
        </w:tc>
      </w:tr>
      <w:tr w:rsidR="006F0DBF" w:rsidRPr="00010F3C" w14:paraId="173347B1" w14:textId="77777777" w:rsidTr="00C51E46">
        <w:tc>
          <w:tcPr>
            <w:tcW w:w="1144" w:type="dxa"/>
          </w:tcPr>
          <w:p w14:paraId="14E6DF1A" w14:textId="77777777" w:rsidR="006F0DBF" w:rsidRPr="00010F3C" w:rsidRDefault="006F0DBF" w:rsidP="00C51E46">
            <w:pPr>
              <w:rPr>
                <w:rFonts w:asciiTheme="minorHAnsi" w:hAnsiTheme="minorHAnsi" w:cstheme="minorHAnsi"/>
                <w:sz w:val="18"/>
                <w:szCs w:val="18"/>
              </w:rPr>
            </w:pPr>
            <w:proofErr w:type="spellStart"/>
            <w:r w:rsidRPr="00010F3C">
              <w:rPr>
                <w:rFonts w:asciiTheme="minorHAnsi" w:hAnsiTheme="minorHAnsi" w:cstheme="minorHAnsi"/>
                <w:sz w:val="18"/>
                <w:szCs w:val="18"/>
              </w:rPr>
              <w:t>Pettifor</w:t>
            </w:r>
            <w:proofErr w:type="spellEnd"/>
            <w:r w:rsidRPr="00010F3C">
              <w:rPr>
                <w:rFonts w:asciiTheme="minorHAnsi" w:hAnsiTheme="minorHAnsi" w:cstheme="minorHAnsi"/>
                <w:sz w:val="18"/>
                <w:szCs w:val="18"/>
              </w:rPr>
              <w:t>, 2009</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{"citationItems":[{"id":"ITEM-1","itemData":{"DOI":"10.1016/j.contraception.2009.06.007","ISSN":"1879-0518","PMID":"19913149","abstract":"OBJECTIVE This study was conducted to determine the association between the use of injectable progestin contraception (IPC) and the risk of infection with Neisseria gonorrhoeae (GC), Chlamydia trachomatis (CT), bacterial vaginosis (BV) and Trichomonas vaginalis (TV) among women in South Africa. METHODS From August 1999 through May 2001, 643 HIV-1-negative women were recruited from family planning clinics in Orange Farm, South Africa. IPC [norethisterone enanthate (NET-EN) and depot medroxyprogesterone acetate (DMPA)] users and nonhormonal contraception users were recruited in approximately equal numbers. Eligible participants were seen at enrolment and on four follow-up visits over a 12-month period; 567 returned for at least one follow-up visit. Multivariable Poisson regression models with generalized estimating equations were used to compute the incidence rate ratios (IRRs) for infections with GC, CT, BV and TV by use of NET-EN or DMPA relative to nonuse during follow-up. RESULTS In multivariable models, the use of DMPA slightly increased the risk of infection with CT [IRR=1.24; 95% confidence interval (95% CI)=0.80-1.94] and GC (IRR=1.30; 95% CI=0.58-2.98), although these associations were not statistically significant. In contrast, DMPA appeared to be protective for TV (IRR=0.35; 95% CI=0.12-1.01), although this estimate was very imprecise. The use of both DMPA and NET-EN was associated with a decreased risk of BV. CONCLUSIONS The use of DMPA among women in this study population was associated with an increased - but not statistically significant - risk of cervical infection with chlamydia and gonorrhea, and a decreased risk of TV and BV. Given the inconsistencies and limitations of the data describing an increased risk of CT and GC with IPC use, the potential risk of sexually transmitted infections (STIs) must be balanced against the risk of unintended pregnancy and its health consequences, especially in developing countries. Women opting to use IPC should be counseled to use condoms to protect against STIs and HIV.","author":[{"dropping-particle":"","family":"Pettifor","given":"Audrey","non-dropping-particle":"","parse-names":false,"suffix":""},{"dropping-particle":"","family":"Delany","given":"Sinead","non-dropping-particle":"","parse-names":false,"suffix":""},{"dropping-particle":"","family":"Kleinschmidt","given":"Immo","non-dropping-particle":"","parse-names":false,"suffix":""},{"dropping-particle":"","family":"Miller","given":"William C","non-dropping-particle":"","parse-names":false,"suffix":""},{"dropping-particle":"","family":"Atashili","given":"Julius","non-dropping-particle":"","parse-names":false,"suffix":""},{"dropping-particle":"","family":"Rees","given":"Helen","non-dropping-particle":"","parse-names":false,"suffix":""}],"container-title":"Contraception","id":"ITEM-1","issue":"6","issued":{"date-parts":[["2009","12"]]},"page":"555-60","title":"Use of injectable progestin contraception and risk of STI among South African women.","type":"article-journal","volume":"80"},"uris":["http://www.mendeley.com/documents/?uuid=45e239d2-c5f9-365d-aaa3-264f2f2eabb2"]}],"mendeley":{"formattedCitation":"[48]","plainTextFormattedCitation":"[48]","previouslyFormattedCitation":"[48]"},"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[48]</w:t>
            </w:r>
            <w:r>
              <w:rPr>
                <w:rFonts w:asciiTheme="minorHAnsi" w:hAnsiTheme="minorHAnsi" w:cstheme="minorHAnsi"/>
                <w:sz w:val="18"/>
                <w:szCs w:val="18"/>
              </w:rPr>
              <w:fldChar w:fldCharType="end"/>
            </w:r>
          </w:p>
        </w:tc>
        <w:tc>
          <w:tcPr>
            <w:tcW w:w="1554" w:type="dxa"/>
          </w:tcPr>
          <w:p w14:paraId="78099613" w14:textId="77777777" w:rsidR="006F0DBF" w:rsidRPr="00010F3C" w:rsidRDefault="006F0DBF" w:rsidP="00C51E46">
            <w:pPr>
              <w:rPr>
                <w:rFonts w:asciiTheme="minorHAnsi" w:hAnsiTheme="minorHAnsi" w:cstheme="minorHAnsi"/>
                <w:i/>
                <w:sz w:val="18"/>
                <w:szCs w:val="18"/>
              </w:rPr>
            </w:pPr>
            <w:r w:rsidRPr="00010F3C">
              <w:rPr>
                <w:rFonts w:asciiTheme="minorHAnsi" w:hAnsiTheme="minorHAnsi" w:cstheme="minorHAnsi"/>
                <w:sz w:val="18"/>
                <w:szCs w:val="18"/>
              </w:rPr>
              <w:t xml:space="preserve">567, HIV-negative women ages 18 to 40 recruited from family planning clinics in Orange Farm, South Africa; </w:t>
            </w:r>
            <w:r w:rsidRPr="00010F3C">
              <w:rPr>
                <w:rFonts w:asciiTheme="minorHAnsi" w:hAnsiTheme="minorHAnsi" w:cstheme="minorHAnsi"/>
                <w:i/>
                <w:sz w:val="18"/>
                <w:szCs w:val="18"/>
              </w:rPr>
              <w:t xml:space="preserve">N=47 incident </w:t>
            </w:r>
            <w:proofErr w:type="spellStart"/>
            <w:r w:rsidRPr="00010F3C">
              <w:rPr>
                <w:rFonts w:asciiTheme="minorHAnsi" w:hAnsiTheme="minorHAnsi" w:cstheme="minorHAnsi"/>
                <w:i/>
                <w:sz w:val="18"/>
                <w:szCs w:val="18"/>
              </w:rPr>
              <w:t>infections</w:t>
            </w:r>
            <w:r>
              <w:rPr>
                <w:rFonts w:asciiTheme="minorHAnsi" w:hAnsiTheme="minorHAnsi" w:cstheme="minorHAnsi"/>
                <w:i/>
                <w:sz w:val="18"/>
                <w:szCs w:val="18"/>
                <w:vertAlign w:val="superscript"/>
              </w:rPr>
              <w:t>b</w:t>
            </w:r>
            <w:proofErr w:type="spellEnd"/>
            <w:r w:rsidRPr="00010F3C">
              <w:rPr>
                <w:rFonts w:asciiTheme="minorHAnsi" w:hAnsiTheme="minorHAnsi" w:cstheme="minorHAnsi"/>
                <w:i/>
                <w:sz w:val="18"/>
                <w:szCs w:val="18"/>
              </w:rPr>
              <w:t>, incident rate: 10.2 per 100 PY</w:t>
            </w:r>
          </w:p>
        </w:tc>
        <w:tc>
          <w:tcPr>
            <w:tcW w:w="1175" w:type="dxa"/>
          </w:tcPr>
          <w:p w14:paraId="22CF487F"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1Y; 0M, 2M, 6M, 8M and 12M (NET-EN users) or 0M, 3M, 6M, 9M and</w:t>
            </w:r>
          </w:p>
          <w:p w14:paraId="051CF1B4"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12M (DMPA users and controls)</w:t>
            </w:r>
          </w:p>
          <w:p w14:paraId="42713765" w14:textId="77777777" w:rsidR="006F0DBF" w:rsidRPr="00010F3C" w:rsidRDefault="006F0DBF" w:rsidP="00C51E46">
            <w:pPr>
              <w:rPr>
                <w:rFonts w:asciiTheme="minorHAnsi" w:hAnsiTheme="minorHAnsi" w:cstheme="minorHAnsi"/>
                <w:sz w:val="18"/>
                <w:szCs w:val="18"/>
              </w:rPr>
            </w:pPr>
          </w:p>
          <w:p w14:paraId="0C66EF97"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w:t>
            </w:r>
          </w:p>
        </w:tc>
        <w:tc>
          <w:tcPr>
            <w:tcW w:w="1537" w:type="dxa"/>
          </w:tcPr>
          <w:p w14:paraId="64023BC9"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Vaginal swabs via culture in Diamond</w:t>
            </w:r>
            <w:r>
              <w:rPr>
                <w:rFonts w:asciiTheme="minorHAnsi" w:hAnsiTheme="minorHAnsi" w:cstheme="minorHAnsi"/>
                <w:sz w:val="18"/>
                <w:szCs w:val="18"/>
              </w:rPr>
              <w:t>’</w:t>
            </w:r>
            <w:r w:rsidRPr="00010F3C">
              <w:rPr>
                <w:rFonts w:asciiTheme="minorHAnsi" w:hAnsiTheme="minorHAnsi" w:cstheme="minorHAnsi"/>
                <w:sz w:val="18"/>
                <w:szCs w:val="18"/>
              </w:rPr>
              <w:t xml:space="preserve">s media </w:t>
            </w:r>
          </w:p>
        </w:tc>
        <w:tc>
          <w:tcPr>
            <w:tcW w:w="2325" w:type="dxa"/>
          </w:tcPr>
          <w:p w14:paraId="44BC763F"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Age, relationship status, education, frequency of sex past 3M, # partners in past 3M, condom use in past 3M, vagina douching past 3M, age of first sex </w:t>
            </w:r>
          </w:p>
          <w:p w14:paraId="0D111BC4" w14:textId="77777777" w:rsidR="006F0DBF" w:rsidRPr="00010F3C" w:rsidRDefault="006F0DBF" w:rsidP="00C51E46">
            <w:pPr>
              <w:rPr>
                <w:rFonts w:asciiTheme="minorHAnsi" w:hAnsiTheme="minorHAnsi" w:cstheme="minorHAnsi"/>
                <w:sz w:val="18"/>
                <w:szCs w:val="18"/>
              </w:rPr>
            </w:pPr>
          </w:p>
          <w:p w14:paraId="6462EF9D"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Final model (empirical and theoretical selection): Age, education, condom consistency in past 3M</w:t>
            </w:r>
          </w:p>
        </w:tc>
        <w:tc>
          <w:tcPr>
            <w:tcW w:w="1488" w:type="dxa"/>
          </w:tcPr>
          <w:p w14:paraId="428F49D4"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Non-pregnant non-</w:t>
            </w:r>
            <w:r>
              <w:rPr>
                <w:rFonts w:asciiTheme="minorHAnsi" w:hAnsiTheme="minorHAnsi" w:cstheme="minorHAnsi"/>
                <w:sz w:val="18"/>
                <w:szCs w:val="18"/>
              </w:rPr>
              <w:t>hormonal user</w:t>
            </w:r>
          </w:p>
        </w:tc>
        <w:tc>
          <w:tcPr>
            <w:tcW w:w="1458" w:type="dxa"/>
          </w:tcPr>
          <w:p w14:paraId="0E102428"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NA</w:t>
            </w:r>
          </w:p>
        </w:tc>
        <w:tc>
          <w:tcPr>
            <w:tcW w:w="1290" w:type="dxa"/>
          </w:tcPr>
          <w:p w14:paraId="1C47D9B7" w14:textId="77777777" w:rsidR="006F0DBF" w:rsidRPr="00010F3C" w:rsidRDefault="006F0DBF" w:rsidP="00C51E46">
            <w:pPr>
              <w:rPr>
                <w:rFonts w:asciiTheme="minorHAnsi" w:hAnsiTheme="minorHAnsi" w:cstheme="minorHAnsi"/>
                <w:color w:val="FF0000"/>
                <w:sz w:val="18"/>
                <w:szCs w:val="18"/>
                <w:lang w:val="nl-NL"/>
              </w:rPr>
            </w:pPr>
            <w:r w:rsidRPr="00010F3C">
              <w:rPr>
                <w:rFonts w:asciiTheme="minorHAnsi" w:hAnsiTheme="minorHAnsi" w:cstheme="minorHAnsi"/>
                <w:color w:val="000000" w:themeColor="text1"/>
                <w:sz w:val="18"/>
                <w:szCs w:val="18"/>
                <w:u w:val="single"/>
                <w:lang w:val="nl-NL"/>
              </w:rPr>
              <w:t>DMPA</w:t>
            </w:r>
            <w:r w:rsidRPr="00010F3C">
              <w:rPr>
                <w:rFonts w:asciiTheme="minorHAnsi" w:hAnsiTheme="minorHAnsi" w:cstheme="minorHAnsi"/>
                <w:color w:val="000000" w:themeColor="text1"/>
                <w:sz w:val="18"/>
                <w:szCs w:val="18"/>
                <w:lang w:val="nl-NL"/>
              </w:rPr>
              <w:t xml:space="preserve"> aIRR: 0.35 (0.12, 1.01); </w:t>
            </w:r>
            <w:r w:rsidRPr="00010F3C">
              <w:rPr>
                <w:rFonts w:asciiTheme="minorHAnsi" w:hAnsiTheme="minorHAnsi" w:cstheme="minorHAnsi"/>
                <w:color w:val="000000" w:themeColor="text1"/>
                <w:sz w:val="18"/>
                <w:szCs w:val="18"/>
                <w:u w:val="single"/>
                <w:lang w:val="nl-NL"/>
              </w:rPr>
              <w:t>NET-EN</w:t>
            </w:r>
            <w:r w:rsidRPr="00010F3C">
              <w:rPr>
                <w:rFonts w:asciiTheme="minorHAnsi" w:hAnsiTheme="minorHAnsi" w:cstheme="minorHAnsi"/>
                <w:color w:val="000000" w:themeColor="text1"/>
                <w:sz w:val="18"/>
                <w:szCs w:val="18"/>
                <w:lang w:val="nl-NL"/>
              </w:rPr>
              <w:t xml:space="preserve"> aIRR: 0.63 (0.30, 1.29)</w:t>
            </w:r>
          </w:p>
        </w:tc>
        <w:tc>
          <w:tcPr>
            <w:tcW w:w="1254" w:type="dxa"/>
          </w:tcPr>
          <w:p w14:paraId="0B780A64"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NA</w:t>
            </w:r>
          </w:p>
        </w:tc>
      </w:tr>
      <w:tr w:rsidR="006F0DBF" w:rsidRPr="00010F3C" w14:paraId="385A845A" w14:textId="77777777" w:rsidTr="00C51E46">
        <w:tc>
          <w:tcPr>
            <w:tcW w:w="1144" w:type="dxa"/>
          </w:tcPr>
          <w:p w14:paraId="25520EF8" w14:textId="77777777" w:rsidR="006F0DBF" w:rsidRPr="00010F3C" w:rsidRDefault="006F0DBF" w:rsidP="00C51E46">
            <w:pPr>
              <w:rPr>
                <w:rFonts w:asciiTheme="minorHAnsi" w:hAnsiTheme="minorHAnsi" w:cstheme="minorHAnsi"/>
                <w:sz w:val="18"/>
                <w:szCs w:val="18"/>
              </w:rPr>
            </w:pPr>
            <w:proofErr w:type="spellStart"/>
            <w:r w:rsidRPr="00010F3C">
              <w:rPr>
                <w:rFonts w:asciiTheme="minorHAnsi" w:hAnsiTheme="minorHAnsi" w:cstheme="minorHAnsi"/>
                <w:sz w:val="18"/>
                <w:szCs w:val="18"/>
              </w:rPr>
              <w:t>Pintye</w:t>
            </w:r>
            <w:proofErr w:type="spellEnd"/>
            <w:r w:rsidRPr="00010F3C">
              <w:rPr>
                <w:rFonts w:asciiTheme="minorHAnsi" w:hAnsiTheme="minorHAnsi" w:cstheme="minorHAnsi"/>
                <w:sz w:val="18"/>
                <w:szCs w:val="18"/>
              </w:rPr>
              <w:t>, 2017</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{"citationItems":[{"id":"ITEM-1","itemData":{"DOI":"10.1136/sextrans-2016-052629","ISSN":"1472-3263","PMID":"27519258","abstract":"OBJECTIVE Trichomonas vaginalis is the world's most common curable STI and has implications for reproductive health in women. We determined incidence and correlates of T. vaginalis in an HIV-uninfected peripartum cohort. METHODS Women participating in a prospective study of peripartum HIV acquisition in Western Kenya were enrolled during pregnancy and followed until 9 months post partum. T. vaginalis was assessed every 1-3 months using wet mount microscopy. Correlates of incident T. vaginalis were determined using Cox proportional hazards models. RESULTS Among 1271 women enrolled, median age was 22 years (IQR 19-27) and gestational age was 22 weeks (IQR 18-26); most (78%) were married and had uncircumcised male partners (69%). Prevalent T. vaginalis was detected in 81 women (6%) at enrolment. Among women without T. vaginalis at enrolment, 112 had T. vaginalis detected during 1079 person-years of follow-up (10.4 per 100 person-years). After adjustment for socio-economic factors, male partner circumcision status, pregnancy status and other STIs, T. vaginalis incidence was higher during pregnancy than post partum (22.3 vs 7.7 per 100 person-years, adjusted HR (aHR) 3.68, 95% CI 1.90 to 7.15, p&lt;0.001). Women with circumcised male partners had a 58% lower risk of incident T. vaginalis compared with women with uncircumcised partners (aHR 0.42, 95% CI 0.23 to 0.76, p=0.004). Employed women had lower risk of incident T. vaginalis than unemployed women (aHR 0.49, 95% CI 0.31 to 0.79, p=0.003); recent STI was associated with increased T. vaginalis risk (aHR 2.97, 95% CI 1.49 to 5.94, p=0.002). CONCLUSIONS T. vaginalis was relatively common in this peripartum cohort. Male circumcision may confer benefits in preventing T. vaginalis.","author":[{"dropping-particle":"","family":"Pintye","given":"Jillian","non-dropping-particle":"","parse-names":false,"suffix":""},{"dropping-particle":"","family":"Drake","given":"Alison L","non-dropping-particle":"","parse-names":false,"suffix":""},{"dropping-particle":"","family":"Unger","given":"Jennifer A","non-dropping-particle":"","parse-names":false,"suffix":""},{"dropping-particle":"","family":"Matemo","given":"Daniel","non-dropping-particle":"","parse-names":false,"suffix":""},{"dropping-particle":"","family":"Kinuthia","given":"John","non-dropping-particle":"","parse-names":false,"suffix":""},{"dropping-particle":"","family":"McClelland","given":"R Scott","non-dropping-particle":"","parse-names":false,"suffix":""},{"dropping-particle":"","family":"John-Stewart","given":"Grace","non-dropping-particle":"","parse-names":false,"suffix":""}],"container-title":"Sexually transmitted infections","id":"ITEM-1","issue":"2","issued":{"date-parts":[["2017","3"]]},"page":"137-143","title":"Male partner circumcision associated with lower Trichomonas vaginalis incidence among pregnant and postpartum Kenyan women: a prospective cohort study.","type":"article-journal","volume":"93"},"uris":["http://www.mendeley.com/documents/?uuid=d30f4ece-39fd-32e9-807d-fd228b077161"]}],"mendeley":{"formattedCitation":"[49]","plainTextFormattedCitation":"[49]","previouslyFormattedCitation":"[49]"},"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[49]</w:t>
            </w:r>
            <w:r>
              <w:rPr>
                <w:rFonts w:asciiTheme="minorHAnsi" w:hAnsiTheme="minorHAnsi" w:cstheme="minorHAnsi"/>
                <w:sz w:val="18"/>
                <w:szCs w:val="18"/>
              </w:rPr>
              <w:fldChar w:fldCharType="end"/>
            </w:r>
          </w:p>
        </w:tc>
        <w:tc>
          <w:tcPr>
            <w:tcW w:w="1554" w:type="dxa"/>
          </w:tcPr>
          <w:p w14:paraId="58150660"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1271, HIV-negative women enrolled during pregnancy and followed until 9M postpartum in western Kenya, median age 22 (IQR: 19-27), </w:t>
            </w:r>
            <w:r w:rsidRPr="00010F3C">
              <w:rPr>
                <w:rFonts w:asciiTheme="minorHAnsi" w:hAnsiTheme="minorHAnsi" w:cstheme="minorHAnsi"/>
                <w:color w:val="000000" w:themeColor="text1"/>
                <w:sz w:val="18"/>
                <w:szCs w:val="18"/>
              </w:rPr>
              <w:t xml:space="preserve">N=112 incident </w:t>
            </w:r>
            <w:proofErr w:type="spellStart"/>
            <w:r w:rsidRPr="00010F3C">
              <w:rPr>
                <w:rFonts w:asciiTheme="minorHAnsi" w:hAnsiTheme="minorHAnsi" w:cstheme="minorHAnsi"/>
                <w:sz w:val="18"/>
                <w:szCs w:val="18"/>
              </w:rPr>
              <w:t>infections</w:t>
            </w:r>
            <w:r>
              <w:rPr>
                <w:rFonts w:asciiTheme="minorHAnsi" w:hAnsiTheme="minorHAnsi" w:cstheme="minorHAnsi"/>
                <w:sz w:val="18"/>
                <w:szCs w:val="18"/>
                <w:vertAlign w:val="superscript"/>
              </w:rPr>
              <w:t>b</w:t>
            </w:r>
            <w:proofErr w:type="spellEnd"/>
            <w:r w:rsidRPr="00010F3C">
              <w:rPr>
                <w:rFonts w:asciiTheme="minorHAnsi" w:hAnsiTheme="minorHAnsi" w:cstheme="minorHAnsi"/>
                <w:sz w:val="18"/>
                <w:szCs w:val="18"/>
              </w:rPr>
              <w:t>; 10.4 per 100 PY</w:t>
            </w:r>
          </w:p>
        </w:tc>
        <w:tc>
          <w:tcPr>
            <w:tcW w:w="1175" w:type="dxa"/>
          </w:tcPr>
          <w:p w14:paraId="39A27940" w14:textId="77777777" w:rsidR="006F0DBF" w:rsidRPr="00010F3C" w:rsidRDefault="006F0DBF" w:rsidP="00C51E46">
            <w:pPr>
              <w:autoSpaceDE w:val="0"/>
              <w:autoSpaceDN w:val="0"/>
              <w:adjustRightInd w:val="0"/>
              <w:rPr>
                <w:rFonts w:asciiTheme="minorHAnsi" w:hAnsiTheme="minorHAnsi" w:cstheme="minorHAnsi"/>
                <w:sz w:val="18"/>
                <w:szCs w:val="18"/>
              </w:rPr>
            </w:pPr>
            <w:r w:rsidRPr="00010F3C">
              <w:rPr>
                <w:rFonts w:asciiTheme="minorHAnsi" w:hAnsiTheme="minorHAnsi" w:cstheme="minorHAnsi"/>
                <w:sz w:val="18"/>
                <w:szCs w:val="18"/>
              </w:rPr>
              <w:t>~14M; 20, 24, 32 and 36 weeks gestation and post</w:t>
            </w:r>
          </w:p>
          <w:p w14:paraId="29126711"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partum (2, 6, 10 and 14 weeks; 6 and 9 months)</w:t>
            </w:r>
          </w:p>
        </w:tc>
        <w:tc>
          <w:tcPr>
            <w:tcW w:w="1537" w:type="dxa"/>
          </w:tcPr>
          <w:p w14:paraId="4208B059" w14:textId="77777777" w:rsidR="006F0DBF" w:rsidRPr="00010F3C" w:rsidRDefault="006F0DBF" w:rsidP="00C51E46">
            <w:pPr>
              <w:autoSpaceDE w:val="0"/>
              <w:autoSpaceDN w:val="0"/>
              <w:adjustRightInd w:val="0"/>
              <w:rPr>
                <w:rFonts w:asciiTheme="minorHAnsi" w:hAnsiTheme="minorHAnsi" w:cstheme="minorHAnsi"/>
                <w:sz w:val="18"/>
                <w:szCs w:val="18"/>
              </w:rPr>
            </w:pPr>
            <w:r w:rsidRPr="00010F3C">
              <w:rPr>
                <w:rFonts w:asciiTheme="minorHAnsi" w:hAnsiTheme="minorHAnsi" w:cstheme="minorHAnsi"/>
                <w:sz w:val="18"/>
                <w:szCs w:val="18"/>
              </w:rPr>
              <w:t>Self-collected vaginal swabs treated with metronidazole, detection via wet mount microscopy</w:t>
            </w:r>
          </w:p>
        </w:tc>
        <w:tc>
          <w:tcPr>
            <w:tcW w:w="2325" w:type="dxa"/>
          </w:tcPr>
          <w:p w14:paraId="62621082"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Final model (empirical selection): employment, male partner circumcision status, pregnancy status and other non-TV curable STIs (CT, NG, </w:t>
            </w:r>
            <w:r w:rsidRPr="00FC571B">
              <w:rPr>
                <w:rFonts w:asciiTheme="minorHAnsi" w:hAnsiTheme="minorHAnsi" w:cstheme="minorHAnsi"/>
                <w:i/>
                <w:sz w:val="18"/>
                <w:szCs w:val="18"/>
              </w:rPr>
              <w:t>T. pallidum</w:t>
            </w:r>
            <w:r w:rsidRPr="00010F3C">
              <w:rPr>
                <w:rFonts w:asciiTheme="minorHAnsi" w:hAnsiTheme="minorHAnsi" w:cstheme="minorHAnsi"/>
                <w:sz w:val="18"/>
                <w:szCs w:val="18"/>
              </w:rPr>
              <w:t xml:space="preserve">, BV or </w:t>
            </w:r>
            <w:proofErr w:type="spellStart"/>
            <w:r w:rsidRPr="00010F3C">
              <w:rPr>
                <w:rFonts w:asciiTheme="minorHAnsi" w:hAnsiTheme="minorHAnsi" w:cstheme="minorHAnsi"/>
                <w:sz w:val="18"/>
                <w:szCs w:val="18"/>
              </w:rPr>
              <w:t>candidas</w:t>
            </w:r>
            <w:proofErr w:type="spellEnd"/>
            <w:r w:rsidRPr="00010F3C">
              <w:rPr>
                <w:rFonts w:asciiTheme="minorHAnsi" w:hAnsiTheme="minorHAnsi" w:cstheme="minorHAnsi"/>
                <w:sz w:val="18"/>
                <w:szCs w:val="18"/>
              </w:rPr>
              <w:t>) detected at enrolment.</w:t>
            </w:r>
          </w:p>
        </w:tc>
        <w:tc>
          <w:tcPr>
            <w:tcW w:w="1488" w:type="dxa"/>
          </w:tcPr>
          <w:p w14:paraId="672044AF"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Non-</w:t>
            </w:r>
            <w:r>
              <w:rPr>
                <w:rFonts w:asciiTheme="minorHAnsi" w:hAnsiTheme="minorHAnsi" w:cstheme="minorHAnsi"/>
                <w:sz w:val="18"/>
                <w:szCs w:val="18"/>
              </w:rPr>
              <w:t xml:space="preserve">hormonal </w:t>
            </w:r>
            <w:r w:rsidRPr="00010F3C">
              <w:rPr>
                <w:rFonts w:asciiTheme="minorHAnsi" w:hAnsiTheme="minorHAnsi" w:cstheme="minorHAnsi"/>
                <w:sz w:val="18"/>
                <w:szCs w:val="18"/>
              </w:rPr>
              <w:t xml:space="preserve">user </w:t>
            </w:r>
          </w:p>
        </w:tc>
        <w:tc>
          <w:tcPr>
            <w:tcW w:w="1458" w:type="dxa"/>
          </w:tcPr>
          <w:p w14:paraId="5BF7D845"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OC</w:t>
            </w:r>
            <w:r>
              <w:rPr>
                <w:rFonts w:asciiTheme="minorHAnsi" w:hAnsiTheme="minorHAnsi" w:cstheme="minorHAnsi"/>
                <w:sz w:val="18"/>
                <w:szCs w:val="18"/>
              </w:rPr>
              <w:t>P</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NR (ns)</w:t>
            </w:r>
          </w:p>
          <w:p w14:paraId="4E30C215" w14:textId="77777777" w:rsidR="006F0DBF" w:rsidRPr="00010F3C" w:rsidRDefault="006F0DBF" w:rsidP="00C51E46">
            <w:pPr>
              <w:rPr>
                <w:rFonts w:asciiTheme="minorHAnsi" w:hAnsiTheme="minorHAnsi" w:cstheme="minorHAnsi"/>
                <w:sz w:val="18"/>
                <w:szCs w:val="18"/>
              </w:rPr>
            </w:pPr>
          </w:p>
        </w:tc>
        <w:tc>
          <w:tcPr>
            <w:tcW w:w="1290" w:type="dxa"/>
          </w:tcPr>
          <w:p w14:paraId="3F927280"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Injectable (type not specified) </w:t>
            </w: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NR (ns)</w:t>
            </w:r>
          </w:p>
          <w:p w14:paraId="703F6E4A" w14:textId="77777777" w:rsidR="006F0DBF" w:rsidRPr="00010F3C" w:rsidRDefault="006F0DBF" w:rsidP="00C51E46">
            <w:pPr>
              <w:rPr>
                <w:rFonts w:asciiTheme="minorHAnsi" w:hAnsiTheme="minorHAnsi" w:cstheme="minorHAnsi"/>
                <w:color w:val="000000" w:themeColor="text1"/>
                <w:sz w:val="18"/>
                <w:szCs w:val="18"/>
                <w:u w:val="single"/>
              </w:rPr>
            </w:pPr>
          </w:p>
        </w:tc>
        <w:tc>
          <w:tcPr>
            <w:tcW w:w="1254" w:type="dxa"/>
          </w:tcPr>
          <w:p w14:paraId="4C770C43"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Implant (type not specified) </w:t>
            </w: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NR (ns)</w:t>
            </w:r>
          </w:p>
          <w:p w14:paraId="0E1E3817" w14:textId="77777777" w:rsidR="006F0DBF" w:rsidRPr="00010F3C" w:rsidRDefault="006F0DBF" w:rsidP="00C51E46">
            <w:pPr>
              <w:rPr>
                <w:rFonts w:asciiTheme="minorHAnsi" w:hAnsiTheme="minorHAnsi" w:cstheme="minorHAnsi"/>
                <w:sz w:val="18"/>
                <w:szCs w:val="18"/>
              </w:rPr>
            </w:pPr>
          </w:p>
        </w:tc>
      </w:tr>
      <w:tr w:rsidR="006F0DBF" w:rsidRPr="00010F3C" w14:paraId="2109DDA1" w14:textId="77777777" w:rsidTr="00C51E46">
        <w:trPr>
          <w:trHeight w:val="998"/>
        </w:trPr>
        <w:tc>
          <w:tcPr>
            <w:tcW w:w="1144" w:type="dxa"/>
          </w:tcPr>
          <w:p w14:paraId="03943ACE"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Romer, 2013</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{"citationItems":[{"id":"ITEM-1","itemData":{"DOI":"10.1016/j.jadohealth.2012.04.007","PMID":"23260839","abstract":"PURPOSE To determine whether depot medroxyprogesterone acetate (DMPA) use is associated with an increased risk of acquisition of sexually transmitted infections (STIs) in a cohort of healthy adolescents, for whom prospective evidence is sparse. METHODS Adolescent women aged 14-17 years (n = 342) were recruited from clinical sites in the United States between 1999 and 2005. They returned quarterly for interviews and STI testing. During alternating 3-month periods, participants also completed daily diaries of sexual behaviors and performed weekly vaginal self-obtained swabs to test for STIs. Data collected through 2009 (median follow-up length = 42.2 months) were analyzed. Univariable and multivariable tests of association between STI acquisition during the 3-month diary period and covariates were calculated, using nonlinear mixed-effect logistic regression models to control for repeated measurements. RESULTS In multivariable analysis, there were no significant associations between DMPA use in the current or previous 3-month period and incidence of Chlamydia trachomatis, Neisseria gonorrhoeae, or Trichomonas vaginalis. The number of total or unprotected sexual events during the diary period was not associated with the risk of STI. Older age was a protective factor for the development of Chlamydia trachomatis (odds ratio = .85; 95% confidence interval = .76-.96). The only factor significantly associated with an increased risk of contracting all three STIs was a greater number of sexual partners during the diary period (odds ratio, range = 1.91-2.62). CONCLUSIONS In this U.S.-based cohort of adolescent women, we found no evidence that DMPA use was associated with increased STI risk. Efforts to curb STI transmission among adolescents should focus on education about the reduced number of sexual partners.","author":[{"dropping-particle":"","family":"Romer","given":"Amy","non-dropping-particle":"","parse-names":false,"suffix":""},{"dropping-particle":"","family":"Shew","given":"Marcia L.","non-dropping-particle":"","parse-names":false,"suffix":""},{"dropping-particle":"","family":"Ofner","given":"Susan","non-dropping-particle":"","parse-names":false,"suffix":""},{"dropping-particle":"","family":"Gilliam","given":"Melissa L.","non-dropping-particle":"","parse-names":false,"suffix":""},{"dropping-particle":"","family":"Martins","given":"Summer L.","non-dropping-particle":"","parse-names":false,"suffix":""},{"dropping-particle":"","family":"Fortenberry","given":"J. Dennis","non-dropping-particle":"","parse-names":false,"suffix":""}],"container-title":"Journal of Adolescent Health","id":"ITEM-1","issue":"1","issued":{"date-parts":[["2013","1"]]},"page":"83-88","title":"Depot medroxyprogesterone acetate use is not associated with risk of incident sexually transmitted infections among adolescent women","type":"article-journal","volume":"52"},"uris":["http://www.mendeley.com/documents/?uuid=982f0fd0-7e4e-3ca4-8199-e9b5f08b14e2"]}],"mendeley":{"formattedCitation":"[50]","plainTextFormattedCitation":"[50]","previouslyFormattedCitation":"[50]"},"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[50]</w:t>
            </w:r>
            <w:r>
              <w:rPr>
                <w:rFonts w:asciiTheme="minorHAnsi" w:hAnsiTheme="minorHAnsi" w:cstheme="minorHAnsi"/>
                <w:sz w:val="18"/>
                <w:szCs w:val="18"/>
              </w:rPr>
              <w:fldChar w:fldCharType="end"/>
            </w:r>
          </w:p>
        </w:tc>
        <w:tc>
          <w:tcPr>
            <w:tcW w:w="1554" w:type="dxa"/>
          </w:tcPr>
          <w:p w14:paraId="68A09699"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342, adolescent girls ages 14-17 attending clinics in inner-city areas of Indianapolis, USA; </w:t>
            </w:r>
            <w:r w:rsidRPr="00010F3C">
              <w:rPr>
                <w:rFonts w:asciiTheme="minorHAnsi" w:hAnsiTheme="minorHAnsi" w:cstheme="minorHAnsi"/>
                <w:i/>
                <w:sz w:val="18"/>
                <w:szCs w:val="18"/>
              </w:rPr>
              <w:t>N</w:t>
            </w:r>
            <w:r w:rsidRPr="00010F3C">
              <w:rPr>
                <w:rFonts w:asciiTheme="minorHAnsi" w:hAnsiTheme="minorHAnsi" w:cstheme="minorHAnsi"/>
                <w:i/>
                <w:color w:val="000000" w:themeColor="text1"/>
                <w:sz w:val="18"/>
                <w:szCs w:val="18"/>
              </w:rPr>
              <w:t xml:space="preserve">=80 incident </w:t>
            </w:r>
            <w:proofErr w:type="spellStart"/>
            <w:r w:rsidRPr="00010F3C">
              <w:rPr>
                <w:rFonts w:asciiTheme="minorHAnsi" w:hAnsiTheme="minorHAnsi" w:cstheme="minorHAnsi"/>
                <w:i/>
                <w:color w:val="000000" w:themeColor="text1"/>
                <w:sz w:val="18"/>
                <w:szCs w:val="18"/>
              </w:rPr>
              <w:t>cases</w:t>
            </w:r>
            <w:r>
              <w:rPr>
                <w:rFonts w:asciiTheme="minorHAnsi" w:hAnsiTheme="minorHAnsi" w:cstheme="minorHAnsi"/>
                <w:i/>
                <w:sz w:val="18"/>
                <w:szCs w:val="18"/>
                <w:vertAlign w:val="superscript"/>
              </w:rPr>
              <w:t>b</w:t>
            </w:r>
            <w:proofErr w:type="spellEnd"/>
          </w:p>
        </w:tc>
        <w:tc>
          <w:tcPr>
            <w:tcW w:w="1175" w:type="dxa"/>
          </w:tcPr>
          <w:p w14:paraId="73BE5A66"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Originally 27M, extended to 5Y for some participants; every 3M</w:t>
            </w:r>
          </w:p>
          <w:p w14:paraId="689EEDB1" w14:textId="77777777" w:rsidR="006F0DBF" w:rsidRPr="00010F3C" w:rsidRDefault="006F0DBF" w:rsidP="00C51E46">
            <w:pPr>
              <w:rPr>
                <w:rFonts w:asciiTheme="minorHAnsi" w:hAnsiTheme="minorHAnsi" w:cstheme="minorHAnsi"/>
                <w:sz w:val="18"/>
                <w:szCs w:val="18"/>
              </w:rPr>
            </w:pPr>
          </w:p>
        </w:tc>
        <w:tc>
          <w:tcPr>
            <w:tcW w:w="1537" w:type="dxa"/>
          </w:tcPr>
          <w:p w14:paraId="34119C35"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Detection of T</w:t>
            </w:r>
          </w:p>
          <w:p w14:paraId="22A26F3A"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vaginalis DNA was performed using a modification of the </w:t>
            </w:r>
            <w:proofErr w:type="spellStart"/>
            <w:r w:rsidRPr="00010F3C">
              <w:rPr>
                <w:rFonts w:asciiTheme="minorHAnsi" w:hAnsiTheme="minorHAnsi" w:cstheme="minorHAnsi"/>
                <w:sz w:val="18"/>
                <w:szCs w:val="18"/>
              </w:rPr>
              <w:t>Amplicor</w:t>
            </w:r>
            <w:proofErr w:type="spellEnd"/>
          </w:p>
          <w:p w14:paraId="4C91D2F8"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 xml:space="preserve">CT/NG PCR assay that included primers and probes specific </w:t>
            </w:r>
          </w:p>
          <w:p w14:paraId="11575833"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lastRenderedPageBreak/>
              <w:t>for T vaginalis.</w:t>
            </w:r>
          </w:p>
          <w:p w14:paraId="5EDF69C7" w14:textId="77777777" w:rsidR="006F0DBF" w:rsidRPr="00010F3C" w:rsidRDefault="006F0DBF" w:rsidP="00C51E46">
            <w:pPr>
              <w:rPr>
                <w:rFonts w:asciiTheme="minorHAnsi" w:hAnsiTheme="minorHAnsi" w:cstheme="minorHAnsi"/>
                <w:sz w:val="18"/>
                <w:szCs w:val="18"/>
              </w:rPr>
            </w:pPr>
          </w:p>
        </w:tc>
        <w:tc>
          <w:tcPr>
            <w:tcW w:w="2325" w:type="dxa"/>
          </w:tcPr>
          <w:p w14:paraId="3BE9DB8C"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lastRenderedPageBreak/>
              <w:t>Age, positive STI test at start of period, # of partners in past 3M, # of lifetime partners, # of sexual events in last 3M (diary period), # of unprotected sexual events in last 3M (diary period)</w:t>
            </w:r>
          </w:p>
        </w:tc>
        <w:tc>
          <w:tcPr>
            <w:tcW w:w="1488" w:type="dxa"/>
          </w:tcPr>
          <w:p w14:paraId="1598650D" w14:textId="77777777" w:rsidR="006F0DBF" w:rsidRPr="00010F3C" w:rsidRDefault="006F0DBF" w:rsidP="00C51E46">
            <w:pPr>
              <w:rPr>
                <w:rFonts w:asciiTheme="minorHAnsi" w:hAnsiTheme="minorHAnsi" w:cstheme="minorHAnsi"/>
                <w:sz w:val="18"/>
                <w:szCs w:val="18"/>
              </w:rPr>
            </w:pPr>
            <w:r>
              <w:rPr>
                <w:rFonts w:asciiTheme="minorHAnsi" w:hAnsiTheme="minorHAnsi" w:cstheme="minorHAnsi"/>
                <w:sz w:val="18"/>
                <w:szCs w:val="18"/>
              </w:rPr>
              <w:t>Non-hormonal user</w:t>
            </w:r>
          </w:p>
        </w:tc>
        <w:tc>
          <w:tcPr>
            <w:tcW w:w="1458" w:type="dxa"/>
          </w:tcPr>
          <w:p w14:paraId="12695960"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NA</w:t>
            </w:r>
          </w:p>
        </w:tc>
        <w:tc>
          <w:tcPr>
            <w:tcW w:w="1290" w:type="dxa"/>
          </w:tcPr>
          <w:p w14:paraId="6E966D72" w14:textId="77777777" w:rsidR="006F0DBF" w:rsidRPr="00010F3C" w:rsidRDefault="006F0DBF" w:rsidP="00C51E46">
            <w:pPr>
              <w:rPr>
                <w:rFonts w:asciiTheme="minorHAnsi" w:hAnsiTheme="minorHAnsi" w:cstheme="minorHAnsi"/>
                <w:color w:val="000000" w:themeColor="text1"/>
                <w:sz w:val="18"/>
                <w:szCs w:val="18"/>
                <w:u w:val="single"/>
              </w:rPr>
            </w:pPr>
            <w:r w:rsidRPr="00010F3C">
              <w:rPr>
                <w:rFonts w:asciiTheme="minorHAnsi" w:hAnsiTheme="minorHAnsi" w:cstheme="minorHAnsi"/>
                <w:color w:val="000000"/>
                <w:sz w:val="18"/>
                <w:szCs w:val="18"/>
                <w:u w:val="single"/>
              </w:rPr>
              <w:t xml:space="preserve">DMPA use in current 3M period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xml:space="preserve">: OR: 0.66 (0.32, 1.36); </w:t>
            </w:r>
            <w:r w:rsidRPr="00010F3C">
              <w:rPr>
                <w:rFonts w:asciiTheme="minorHAnsi" w:hAnsiTheme="minorHAnsi" w:cstheme="minorHAnsi"/>
                <w:color w:val="000000"/>
                <w:sz w:val="18"/>
                <w:szCs w:val="18"/>
                <w:u w:val="single"/>
              </w:rPr>
              <w:t xml:space="preserve">DMPA use in prior 3M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1.04 (0.52, 2.08)</w:t>
            </w:r>
          </w:p>
        </w:tc>
        <w:tc>
          <w:tcPr>
            <w:tcW w:w="1254" w:type="dxa"/>
          </w:tcPr>
          <w:p w14:paraId="1BF1A9C0" w14:textId="77777777" w:rsidR="006F0DBF" w:rsidRPr="00010F3C" w:rsidRDefault="006F0DBF" w:rsidP="00C51E46">
            <w:pPr>
              <w:rPr>
                <w:rFonts w:asciiTheme="minorHAnsi" w:hAnsiTheme="minorHAnsi" w:cstheme="minorHAnsi"/>
                <w:sz w:val="18"/>
                <w:szCs w:val="18"/>
              </w:rPr>
            </w:pPr>
            <w:r w:rsidRPr="00010F3C">
              <w:rPr>
                <w:rFonts w:asciiTheme="minorHAnsi" w:hAnsiTheme="minorHAnsi" w:cstheme="minorHAnsi"/>
                <w:sz w:val="18"/>
                <w:szCs w:val="18"/>
              </w:rPr>
              <w:t>NA</w:t>
            </w:r>
          </w:p>
        </w:tc>
      </w:tr>
    </w:tbl>
    <w:p w14:paraId="128829C8" w14:textId="77777777" w:rsidR="006F0DBF" w:rsidRDefault="006F0DBF" w:rsidP="006F0DBF">
      <w:pPr>
        <w:rPr>
          <w:rFonts w:asciiTheme="minorHAnsi" w:hAnsiTheme="minorHAnsi" w:cstheme="minorHAnsi"/>
          <w:sz w:val="18"/>
          <w:szCs w:val="18"/>
        </w:rPr>
      </w:pPr>
      <w:r w:rsidRPr="00F77DB6">
        <w:rPr>
          <w:rFonts w:asciiTheme="minorHAnsi" w:hAnsiTheme="minorHAnsi" w:cstheme="minorHAnsi"/>
          <w:color w:val="000000" w:themeColor="text1"/>
          <w:sz w:val="18"/>
          <w:szCs w:val="18"/>
        </w:rPr>
        <w:t>Notes:</w:t>
      </w:r>
      <w:r>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sz w:val="18"/>
          <w:szCs w:val="18"/>
        </w:rPr>
        <w:t>PY: person-years at risk.</w:t>
      </w:r>
      <w:r w:rsidRPr="00BE5784">
        <w:rPr>
          <w:rFonts w:asciiTheme="minorHAnsi" w:hAnsiTheme="minorHAnsi" w:cstheme="minorHAnsi"/>
          <w:sz w:val="18"/>
          <w:szCs w:val="18"/>
        </w:rPr>
        <w:t xml:space="preserve"> </w:t>
      </w:r>
      <w:r w:rsidRPr="00010F3C">
        <w:rPr>
          <w:rFonts w:asciiTheme="minorHAnsi" w:hAnsiTheme="minorHAnsi" w:cstheme="minorHAnsi"/>
          <w:sz w:val="18"/>
          <w:szCs w:val="18"/>
        </w:rPr>
        <w:t>* Statistically significant at p&lt;0.05.</w:t>
      </w:r>
      <w:r>
        <w:rPr>
          <w:rFonts w:asciiTheme="minorHAnsi" w:hAnsiTheme="minorHAnsi" w:cstheme="minorHAnsi"/>
          <w:sz w:val="18"/>
          <w:szCs w:val="18"/>
        </w:rPr>
        <w:t xml:space="preserve"> </w:t>
      </w:r>
    </w:p>
    <w:p w14:paraId="0CB78B4B" w14:textId="77777777" w:rsidR="006F0DBF" w:rsidRPr="00010F3C" w:rsidRDefault="006F0DBF" w:rsidP="006F0DBF">
      <w:pPr>
        <w:rPr>
          <w:rFonts w:asciiTheme="minorHAnsi" w:hAnsiTheme="minorHAnsi" w:cstheme="minorHAnsi"/>
          <w:sz w:val="18"/>
          <w:szCs w:val="18"/>
        </w:rPr>
      </w:pPr>
      <w:r w:rsidRPr="00010F3C">
        <w:rPr>
          <w:rFonts w:asciiTheme="minorHAnsi" w:hAnsiTheme="minorHAnsi" w:cstheme="minorHAnsi"/>
          <w:color w:val="000000" w:themeColor="text1"/>
          <w:sz w:val="18"/>
          <w:szCs w:val="18"/>
          <w:vertAlign w:val="superscript"/>
        </w:rPr>
        <w:t>a</w:t>
      </w:r>
      <w:r w:rsidRPr="00010F3C" w:rsidDel="00DD5390">
        <w:rPr>
          <w:rFonts w:asciiTheme="minorHAnsi" w:hAnsiTheme="minorHAnsi" w:cstheme="minorHAnsi"/>
          <w:sz w:val="18"/>
          <w:szCs w:val="18"/>
        </w:rPr>
        <w:t xml:space="preserve"> </w:t>
      </w:r>
      <w:r w:rsidRPr="00010F3C">
        <w:rPr>
          <w:rFonts w:asciiTheme="minorHAnsi" w:hAnsiTheme="minorHAnsi" w:cstheme="minorHAnsi"/>
          <w:sz w:val="18"/>
          <w:szCs w:val="18"/>
        </w:rPr>
        <w:t>OC</w:t>
      </w:r>
      <w:r>
        <w:rPr>
          <w:rFonts w:asciiTheme="minorHAnsi" w:hAnsiTheme="minorHAnsi" w:cstheme="minorHAnsi"/>
          <w:sz w:val="18"/>
          <w:szCs w:val="18"/>
        </w:rPr>
        <w:t>P type</w:t>
      </w:r>
      <w:r w:rsidRPr="00010F3C">
        <w:rPr>
          <w:rFonts w:asciiTheme="minorHAnsi" w:hAnsiTheme="minorHAnsi" w:cstheme="minorHAnsi"/>
          <w:sz w:val="18"/>
          <w:szCs w:val="18"/>
        </w:rPr>
        <w:t xml:space="preserve"> was unspecified unless COC (combined oral contraception</w:t>
      </w:r>
      <w:proofErr w:type="gramStart"/>
      <w:r w:rsidRPr="00010F3C">
        <w:rPr>
          <w:rFonts w:asciiTheme="minorHAnsi" w:hAnsiTheme="minorHAnsi" w:cstheme="minorHAnsi"/>
          <w:sz w:val="18"/>
          <w:szCs w:val="18"/>
        </w:rPr>
        <w:t xml:space="preserve">) </w:t>
      </w:r>
      <w:r>
        <w:rPr>
          <w:rFonts w:asciiTheme="minorHAnsi" w:hAnsiTheme="minorHAnsi" w:cstheme="minorHAnsi"/>
          <w:sz w:val="18"/>
          <w:szCs w:val="18"/>
        </w:rPr>
        <w:t>)</w:t>
      </w:r>
      <w:proofErr w:type="gramEnd"/>
      <w:r>
        <w:rPr>
          <w:rFonts w:asciiTheme="minorHAnsi" w:hAnsiTheme="minorHAnsi" w:cstheme="minorHAnsi"/>
          <w:sz w:val="18"/>
          <w:szCs w:val="18"/>
        </w:rPr>
        <w:t xml:space="preserve"> or POP (progestin-only pill</w:t>
      </w:r>
      <w:r w:rsidRPr="00010F3C">
        <w:rPr>
          <w:rFonts w:asciiTheme="minorHAnsi" w:hAnsiTheme="minorHAnsi" w:cstheme="minorHAnsi"/>
          <w:sz w:val="18"/>
          <w:szCs w:val="18"/>
        </w:rPr>
        <w:t xml:space="preserve">) is noted. </w:t>
      </w:r>
    </w:p>
    <w:p w14:paraId="7867611C" w14:textId="77777777" w:rsidR="006F0DBF" w:rsidRPr="00010F3C" w:rsidRDefault="006F0DBF" w:rsidP="006F0DBF">
      <w:pPr>
        <w:rPr>
          <w:rFonts w:asciiTheme="minorHAnsi" w:hAnsiTheme="minorHAnsi" w:cstheme="minorHAnsi"/>
          <w:sz w:val="18"/>
          <w:szCs w:val="18"/>
        </w:rPr>
      </w:pPr>
      <w:r>
        <w:rPr>
          <w:rFonts w:asciiTheme="minorHAnsi" w:hAnsiTheme="minorHAnsi" w:cstheme="minorHAnsi"/>
          <w:sz w:val="18"/>
          <w:szCs w:val="18"/>
          <w:vertAlign w:val="superscript"/>
        </w:rPr>
        <w:t>b</w:t>
      </w:r>
      <w:r w:rsidRPr="00010F3C">
        <w:rPr>
          <w:rFonts w:asciiTheme="minorHAnsi" w:hAnsiTheme="minorHAnsi" w:cstheme="minorHAnsi"/>
          <w:i/>
          <w:sz w:val="18"/>
          <w:szCs w:val="18"/>
          <w:vertAlign w:val="superscript"/>
        </w:rPr>
        <w:t xml:space="preserve"> </w:t>
      </w:r>
      <w:r w:rsidRPr="00010F3C">
        <w:rPr>
          <w:rFonts w:asciiTheme="minorHAnsi" w:hAnsiTheme="minorHAnsi" w:cstheme="minorHAnsi"/>
          <w:sz w:val="18"/>
          <w:szCs w:val="18"/>
        </w:rPr>
        <w:t>Multiple incident cases per woman were allowed, i.e., incident cases defined as a positive test following a negative test.</w:t>
      </w:r>
    </w:p>
    <w:p w14:paraId="31055719" w14:textId="77777777" w:rsidR="006F0DBF" w:rsidRPr="00010F3C" w:rsidRDefault="006F0DBF" w:rsidP="006F0DBF">
      <w:pPr>
        <w:rPr>
          <w:rFonts w:asciiTheme="minorHAnsi" w:hAnsiTheme="minorHAnsi" w:cstheme="minorHAnsi"/>
          <w:sz w:val="18"/>
          <w:szCs w:val="18"/>
        </w:rPr>
      </w:pPr>
      <w:r>
        <w:rPr>
          <w:rFonts w:asciiTheme="minorHAnsi" w:hAnsiTheme="minorHAnsi" w:cstheme="minorHAnsi"/>
          <w:sz w:val="18"/>
          <w:szCs w:val="18"/>
          <w:vertAlign w:val="superscript"/>
        </w:rPr>
        <w:t>c</w:t>
      </w:r>
      <w:r w:rsidRPr="00010F3C">
        <w:rPr>
          <w:rFonts w:asciiTheme="minorHAnsi" w:hAnsiTheme="minorHAnsi" w:cstheme="minorHAnsi"/>
          <w:sz w:val="18"/>
          <w:szCs w:val="18"/>
          <w:vertAlign w:val="superscript"/>
        </w:rPr>
        <w:t xml:space="preserve"> </w:t>
      </w:r>
      <w:r w:rsidRPr="00010F3C">
        <w:rPr>
          <w:rFonts w:asciiTheme="minorHAnsi" w:hAnsiTheme="minorHAnsi" w:cstheme="minorHAnsi"/>
          <w:sz w:val="18"/>
          <w:szCs w:val="18"/>
        </w:rPr>
        <w:t>All women tested negative for T. vaginalis at baseline. Incident cases were number of T. vaginalis positive women at follow-up (only 1 follow-up).</w:t>
      </w:r>
    </w:p>
    <w:p w14:paraId="34EB3186" w14:textId="77777777" w:rsidR="006F0DBF" w:rsidRPr="00010F3C" w:rsidRDefault="006F0DBF" w:rsidP="006F0DBF">
      <w:pPr>
        <w:rPr>
          <w:rFonts w:asciiTheme="minorHAnsi" w:hAnsiTheme="minorHAnsi" w:cstheme="minorHAnsi"/>
          <w:sz w:val="18"/>
          <w:szCs w:val="18"/>
        </w:rPr>
      </w:pPr>
      <w:r>
        <w:rPr>
          <w:rFonts w:asciiTheme="minorHAnsi" w:hAnsiTheme="minorHAnsi" w:cstheme="minorHAnsi"/>
          <w:sz w:val="18"/>
          <w:szCs w:val="18"/>
          <w:vertAlign w:val="superscript"/>
        </w:rPr>
        <w:t>d</w:t>
      </w:r>
      <w:r w:rsidRPr="00010F3C">
        <w:rPr>
          <w:rFonts w:asciiTheme="minorHAnsi" w:hAnsiTheme="minorHAnsi" w:cstheme="minorHAnsi"/>
          <w:sz w:val="18"/>
          <w:szCs w:val="18"/>
        </w:rPr>
        <w:t xml:space="preserve"> </w:t>
      </w:r>
      <w:r>
        <w:rPr>
          <w:rFonts w:asciiTheme="minorHAnsi" w:hAnsiTheme="minorHAnsi" w:cstheme="minorHAnsi"/>
          <w:sz w:val="18"/>
          <w:szCs w:val="18"/>
        </w:rPr>
        <w:t>W</w:t>
      </w:r>
      <w:r w:rsidRPr="00010F3C">
        <w:rPr>
          <w:rFonts w:asciiTheme="minorHAnsi" w:hAnsiTheme="minorHAnsi" w:cstheme="minorHAnsi"/>
          <w:sz w:val="18"/>
          <w:szCs w:val="18"/>
        </w:rPr>
        <w:t xml:space="preserve">omen censored after first T. vaginalis incident, or if became pregnant, acquired HIV or tested positive for CT or NG. N=211 women who tested positive for T. vaginalis at baseline were included and prescribed treatment; N=39 [18%] of these women were also infected at the subsequent visit. </w:t>
      </w:r>
    </w:p>
    <w:p w14:paraId="3DD7BA8C" w14:textId="77777777" w:rsidR="006F0DBF" w:rsidRDefault="006F0DBF" w:rsidP="006F0DBF">
      <w:pPr>
        <w:rPr>
          <w:rFonts w:asciiTheme="minorHAnsi" w:hAnsiTheme="minorHAnsi" w:cstheme="minorHAnsi"/>
          <w:color w:val="000000" w:themeColor="text1"/>
          <w:sz w:val="18"/>
          <w:szCs w:val="18"/>
          <w:vertAlign w:val="superscript"/>
        </w:rPr>
      </w:pPr>
      <w:r>
        <w:rPr>
          <w:rFonts w:asciiTheme="minorHAnsi" w:hAnsiTheme="minorHAnsi" w:cstheme="minorHAnsi"/>
          <w:sz w:val="18"/>
          <w:szCs w:val="18"/>
          <w:vertAlign w:val="superscript"/>
        </w:rPr>
        <w:t xml:space="preserve">e </w:t>
      </w:r>
      <w:r>
        <w:rPr>
          <w:rFonts w:asciiTheme="minorHAnsi" w:hAnsiTheme="minorHAnsi" w:cstheme="minorHAnsi"/>
          <w:sz w:val="18"/>
          <w:szCs w:val="18"/>
        </w:rPr>
        <w:t>W</w:t>
      </w:r>
      <w:r w:rsidRPr="00010F3C">
        <w:rPr>
          <w:rFonts w:asciiTheme="minorHAnsi" w:hAnsiTheme="minorHAnsi" w:cstheme="minorHAnsi"/>
          <w:sz w:val="18"/>
          <w:szCs w:val="18"/>
        </w:rPr>
        <w:t>omen censored after first T. vaginalis incident</w:t>
      </w:r>
      <w:r>
        <w:rPr>
          <w:rFonts w:asciiTheme="minorHAnsi" w:hAnsiTheme="minorHAnsi" w:cstheme="minorHAnsi"/>
          <w:sz w:val="18"/>
          <w:szCs w:val="18"/>
        </w:rPr>
        <w:t>.</w:t>
      </w:r>
    </w:p>
    <w:p w14:paraId="181C50AC" w14:textId="77777777" w:rsidR="006F0DBF" w:rsidRPr="00010F3C" w:rsidRDefault="006F0DBF" w:rsidP="006F0DBF">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vertAlign w:val="superscript"/>
        </w:rPr>
        <w:t>f</w:t>
      </w:r>
      <w:r w:rsidRPr="00010F3C">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color w:val="000000" w:themeColor="text1"/>
          <w:sz w:val="18"/>
          <w:szCs w:val="18"/>
        </w:rPr>
        <w:t>Injectable type not reported but authors note most commonly DMPA in setting with occasional norethisterone enanthate use.</w:t>
      </w:r>
    </w:p>
    <w:p w14:paraId="114F98B9" w14:textId="77777777" w:rsidR="006F0DBF" w:rsidRDefault="006F0DBF" w:rsidP="006F0DBF"/>
    <w:p w14:paraId="35A2BA90" w14:textId="77777777" w:rsidR="001C1BDE" w:rsidRDefault="001C1BDE"/>
    <w:sectPr w:rsidR="001C1BDE" w:rsidSect="005628F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BF"/>
    <w:rsid w:val="001C1BDE"/>
    <w:rsid w:val="003F5C4C"/>
    <w:rsid w:val="006F0DBF"/>
    <w:rsid w:val="00894BCC"/>
    <w:rsid w:val="008D746A"/>
    <w:rsid w:val="00CA3B41"/>
    <w:rsid w:val="00D7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1B73"/>
  <w15:chartTrackingRefBased/>
  <w15:docId w15:val="{76FFA54C-DB6F-4CED-A8EC-C8FFE3F1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D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F0DBF"/>
    <w:rPr>
      <w:rFonts w:ascii="Times" w:eastAsiaTheme="minorHAnsi" w:hAnsi="Times"/>
      <w:sz w:val="14"/>
      <w:szCs w:val="14"/>
    </w:rPr>
  </w:style>
  <w:style w:type="table" w:styleId="TableGrid">
    <w:name w:val="Table Grid"/>
    <w:basedOn w:val="TableNormal"/>
    <w:uiPriority w:val="39"/>
    <w:rsid w:val="006F0D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5523</Words>
  <Characters>31484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Detweiler, Rachelle</dc:creator>
  <cp:keywords/>
  <dc:description/>
  <cp:lastModifiedBy>Stevens, Emily</cp:lastModifiedBy>
  <cp:revision>2</cp:revision>
  <dcterms:created xsi:type="dcterms:W3CDTF">2019-03-26T18:07:00Z</dcterms:created>
  <dcterms:modified xsi:type="dcterms:W3CDTF">2019-03-26T18:07:00Z</dcterms:modified>
</cp:coreProperties>
</file>