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705D" w14:textId="77777777" w:rsidR="00F750BB" w:rsidRPr="001C41A3" w:rsidRDefault="00F750BB" w:rsidP="00F750BB">
      <w:pPr>
        <w:snapToGrid w:val="0"/>
        <w:spacing w:after="0" w:line="240" w:lineRule="auto"/>
        <w:contextualSpacing/>
        <w:rPr>
          <w:rFonts w:ascii="Arial" w:hAnsi="Arial" w:cs="Arial"/>
          <w:b/>
        </w:rPr>
      </w:pPr>
      <w:r w:rsidRPr="001C41A3">
        <w:rPr>
          <w:rFonts w:ascii="Arial" w:hAnsi="Arial" w:cs="Arial"/>
          <w:b/>
        </w:rPr>
        <w:t>SUPPLEMETNAL MATERIALS</w:t>
      </w:r>
    </w:p>
    <w:p w14:paraId="56E99EB6" w14:textId="77777777" w:rsidR="00F750BB" w:rsidRDefault="00F750BB" w:rsidP="00F750BB">
      <w:pPr>
        <w:snapToGrid w:val="0"/>
        <w:spacing w:after="0" w:line="240" w:lineRule="auto"/>
        <w:contextualSpacing/>
        <w:rPr>
          <w:rFonts w:ascii="Arial" w:hAnsi="Arial" w:cs="Arial"/>
        </w:rPr>
      </w:pPr>
    </w:p>
    <w:p w14:paraId="68FAC7A0" w14:textId="7A44EB3D" w:rsidR="00F750BB" w:rsidRPr="004E3511" w:rsidRDefault="00F750BB" w:rsidP="00F750BB">
      <w:pPr>
        <w:snapToGrid w:val="0"/>
        <w:spacing w:after="0" w:line="240" w:lineRule="auto"/>
        <w:contextualSpacing/>
        <w:rPr>
          <w:rFonts w:ascii="Arial" w:hAnsi="Arial" w:cs="Arial"/>
        </w:rPr>
      </w:pPr>
      <w:r>
        <w:rPr>
          <w:rFonts w:ascii="Arial" w:hAnsi="Arial" w:cs="Arial"/>
        </w:rPr>
        <w:t>Table S1</w:t>
      </w:r>
      <w:r w:rsidRPr="004E3511">
        <w:rPr>
          <w:rFonts w:ascii="Arial" w:hAnsi="Arial" w:cs="Arial"/>
        </w:rPr>
        <w:t xml:space="preserve">. Meaning and interpretation of </w:t>
      </w:r>
      <w:r>
        <w:rPr>
          <w:rFonts w:ascii="Arial" w:hAnsi="Arial" w:cs="Arial"/>
        </w:rPr>
        <w:t xml:space="preserve">the </w:t>
      </w:r>
      <w:r w:rsidRPr="004E3511">
        <w:rPr>
          <w:rFonts w:ascii="Arial" w:hAnsi="Arial" w:cs="Arial"/>
        </w:rPr>
        <w:t>visual codes</w:t>
      </w:r>
      <w:r w:rsidR="00762221">
        <w:rPr>
          <w:rFonts w:ascii="Arial" w:hAnsi="Arial" w:cs="Arial"/>
        </w:rPr>
        <w:t>, greatly informed by Rose G. et al.</w:t>
      </w:r>
      <w:r w:rsidR="00762221">
        <w:rPr>
          <w:rFonts w:ascii="Arial" w:hAnsi="Arial" w:cs="Arial"/>
        </w:rPr>
        <w:fldChar w:fldCharType="begin" w:fldLock="1"/>
      </w:r>
      <w:r w:rsidR="001F57DA">
        <w:rPr>
          <w:rFonts w:ascii="Arial" w:hAnsi="Arial" w:cs="Arial"/>
        </w:rPr>
        <w:instrText>ADDIN CSL_CITATION {"citationItems":[{"id":"ITEM-1","itemData":{"author":[{"dropping-particle":"","family":"Rose","given":"Gillian","non-dropping-particle":"","parse-names":false,"suffix":""}],"edition":"3rd","id":"ITEM-1","issued":{"date-parts":[["2012"]]},"number-of-pages":"408","publisher":"Sage Publications","title":"Visual Methodologies: An Introduction to Researching with Visual Materials","type":"book"},"uris":["http://www.mendeley.com/documents/?uuid=f7dcc35a-6941-4a1e-a60a-383c46abe925"]}],"mendeley":{"formattedCitation":"&lt;sup&gt;31&lt;/sup&gt;","plainTextFormattedCitation":"31","previouslyFormattedCitation":"&lt;sup&gt;30&lt;/sup&gt;"},"properties":{"noteIndex":0},"schema":"https://github.com/citation-style-language/schema/raw/master/csl-citation.json"}</w:instrText>
      </w:r>
      <w:r w:rsidR="00762221">
        <w:rPr>
          <w:rFonts w:ascii="Arial" w:hAnsi="Arial" w:cs="Arial"/>
        </w:rPr>
        <w:fldChar w:fldCharType="separate"/>
      </w:r>
      <w:r w:rsidR="001F57DA" w:rsidRPr="001F57DA">
        <w:rPr>
          <w:rFonts w:ascii="Arial" w:hAnsi="Arial" w:cs="Arial"/>
          <w:noProof/>
          <w:vertAlign w:val="superscript"/>
        </w:rPr>
        <w:t>31</w:t>
      </w:r>
      <w:r w:rsidR="00762221">
        <w:rPr>
          <w:rFonts w:ascii="Arial" w:hAnsi="Arial" w:cs="Arial"/>
        </w:rPr>
        <w:fldChar w:fldCharType="end"/>
      </w:r>
      <w:r w:rsidR="00762221">
        <w:rPr>
          <w:rFonts w:ascii="Arial" w:hAnsi="Arial" w:cs="Arial"/>
        </w:rPr>
        <w:t xml:space="preserve"> and Lazard A. et al.</w:t>
      </w:r>
      <w:r w:rsidR="00762221">
        <w:rPr>
          <w:rFonts w:ascii="Arial" w:hAnsi="Arial" w:cs="Arial"/>
        </w:rPr>
        <w:fldChar w:fldCharType="begin" w:fldLock="1"/>
      </w:r>
      <w:r w:rsidR="001F57DA">
        <w:rPr>
          <w:rFonts w:ascii="Arial" w:hAnsi="Arial" w:cs="Arial"/>
        </w:rPr>
        <w:instrText>ADDIN CSL_CITATION {"citationItems":[{"id":"ITEM-1","itemData":{"DOI":"10.1080/10410236.2016.1140267","ISBN":"1041-0236","ISSN":"1041-0236","PMID":"19411605","abstract":"As genomic sequences become easier to acquire, shotgun proteomics will play an increasingly important role in genome annotation. With proteomics, researchers can confirm and revise existing genome annotations and discover completely new genes. Proteomic-based de novo gene discovery should be especially useful for sets of genes with characteristics that make them difficult to predict with gene-finding algorithms. Here, we report the proteomic discovery of 19 previously unannotated genes encoding seminal fluid proteins (Sfps) that are transferred from males to females during mating in Drosophila. Using bioinformatics, we detected putative orthologs of these genes, as well as 19 others detected by the same method in a previous study, across several related species. Gene expression analysis revealed that nearly all predicted orthologs are transcribed and that most are expressed in a male-specific or male-biased manner. We suggest several reasons why these genes escaped computational prediction. Like annotated Sfps, many of these new proteins show a pattern of adaptive evolution, consistent with their potential role in influencing male sperm competitive ability. However, in contrast to annotated Sfps, these new genes are shorter, have a higher rate of nonsynonymous substitution, and have a markedly lower GC content in coding regions. Our data demonstrate the utility of applying proteomic gene discovery methods to a specific biological process and provide a more complete picture of the molecules that are critical to reproductive success in Drosophila.","author":[{"dropping-particle":"","family":"Lazard","given":"Allison J.","non-dropping-particle":"","parse-names":false,"suffix":""},{"dropping-particle":"","family":"Dudo","given":"Anthony","non-dropping-particle":"","parse-names":false,"suffix":""},{"dropping-particle":"","family":"Dennis","given":"Tessa","non-dropping-particle":"","parse-names":false,"suffix":""},{"dropping-particle":"","family":"Ewald","given":"Mary Grace","non-dropping-particle":"","parse-names":false,"suffix":""},{"dropping-particle":"","family":"Love","given":"Brad","non-dropping-particle":"","parse-names":false,"suffix":""}],"container-title":"Health Communication","id":"ITEM-1","issue":"4","issued":{"date-parts":[["2017"]]},"page":"470-482","publisher":"Routledge","title":"Making a Visual Impression (or Not): Current Design Practices of Nutritional Websites","type":"article-journal","volume":"32"},"uris":["http://www.mendeley.com/documents/?uuid=3c1d920b-431f-42b5-bea2-4a0dfcd57faf"]}],"mendeley":{"formattedCitation":"&lt;sup&gt;32&lt;/sup&gt;","plainTextFormattedCitation":"32","previouslyFormattedCitation":"&lt;sup&gt;31&lt;/sup&gt;"},"properties":{"noteIndex":0},"schema":"https://github.com/citation-style-language/schema/raw/master/csl-citation.json"}</w:instrText>
      </w:r>
      <w:r w:rsidR="00762221">
        <w:rPr>
          <w:rFonts w:ascii="Arial" w:hAnsi="Arial" w:cs="Arial"/>
        </w:rPr>
        <w:fldChar w:fldCharType="separate"/>
      </w:r>
      <w:r w:rsidR="001F57DA" w:rsidRPr="001F57DA">
        <w:rPr>
          <w:rFonts w:ascii="Arial" w:hAnsi="Arial" w:cs="Arial"/>
          <w:noProof/>
          <w:vertAlign w:val="superscript"/>
        </w:rPr>
        <w:t>32</w:t>
      </w:r>
      <w:r w:rsidR="00762221">
        <w:rPr>
          <w:rFonts w:ascii="Arial" w:hAnsi="Arial" w:cs="Arial"/>
        </w:rPr>
        <w:fldChar w:fldCharType="end"/>
      </w:r>
    </w:p>
    <w:p w14:paraId="77C93537" w14:textId="77777777" w:rsidR="00F750BB" w:rsidRDefault="00F750BB" w:rsidP="00F750BB">
      <w:pPr>
        <w:snapToGrid w:val="0"/>
        <w:spacing w:after="0" w:line="240" w:lineRule="auto"/>
        <w:contextualSpacing/>
        <w:rPr>
          <w:rFonts w:ascii="Arial" w:hAnsi="Arial" w:cs="Arial"/>
        </w:rPr>
      </w:pPr>
    </w:p>
    <w:tbl>
      <w:tblPr>
        <w:tblW w:w="12960" w:type="dxa"/>
        <w:tblLook w:val="04A0" w:firstRow="1" w:lastRow="0" w:firstColumn="1" w:lastColumn="0" w:noHBand="0" w:noVBand="1"/>
      </w:tblPr>
      <w:tblGrid>
        <w:gridCol w:w="450"/>
        <w:gridCol w:w="3060"/>
        <w:gridCol w:w="6930"/>
        <w:gridCol w:w="2520"/>
      </w:tblGrid>
      <w:tr w:rsidR="00F750BB" w:rsidRPr="004C14B8" w14:paraId="28635CFB" w14:textId="77777777" w:rsidTr="003022D5">
        <w:trPr>
          <w:trHeight w:val="301"/>
        </w:trPr>
        <w:tc>
          <w:tcPr>
            <w:tcW w:w="450" w:type="dxa"/>
            <w:tcBorders>
              <w:top w:val="single" w:sz="4" w:space="0" w:color="auto"/>
              <w:left w:val="nil"/>
              <w:bottom w:val="single" w:sz="4" w:space="0" w:color="auto"/>
              <w:right w:val="nil"/>
            </w:tcBorders>
            <w:shd w:val="clear" w:color="auto" w:fill="auto"/>
            <w:noWrap/>
            <w:hideMark/>
          </w:tcPr>
          <w:p w14:paraId="7D0B74FD" w14:textId="77777777" w:rsidR="00F750BB" w:rsidRPr="004C14B8" w:rsidRDefault="00F750BB" w:rsidP="003022D5">
            <w:pPr>
              <w:snapToGrid w:val="0"/>
              <w:spacing w:after="0" w:line="240" w:lineRule="auto"/>
              <w:contextualSpacing/>
              <w:rPr>
                <w:rFonts w:ascii="Arial" w:hAnsi="Arial" w:cs="Arial"/>
                <w:b/>
              </w:rPr>
            </w:pPr>
          </w:p>
        </w:tc>
        <w:tc>
          <w:tcPr>
            <w:tcW w:w="3060" w:type="dxa"/>
            <w:tcBorders>
              <w:top w:val="single" w:sz="4" w:space="0" w:color="auto"/>
              <w:left w:val="nil"/>
              <w:bottom w:val="single" w:sz="4" w:space="0" w:color="auto"/>
              <w:right w:val="nil"/>
            </w:tcBorders>
            <w:shd w:val="clear" w:color="auto" w:fill="auto"/>
            <w:noWrap/>
            <w:hideMark/>
          </w:tcPr>
          <w:p w14:paraId="3B941169" w14:textId="77777777" w:rsidR="00F750BB" w:rsidRPr="004C14B8" w:rsidRDefault="00F750BB" w:rsidP="003022D5">
            <w:pPr>
              <w:snapToGrid w:val="0"/>
              <w:spacing w:after="0" w:line="240" w:lineRule="auto"/>
              <w:contextualSpacing/>
              <w:rPr>
                <w:rFonts w:ascii="Arial" w:hAnsi="Arial" w:cs="Arial"/>
                <w:b/>
                <w:bCs/>
              </w:rPr>
            </w:pPr>
            <w:r w:rsidRPr="004C14B8">
              <w:rPr>
                <w:rFonts w:ascii="Arial" w:hAnsi="Arial" w:cs="Arial"/>
                <w:b/>
                <w:bCs/>
              </w:rPr>
              <w:t xml:space="preserve">Visual complexity </w:t>
            </w:r>
          </w:p>
        </w:tc>
        <w:tc>
          <w:tcPr>
            <w:tcW w:w="6930" w:type="dxa"/>
            <w:tcBorders>
              <w:top w:val="single" w:sz="4" w:space="0" w:color="auto"/>
              <w:left w:val="nil"/>
              <w:bottom w:val="single" w:sz="4" w:space="0" w:color="auto"/>
              <w:right w:val="nil"/>
            </w:tcBorders>
            <w:shd w:val="clear" w:color="auto" w:fill="auto"/>
            <w:noWrap/>
            <w:hideMark/>
          </w:tcPr>
          <w:p w14:paraId="3A6CBA98" w14:textId="77777777" w:rsidR="00F750BB" w:rsidRPr="004C14B8" w:rsidRDefault="00F750BB" w:rsidP="003022D5">
            <w:pPr>
              <w:snapToGrid w:val="0"/>
              <w:spacing w:after="0" w:line="240" w:lineRule="auto"/>
              <w:contextualSpacing/>
              <w:rPr>
                <w:rFonts w:ascii="Arial" w:hAnsi="Arial" w:cs="Arial"/>
                <w:b/>
              </w:rPr>
            </w:pPr>
            <w:r w:rsidRPr="004C14B8">
              <w:rPr>
                <w:rFonts w:ascii="Arial" w:hAnsi="Arial" w:cs="Arial"/>
                <w:b/>
              </w:rPr>
              <w:t>Meaning</w:t>
            </w:r>
          </w:p>
        </w:tc>
        <w:tc>
          <w:tcPr>
            <w:tcW w:w="2520" w:type="dxa"/>
            <w:tcBorders>
              <w:top w:val="single" w:sz="4" w:space="0" w:color="auto"/>
              <w:left w:val="nil"/>
              <w:bottom w:val="single" w:sz="4" w:space="0" w:color="auto"/>
              <w:right w:val="nil"/>
            </w:tcBorders>
            <w:shd w:val="clear" w:color="auto" w:fill="auto"/>
            <w:noWrap/>
            <w:hideMark/>
          </w:tcPr>
          <w:p w14:paraId="783F1DB3" w14:textId="77777777" w:rsidR="00F750BB" w:rsidRPr="004C14B8" w:rsidRDefault="00F750BB" w:rsidP="003022D5">
            <w:pPr>
              <w:snapToGrid w:val="0"/>
              <w:spacing w:after="0" w:line="240" w:lineRule="auto"/>
              <w:contextualSpacing/>
              <w:rPr>
                <w:rFonts w:ascii="Arial" w:hAnsi="Arial" w:cs="Arial"/>
                <w:b/>
              </w:rPr>
            </w:pPr>
            <w:r w:rsidRPr="004C14B8">
              <w:rPr>
                <w:rFonts w:ascii="Arial" w:hAnsi="Arial" w:cs="Arial"/>
                <w:b/>
              </w:rPr>
              <w:t>Interpretation</w:t>
            </w:r>
          </w:p>
        </w:tc>
      </w:tr>
      <w:tr w:rsidR="00F750BB" w:rsidRPr="00077970" w14:paraId="3ECD200F" w14:textId="77777777" w:rsidTr="003022D5">
        <w:trPr>
          <w:trHeight w:val="301"/>
        </w:trPr>
        <w:tc>
          <w:tcPr>
            <w:tcW w:w="450" w:type="dxa"/>
            <w:tcBorders>
              <w:top w:val="single" w:sz="4" w:space="0" w:color="auto"/>
              <w:left w:val="nil"/>
              <w:bottom w:val="nil"/>
              <w:right w:val="nil"/>
            </w:tcBorders>
            <w:shd w:val="clear" w:color="auto" w:fill="D9D9D9" w:themeFill="background1" w:themeFillShade="D9"/>
            <w:noWrap/>
            <w:hideMark/>
          </w:tcPr>
          <w:p w14:paraId="06F2D3E4"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single" w:sz="4" w:space="0" w:color="auto"/>
              <w:left w:val="nil"/>
              <w:bottom w:val="nil"/>
              <w:right w:val="nil"/>
            </w:tcBorders>
            <w:shd w:val="clear" w:color="auto" w:fill="D9D9D9" w:themeFill="background1" w:themeFillShade="D9"/>
            <w:noWrap/>
            <w:hideMark/>
          </w:tcPr>
          <w:p w14:paraId="2CB788FA"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xml:space="preserve">High object count </w:t>
            </w:r>
          </w:p>
        </w:tc>
        <w:tc>
          <w:tcPr>
            <w:tcW w:w="6930" w:type="dxa"/>
            <w:tcBorders>
              <w:top w:val="single" w:sz="4" w:space="0" w:color="auto"/>
              <w:left w:val="nil"/>
              <w:bottom w:val="nil"/>
              <w:right w:val="nil"/>
            </w:tcBorders>
            <w:shd w:val="clear" w:color="auto" w:fill="D9D9D9" w:themeFill="background1" w:themeFillShade="D9"/>
            <w:noWrap/>
          </w:tcPr>
          <w:p w14:paraId="180EACAC"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w:t>
            </w:r>
            <w:r w:rsidRPr="00DD0B0B">
              <w:rPr>
                <w:rFonts w:ascii="Arial" w:hAnsi="Arial" w:cs="Arial"/>
              </w:rPr>
              <w:t>n object is any shape or area that requires attention and is somehow divided from other areas of content</w:t>
            </w:r>
            <w:r>
              <w:rPr>
                <w:rFonts w:ascii="Arial" w:hAnsi="Arial" w:cs="Arial"/>
              </w:rPr>
              <w:t>. “High” count was 5 or more objects in a single poster.</w:t>
            </w:r>
          </w:p>
        </w:tc>
        <w:tc>
          <w:tcPr>
            <w:tcW w:w="2520" w:type="dxa"/>
            <w:tcBorders>
              <w:top w:val="single" w:sz="4" w:space="0" w:color="auto"/>
              <w:left w:val="nil"/>
              <w:bottom w:val="nil"/>
              <w:right w:val="nil"/>
            </w:tcBorders>
            <w:shd w:val="clear" w:color="auto" w:fill="D9D9D9" w:themeFill="background1" w:themeFillShade="D9"/>
            <w:noWrap/>
          </w:tcPr>
          <w:p w14:paraId="060311C3"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More is better</w:t>
            </w:r>
          </w:p>
        </w:tc>
      </w:tr>
      <w:tr w:rsidR="00F750BB" w:rsidRPr="00077970" w14:paraId="59D56692" w14:textId="77777777" w:rsidTr="003022D5">
        <w:trPr>
          <w:trHeight w:val="301"/>
        </w:trPr>
        <w:tc>
          <w:tcPr>
            <w:tcW w:w="450" w:type="dxa"/>
            <w:tcBorders>
              <w:top w:val="nil"/>
              <w:left w:val="nil"/>
              <w:bottom w:val="nil"/>
              <w:right w:val="nil"/>
            </w:tcBorders>
            <w:shd w:val="clear" w:color="auto" w:fill="auto"/>
            <w:noWrap/>
            <w:hideMark/>
          </w:tcPr>
          <w:p w14:paraId="5E53BE75"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4DBE74A1"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Objects irregular</w:t>
            </w:r>
          </w:p>
        </w:tc>
        <w:tc>
          <w:tcPr>
            <w:tcW w:w="6930" w:type="dxa"/>
            <w:tcBorders>
              <w:top w:val="nil"/>
              <w:left w:val="nil"/>
              <w:bottom w:val="nil"/>
              <w:right w:val="nil"/>
            </w:tcBorders>
            <w:shd w:val="clear" w:color="auto" w:fill="auto"/>
            <w:noWrap/>
          </w:tcPr>
          <w:p w14:paraId="1E8D346F"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w:t>
            </w:r>
            <w:r w:rsidRPr="00DD0B0B">
              <w:rPr>
                <w:rFonts w:ascii="Arial" w:hAnsi="Arial" w:cs="Arial"/>
              </w:rPr>
              <w:t>symmetrical along one or more axis</w:t>
            </w:r>
          </w:p>
        </w:tc>
        <w:tc>
          <w:tcPr>
            <w:tcW w:w="2520" w:type="dxa"/>
            <w:tcBorders>
              <w:top w:val="nil"/>
              <w:left w:val="nil"/>
              <w:bottom w:val="nil"/>
              <w:right w:val="nil"/>
            </w:tcBorders>
            <w:shd w:val="clear" w:color="auto" w:fill="auto"/>
            <w:noWrap/>
          </w:tcPr>
          <w:p w14:paraId="2A21480A"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Irregularity is better</w:t>
            </w:r>
          </w:p>
        </w:tc>
      </w:tr>
      <w:tr w:rsidR="00F750BB" w:rsidRPr="00077970" w14:paraId="617CAE64"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6ACCDF0E"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50960B21"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Objects dissimilar</w:t>
            </w:r>
          </w:p>
        </w:tc>
        <w:tc>
          <w:tcPr>
            <w:tcW w:w="6930" w:type="dxa"/>
            <w:tcBorders>
              <w:top w:val="nil"/>
              <w:left w:val="nil"/>
              <w:bottom w:val="nil"/>
              <w:right w:val="nil"/>
            </w:tcBorders>
            <w:shd w:val="clear" w:color="auto" w:fill="D9D9D9" w:themeFill="background1" w:themeFillShade="D9"/>
            <w:noWrap/>
          </w:tcPr>
          <w:p w14:paraId="2735D252"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 xml:space="preserve">Objects </w:t>
            </w:r>
            <w:r w:rsidRPr="00DD0B0B">
              <w:rPr>
                <w:rFonts w:ascii="Arial" w:hAnsi="Arial" w:cs="Arial"/>
              </w:rPr>
              <w:t>differ from each other in terms of color, shape, orientation, and texture.</w:t>
            </w:r>
          </w:p>
        </w:tc>
        <w:tc>
          <w:tcPr>
            <w:tcW w:w="2520" w:type="dxa"/>
            <w:tcBorders>
              <w:top w:val="nil"/>
              <w:left w:val="nil"/>
              <w:bottom w:val="nil"/>
              <w:right w:val="nil"/>
            </w:tcBorders>
            <w:shd w:val="clear" w:color="auto" w:fill="D9D9D9" w:themeFill="background1" w:themeFillShade="D9"/>
            <w:noWrap/>
          </w:tcPr>
          <w:p w14:paraId="56D26BC1"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Dissimilarity is better</w:t>
            </w:r>
          </w:p>
        </w:tc>
      </w:tr>
      <w:tr w:rsidR="00F750BB" w:rsidRPr="00077970" w14:paraId="5B10E01C" w14:textId="77777777" w:rsidTr="003022D5">
        <w:trPr>
          <w:trHeight w:val="301"/>
        </w:trPr>
        <w:tc>
          <w:tcPr>
            <w:tcW w:w="450" w:type="dxa"/>
            <w:tcBorders>
              <w:top w:val="nil"/>
              <w:left w:val="nil"/>
              <w:bottom w:val="nil"/>
              <w:right w:val="nil"/>
            </w:tcBorders>
            <w:shd w:val="clear" w:color="auto" w:fill="auto"/>
            <w:noWrap/>
            <w:hideMark/>
          </w:tcPr>
          <w:p w14:paraId="073B2605"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032E52AE"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Object highly detailed</w:t>
            </w:r>
          </w:p>
        </w:tc>
        <w:tc>
          <w:tcPr>
            <w:tcW w:w="6930" w:type="dxa"/>
            <w:tcBorders>
              <w:top w:val="nil"/>
              <w:left w:val="nil"/>
              <w:bottom w:val="nil"/>
              <w:right w:val="nil"/>
            </w:tcBorders>
            <w:shd w:val="clear" w:color="auto" w:fill="auto"/>
            <w:noWrap/>
          </w:tcPr>
          <w:p w14:paraId="23268DEB"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S</w:t>
            </w:r>
            <w:r w:rsidRPr="004C14B8">
              <w:rPr>
                <w:rFonts w:ascii="Arial" w:hAnsi="Arial" w:cs="Arial"/>
              </w:rPr>
              <w:t xml:space="preserve">patial arrangement of objects </w:t>
            </w:r>
            <w:r>
              <w:rPr>
                <w:rFonts w:ascii="Arial" w:hAnsi="Arial" w:cs="Arial"/>
              </w:rPr>
              <w:t xml:space="preserve">is done </w:t>
            </w:r>
            <w:r w:rsidRPr="004C14B8">
              <w:rPr>
                <w:rFonts w:ascii="Arial" w:hAnsi="Arial" w:cs="Arial"/>
              </w:rPr>
              <w:t>in a regular manner (i.e. in a pattern), with the opposite extreme of objects randomly distributed across space.</w:t>
            </w:r>
          </w:p>
        </w:tc>
        <w:tc>
          <w:tcPr>
            <w:tcW w:w="2520" w:type="dxa"/>
            <w:tcBorders>
              <w:top w:val="nil"/>
              <w:left w:val="nil"/>
              <w:bottom w:val="nil"/>
              <w:right w:val="nil"/>
            </w:tcBorders>
            <w:shd w:val="clear" w:color="auto" w:fill="auto"/>
            <w:noWrap/>
          </w:tcPr>
          <w:p w14:paraId="191F2666"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More detail is better</w:t>
            </w:r>
          </w:p>
        </w:tc>
      </w:tr>
      <w:tr w:rsidR="00F750BB" w:rsidRPr="00077970" w14:paraId="241E99F8"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31726FD5"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0E391A2B"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Areas asymmetrical</w:t>
            </w:r>
          </w:p>
        </w:tc>
        <w:tc>
          <w:tcPr>
            <w:tcW w:w="6930" w:type="dxa"/>
            <w:tcBorders>
              <w:top w:val="nil"/>
              <w:left w:val="nil"/>
              <w:bottom w:val="nil"/>
              <w:right w:val="nil"/>
            </w:tcBorders>
            <w:shd w:val="clear" w:color="auto" w:fill="D9D9D9" w:themeFill="background1" w:themeFillShade="D9"/>
            <w:noWrap/>
          </w:tcPr>
          <w:p w14:paraId="3FADAAA7"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O</w:t>
            </w:r>
            <w:r w:rsidRPr="004C14B8">
              <w:rPr>
                <w:rFonts w:ascii="Arial" w:hAnsi="Arial" w:cs="Arial"/>
              </w:rPr>
              <w:t>bjects are arranged in a non-symmetric way.</w:t>
            </w:r>
          </w:p>
        </w:tc>
        <w:tc>
          <w:tcPr>
            <w:tcW w:w="2520" w:type="dxa"/>
            <w:tcBorders>
              <w:top w:val="nil"/>
              <w:left w:val="nil"/>
              <w:bottom w:val="nil"/>
              <w:right w:val="nil"/>
            </w:tcBorders>
            <w:shd w:val="clear" w:color="auto" w:fill="D9D9D9" w:themeFill="background1" w:themeFillShade="D9"/>
            <w:noWrap/>
          </w:tcPr>
          <w:p w14:paraId="0478AA01"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Asymmetry is better</w:t>
            </w:r>
          </w:p>
        </w:tc>
      </w:tr>
      <w:tr w:rsidR="00F750BB" w:rsidRPr="00077970" w14:paraId="394C7642" w14:textId="77777777" w:rsidTr="003022D5">
        <w:trPr>
          <w:trHeight w:val="301"/>
        </w:trPr>
        <w:tc>
          <w:tcPr>
            <w:tcW w:w="450" w:type="dxa"/>
            <w:tcBorders>
              <w:top w:val="nil"/>
              <w:left w:val="nil"/>
              <w:bottom w:val="nil"/>
              <w:right w:val="nil"/>
            </w:tcBorders>
            <w:shd w:val="clear" w:color="auto" w:fill="auto"/>
            <w:noWrap/>
            <w:hideMark/>
          </w:tcPr>
          <w:p w14:paraId="45057C03"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7E734C6A"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Irregular arrangement</w:t>
            </w:r>
          </w:p>
        </w:tc>
        <w:tc>
          <w:tcPr>
            <w:tcW w:w="6930" w:type="dxa"/>
            <w:tcBorders>
              <w:top w:val="nil"/>
              <w:left w:val="nil"/>
              <w:bottom w:val="nil"/>
              <w:right w:val="nil"/>
            </w:tcBorders>
            <w:shd w:val="clear" w:color="auto" w:fill="auto"/>
            <w:noWrap/>
          </w:tcPr>
          <w:p w14:paraId="284769BB"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Spatial arrangement of objects done in</w:t>
            </w:r>
            <w:r w:rsidRPr="004C14B8">
              <w:rPr>
                <w:rFonts w:ascii="Arial" w:hAnsi="Arial" w:cs="Arial"/>
              </w:rPr>
              <w:t xml:space="preserve"> a regular manner (i.e. in a pattern), with the opposite extreme of objects randomly distributed across space.</w:t>
            </w:r>
          </w:p>
        </w:tc>
        <w:tc>
          <w:tcPr>
            <w:tcW w:w="2520" w:type="dxa"/>
            <w:tcBorders>
              <w:top w:val="nil"/>
              <w:left w:val="nil"/>
              <w:bottom w:val="nil"/>
              <w:right w:val="nil"/>
            </w:tcBorders>
            <w:shd w:val="clear" w:color="auto" w:fill="auto"/>
            <w:noWrap/>
          </w:tcPr>
          <w:p w14:paraId="56B00213"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Irregularity is better</w:t>
            </w:r>
          </w:p>
        </w:tc>
      </w:tr>
      <w:tr w:rsidR="00F750BB" w:rsidRPr="004C14B8" w14:paraId="38045FAE" w14:textId="77777777" w:rsidTr="003022D5">
        <w:trPr>
          <w:trHeight w:val="301"/>
        </w:trPr>
        <w:tc>
          <w:tcPr>
            <w:tcW w:w="3510" w:type="dxa"/>
            <w:gridSpan w:val="2"/>
            <w:tcBorders>
              <w:top w:val="nil"/>
              <w:left w:val="nil"/>
              <w:bottom w:val="nil"/>
              <w:right w:val="nil"/>
            </w:tcBorders>
            <w:shd w:val="clear" w:color="auto" w:fill="auto"/>
            <w:noWrap/>
            <w:hideMark/>
          </w:tcPr>
          <w:p w14:paraId="45619645" w14:textId="77777777" w:rsidR="00F750BB" w:rsidRPr="004C14B8" w:rsidRDefault="00F750BB" w:rsidP="003022D5">
            <w:pPr>
              <w:snapToGrid w:val="0"/>
              <w:spacing w:after="0" w:line="240" w:lineRule="auto"/>
              <w:contextualSpacing/>
              <w:rPr>
                <w:rFonts w:ascii="Arial" w:hAnsi="Arial" w:cs="Arial"/>
                <w:b/>
                <w:bCs/>
              </w:rPr>
            </w:pPr>
            <w:r w:rsidRPr="004C14B8">
              <w:rPr>
                <w:rFonts w:ascii="Arial" w:hAnsi="Arial" w:cs="Arial"/>
                <w:b/>
                <w:bCs/>
              </w:rPr>
              <w:t xml:space="preserve">Craftsmanship </w:t>
            </w:r>
          </w:p>
        </w:tc>
        <w:tc>
          <w:tcPr>
            <w:tcW w:w="6930" w:type="dxa"/>
            <w:tcBorders>
              <w:top w:val="nil"/>
              <w:left w:val="nil"/>
              <w:bottom w:val="nil"/>
              <w:right w:val="nil"/>
            </w:tcBorders>
            <w:shd w:val="clear" w:color="auto" w:fill="auto"/>
            <w:noWrap/>
          </w:tcPr>
          <w:p w14:paraId="4BCEBC2B" w14:textId="77777777" w:rsidR="00F750BB" w:rsidRPr="004C14B8" w:rsidRDefault="00F750BB" w:rsidP="003022D5">
            <w:pPr>
              <w:snapToGrid w:val="0"/>
              <w:spacing w:after="0" w:line="240" w:lineRule="auto"/>
              <w:contextualSpacing/>
              <w:rPr>
                <w:rFonts w:ascii="Arial" w:hAnsi="Arial" w:cs="Arial"/>
                <w:b/>
                <w:bCs/>
              </w:rPr>
            </w:pPr>
          </w:p>
        </w:tc>
        <w:tc>
          <w:tcPr>
            <w:tcW w:w="2520" w:type="dxa"/>
            <w:tcBorders>
              <w:top w:val="nil"/>
              <w:left w:val="nil"/>
              <w:bottom w:val="nil"/>
              <w:right w:val="nil"/>
            </w:tcBorders>
            <w:shd w:val="clear" w:color="auto" w:fill="auto"/>
            <w:noWrap/>
          </w:tcPr>
          <w:p w14:paraId="55159510" w14:textId="77777777" w:rsidR="00F750BB" w:rsidRPr="004C14B8" w:rsidRDefault="00F750BB" w:rsidP="003022D5">
            <w:pPr>
              <w:snapToGrid w:val="0"/>
              <w:spacing w:after="0" w:line="240" w:lineRule="auto"/>
              <w:contextualSpacing/>
              <w:rPr>
                <w:rFonts w:ascii="Arial" w:hAnsi="Arial" w:cs="Arial"/>
                <w:b/>
              </w:rPr>
            </w:pPr>
          </w:p>
        </w:tc>
      </w:tr>
      <w:tr w:rsidR="00F750BB" w:rsidRPr="00077970" w14:paraId="5BB4ADD3"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1AD75A06"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52A55A6A"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Design simplicity</w:t>
            </w:r>
            <w:r>
              <w:rPr>
                <w:rFonts w:ascii="Arial" w:hAnsi="Arial" w:cs="Arial"/>
              </w:rPr>
              <w:t xml:space="preserve"> </w:t>
            </w:r>
          </w:p>
        </w:tc>
        <w:tc>
          <w:tcPr>
            <w:tcW w:w="6930" w:type="dxa"/>
            <w:tcBorders>
              <w:top w:val="nil"/>
              <w:left w:val="nil"/>
              <w:bottom w:val="nil"/>
              <w:right w:val="nil"/>
            </w:tcBorders>
            <w:shd w:val="clear" w:color="auto" w:fill="D9D9D9" w:themeFill="background1" w:themeFillShade="D9"/>
            <w:noWrap/>
          </w:tcPr>
          <w:p w14:paraId="2C8A843A" w14:textId="77777777" w:rsidR="00F750BB" w:rsidRPr="004C14B8" w:rsidRDefault="00F750BB" w:rsidP="003022D5">
            <w:pPr>
              <w:snapToGrid w:val="0"/>
              <w:spacing w:after="0" w:line="240" w:lineRule="auto"/>
              <w:contextualSpacing/>
              <w:rPr>
                <w:rFonts w:ascii="Arial" w:hAnsi="Arial" w:cs="Arial"/>
                <w:bCs/>
              </w:rPr>
            </w:pPr>
            <w:r>
              <w:rPr>
                <w:rFonts w:ascii="Arial" w:hAnsi="Arial" w:cs="Arial"/>
                <w:bCs/>
              </w:rPr>
              <w:t xml:space="preserve">Agreement with at least 2 of the following statements: </w:t>
            </w:r>
            <w:r w:rsidRPr="004C14B8">
              <w:rPr>
                <w:rFonts w:ascii="Arial" w:hAnsi="Arial" w:cs="Arial"/>
                <w:bCs/>
              </w:rPr>
              <w:t>1. “The poster does not appear dense”; 2. “The poster layout is easy to grasp”; 3. “Everything goes together on this poster”; 4. “The poster does not appear patchy”; 5. “The poster is well structured”</w:t>
            </w:r>
          </w:p>
        </w:tc>
        <w:tc>
          <w:tcPr>
            <w:tcW w:w="2520" w:type="dxa"/>
            <w:tcBorders>
              <w:top w:val="nil"/>
              <w:left w:val="nil"/>
              <w:bottom w:val="nil"/>
              <w:right w:val="nil"/>
            </w:tcBorders>
            <w:shd w:val="clear" w:color="auto" w:fill="D9D9D9" w:themeFill="background1" w:themeFillShade="D9"/>
            <w:noWrap/>
          </w:tcPr>
          <w:p w14:paraId="58FF783D" w14:textId="77777777" w:rsidR="00F750BB" w:rsidRPr="00343594" w:rsidRDefault="00F750BB" w:rsidP="003022D5">
            <w:pPr>
              <w:snapToGrid w:val="0"/>
              <w:spacing w:after="0" w:line="240" w:lineRule="auto"/>
              <w:contextualSpacing/>
              <w:rPr>
                <w:rFonts w:ascii="Arial" w:hAnsi="Arial" w:cs="Arial"/>
                <w:bCs/>
              </w:rPr>
            </w:pPr>
            <w:r>
              <w:rPr>
                <w:rFonts w:ascii="Arial" w:hAnsi="Arial" w:cs="Arial"/>
                <w:bCs/>
              </w:rPr>
              <w:t>Less s</w:t>
            </w:r>
            <w:r w:rsidRPr="00343594">
              <w:rPr>
                <w:rFonts w:ascii="Arial" w:hAnsi="Arial" w:cs="Arial"/>
                <w:bCs/>
              </w:rPr>
              <w:t>imple is better</w:t>
            </w:r>
          </w:p>
        </w:tc>
      </w:tr>
      <w:tr w:rsidR="00F750BB" w:rsidRPr="00077970" w14:paraId="44B9EF54" w14:textId="77777777" w:rsidTr="003022D5">
        <w:trPr>
          <w:trHeight w:val="301"/>
        </w:trPr>
        <w:tc>
          <w:tcPr>
            <w:tcW w:w="450" w:type="dxa"/>
            <w:tcBorders>
              <w:top w:val="nil"/>
              <w:left w:val="nil"/>
              <w:bottom w:val="nil"/>
              <w:right w:val="nil"/>
            </w:tcBorders>
            <w:shd w:val="clear" w:color="auto" w:fill="auto"/>
            <w:noWrap/>
            <w:hideMark/>
          </w:tcPr>
          <w:p w14:paraId="3D7D668C"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auto"/>
            <w:noWrap/>
            <w:hideMark/>
          </w:tcPr>
          <w:p w14:paraId="0ED3DC1C"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Image diversity</w:t>
            </w:r>
          </w:p>
        </w:tc>
        <w:tc>
          <w:tcPr>
            <w:tcW w:w="6930" w:type="dxa"/>
            <w:tcBorders>
              <w:top w:val="nil"/>
              <w:left w:val="nil"/>
              <w:bottom w:val="nil"/>
              <w:right w:val="nil"/>
            </w:tcBorders>
            <w:shd w:val="clear" w:color="auto" w:fill="auto"/>
            <w:noWrap/>
          </w:tcPr>
          <w:p w14:paraId="70AFCA14" w14:textId="77777777" w:rsidR="00F750BB" w:rsidRPr="004C14B8" w:rsidRDefault="00F750BB" w:rsidP="003022D5">
            <w:pPr>
              <w:snapToGrid w:val="0"/>
              <w:spacing w:after="0" w:line="240" w:lineRule="auto"/>
              <w:contextualSpacing/>
              <w:rPr>
                <w:rFonts w:ascii="Arial" w:hAnsi="Arial" w:cs="Arial"/>
                <w:bCs/>
              </w:rPr>
            </w:pPr>
            <w:r>
              <w:rPr>
                <w:rFonts w:ascii="Arial" w:hAnsi="Arial" w:cs="Arial"/>
                <w:bCs/>
              </w:rPr>
              <w:t xml:space="preserve">Agreement with at least 2 of the following statements: </w:t>
            </w:r>
            <w:r w:rsidRPr="004C14B8">
              <w:rPr>
                <w:rFonts w:ascii="Arial" w:hAnsi="Arial" w:cs="Arial"/>
                <w:bCs/>
              </w:rPr>
              <w:t>1. The layout of the poster is pleasantly varied; 2. The layout is inventive; 3. The design appears creatively inspired; 4. The design makes good use of the entire space; 5. The design is holistically interesting</w:t>
            </w:r>
          </w:p>
        </w:tc>
        <w:tc>
          <w:tcPr>
            <w:tcW w:w="2520" w:type="dxa"/>
            <w:tcBorders>
              <w:top w:val="nil"/>
              <w:left w:val="nil"/>
              <w:bottom w:val="nil"/>
              <w:right w:val="nil"/>
            </w:tcBorders>
            <w:shd w:val="clear" w:color="auto" w:fill="auto"/>
            <w:noWrap/>
          </w:tcPr>
          <w:p w14:paraId="22E84C0A"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Diverse is better</w:t>
            </w:r>
          </w:p>
        </w:tc>
      </w:tr>
      <w:tr w:rsidR="00F750BB" w:rsidRPr="00077970" w14:paraId="6E45A3B2"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2C1F3F3C"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D9D9D9" w:themeFill="background1" w:themeFillShade="D9"/>
            <w:noWrap/>
            <w:hideMark/>
          </w:tcPr>
          <w:p w14:paraId="45C9B2D8"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Appropriate color choice</w:t>
            </w:r>
          </w:p>
        </w:tc>
        <w:tc>
          <w:tcPr>
            <w:tcW w:w="6930" w:type="dxa"/>
            <w:tcBorders>
              <w:top w:val="nil"/>
              <w:left w:val="nil"/>
              <w:bottom w:val="nil"/>
              <w:right w:val="nil"/>
            </w:tcBorders>
            <w:shd w:val="clear" w:color="auto" w:fill="D9D9D9" w:themeFill="background1" w:themeFillShade="D9"/>
            <w:noWrap/>
          </w:tcPr>
          <w:p w14:paraId="65DEDE56" w14:textId="77777777" w:rsidR="00F750BB" w:rsidRPr="004C14B8" w:rsidRDefault="00F750BB" w:rsidP="003022D5">
            <w:pPr>
              <w:snapToGrid w:val="0"/>
              <w:spacing w:after="0" w:line="240" w:lineRule="auto"/>
              <w:contextualSpacing/>
              <w:rPr>
                <w:rFonts w:ascii="Arial" w:hAnsi="Arial" w:cs="Arial"/>
                <w:bCs/>
              </w:rPr>
            </w:pPr>
            <w:r>
              <w:rPr>
                <w:rFonts w:ascii="Arial" w:hAnsi="Arial" w:cs="Arial"/>
                <w:bCs/>
              </w:rPr>
              <w:t xml:space="preserve">Agreement with at least 1 of the following statements: </w:t>
            </w:r>
            <w:r w:rsidRPr="004C14B8">
              <w:rPr>
                <w:rFonts w:ascii="Arial" w:hAnsi="Arial" w:cs="Arial"/>
                <w:bCs/>
              </w:rPr>
              <w:t>1.  “The choice of colors was selected with care”; 2. “The various colors in the poster match/look good together”; 3. "The colors are appealing (i.e. not jarring or offensive)”</w:t>
            </w:r>
          </w:p>
        </w:tc>
        <w:tc>
          <w:tcPr>
            <w:tcW w:w="2520" w:type="dxa"/>
            <w:tcBorders>
              <w:top w:val="nil"/>
              <w:left w:val="nil"/>
              <w:bottom w:val="nil"/>
              <w:right w:val="nil"/>
            </w:tcBorders>
            <w:shd w:val="clear" w:color="auto" w:fill="D9D9D9" w:themeFill="background1" w:themeFillShade="D9"/>
            <w:noWrap/>
          </w:tcPr>
          <w:p w14:paraId="3204693A"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Appropriate is better</w:t>
            </w:r>
          </w:p>
        </w:tc>
      </w:tr>
      <w:tr w:rsidR="00F750BB" w:rsidRPr="00077970" w14:paraId="46574E40" w14:textId="77777777" w:rsidTr="003022D5">
        <w:trPr>
          <w:trHeight w:val="301"/>
        </w:trPr>
        <w:tc>
          <w:tcPr>
            <w:tcW w:w="450" w:type="dxa"/>
            <w:tcBorders>
              <w:top w:val="nil"/>
              <w:left w:val="nil"/>
              <w:bottom w:val="nil"/>
              <w:right w:val="nil"/>
            </w:tcBorders>
            <w:shd w:val="clear" w:color="auto" w:fill="auto"/>
            <w:noWrap/>
            <w:hideMark/>
          </w:tcPr>
          <w:p w14:paraId="00A5C467"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auto"/>
            <w:noWrap/>
            <w:hideMark/>
          </w:tcPr>
          <w:p w14:paraId="726C43B6"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Professionally designed</w:t>
            </w:r>
          </w:p>
        </w:tc>
        <w:tc>
          <w:tcPr>
            <w:tcW w:w="6930" w:type="dxa"/>
            <w:tcBorders>
              <w:top w:val="nil"/>
              <w:left w:val="nil"/>
              <w:bottom w:val="nil"/>
              <w:right w:val="nil"/>
            </w:tcBorders>
            <w:shd w:val="clear" w:color="auto" w:fill="auto"/>
            <w:noWrap/>
          </w:tcPr>
          <w:p w14:paraId="3E6E81F9" w14:textId="77777777" w:rsidR="00F750BB" w:rsidRPr="00077970" w:rsidRDefault="00F750BB" w:rsidP="003022D5">
            <w:pPr>
              <w:snapToGrid w:val="0"/>
              <w:spacing w:after="0" w:line="240" w:lineRule="auto"/>
              <w:contextualSpacing/>
              <w:rPr>
                <w:rFonts w:ascii="Arial" w:hAnsi="Arial" w:cs="Arial"/>
                <w:b/>
                <w:bCs/>
              </w:rPr>
            </w:pPr>
            <w:r>
              <w:rPr>
                <w:rFonts w:ascii="Arial" w:hAnsi="Arial" w:cs="Arial"/>
                <w:bCs/>
              </w:rPr>
              <w:t xml:space="preserve">Agreement with at least 1 of the following statements: </w:t>
            </w:r>
            <w:r w:rsidRPr="004C14B8">
              <w:rPr>
                <w:rFonts w:ascii="Arial" w:hAnsi="Arial" w:cs="Arial"/>
                <w:bCs/>
              </w:rPr>
              <w:t>1. “The poster appears professionally designed with advanced skills”; 2. “The poster has been designed with care”; 3. “The poster design has a clear and unifying concept”</w:t>
            </w:r>
          </w:p>
        </w:tc>
        <w:tc>
          <w:tcPr>
            <w:tcW w:w="2520" w:type="dxa"/>
            <w:tcBorders>
              <w:top w:val="nil"/>
              <w:left w:val="nil"/>
              <w:bottom w:val="nil"/>
              <w:right w:val="nil"/>
            </w:tcBorders>
            <w:shd w:val="clear" w:color="auto" w:fill="auto"/>
            <w:noWrap/>
          </w:tcPr>
          <w:p w14:paraId="307CFF34"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Professional is better</w:t>
            </w:r>
          </w:p>
        </w:tc>
      </w:tr>
      <w:tr w:rsidR="00F750BB" w:rsidRPr="00077970" w14:paraId="6BB16DFC"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1E61B75B"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D9D9D9" w:themeFill="background1" w:themeFillShade="D9"/>
            <w:noWrap/>
            <w:hideMark/>
          </w:tcPr>
          <w:p w14:paraId="25C3EA30"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xml:space="preserve">Dominance of text </w:t>
            </w:r>
          </w:p>
        </w:tc>
        <w:tc>
          <w:tcPr>
            <w:tcW w:w="6930" w:type="dxa"/>
            <w:tcBorders>
              <w:top w:val="nil"/>
              <w:left w:val="nil"/>
              <w:bottom w:val="nil"/>
              <w:right w:val="nil"/>
            </w:tcBorders>
            <w:shd w:val="clear" w:color="auto" w:fill="D9D9D9" w:themeFill="background1" w:themeFillShade="D9"/>
            <w:noWrap/>
          </w:tcPr>
          <w:p w14:paraId="67FBFBE4" w14:textId="77777777" w:rsidR="00F750BB" w:rsidRPr="00DD0B0B" w:rsidRDefault="00F750BB" w:rsidP="003022D5">
            <w:pPr>
              <w:snapToGrid w:val="0"/>
              <w:spacing w:after="0" w:line="240" w:lineRule="auto"/>
              <w:contextualSpacing/>
              <w:rPr>
                <w:rFonts w:ascii="Arial" w:hAnsi="Arial" w:cs="Arial"/>
                <w:bCs/>
              </w:rPr>
            </w:pPr>
            <w:r>
              <w:rPr>
                <w:rFonts w:ascii="Arial" w:hAnsi="Arial" w:cs="Arial"/>
                <w:bCs/>
              </w:rPr>
              <w:t xml:space="preserve">Dominant text can either be a few large </w:t>
            </w:r>
            <w:r w:rsidRPr="00DD0B0B">
              <w:rPr>
                <w:rFonts w:ascii="Arial" w:hAnsi="Arial" w:cs="Arial"/>
                <w:bCs/>
              </w:rPr>
              <w:t xml:space="preserve">characters </w:t>
            </w:r>
            <w:r>
              <w:rPr>
                <w:rFonts w:ascii="Arial" w:hAnsi="Arial" w:cs="Arial"/>
                <w:bCs/>
              </w:rPr>
              <w:t xml:space="preserve">or clusters of </w:t>
            </w:r>
            <w:r w:rsidRPr="00DD0B0B">
              <w:rPr>
                <w:rFonts w:ascii="Arial" w:hAnsi="Arial" w:cs="Arial"/>
                <w:bCs/>
              </w:rPr>
              <w:t>smaller-</w:t>
            </w:r>
            <w:r>
              <w:rPr>
                <w:rFonts w:ascii="Arial" w:hAnsi="Arial" w:cs="Arial"/>
                <w:bCs/>
              </w:rPr>
              <w:t xml:space="preserve">sized </w:t>
            </w:r>
            <w:r w:rsidRPr="00DD0B0B">
              <w:rPr>
                <w:rFonts w:ascii="Arial" w:hAnsi="Arial" w:cs="Arial"/>
                <w:bCs/>
              </w:rPr>
              <w:t>text</w:t>
            </w:r>
            <w:r>
              <w:rPr>
                <w:rFonts w:ascii="Arial" w:hAnsi="Arial" w:cs="Arial"/>
                <w:bCs/>
              </w:rPr>
              <w:t xml:space="preserve">; either way it </w:t>
            </w:r>
            <w:r w:rsidRPr="00DD0B0B">
              <w:rPr>
                <w:rFonts w:ascii="Arial" w:hAnsi="Arial" w:cs="Arial"/>
                <w:bCs/>
              </w:rPr>
              <w:t>capture</w:t>
            </w:r>
            <w:r>
              <w:rPr>
                <w:rFonts w:ascii="Arial" w:hAnsi="Arial" w:cs="Arial"/>
                <w:bCs/>
              </w:rPr>
              <w:t>s</w:t>
            </w:r>
            <w:r w:rsidRPr="00DD0B0B">
              <w:rPr>
                <w:rFonts w:ascii="Arial" w:hAnsi="Arial" w:cs="Arial"/>
                <w:bCs/>
              </w:rPr>
              <w:t xml:space="preserve"> the viewer’s attention.</w:t>
            </w:r>
          </w:p>
        </w:tc>
        <w:tc>
          <w:tcPr>
            <w:tcW w:w="2520" w:type="dxa"/>
            <w:tcBorders>
              <w:top w:val="nil"/>
              <w:left w:val="nil"/>
              <w:bottom w:val="nil"/>
              <w:right w:val="nil"/>
            </w:tcBorders>
            <w:shd w:val="clear" w:color="auto" w:fill="D9D9D9" w:themeFill="background1" w:themeFillShade="D9"/>
            <w:noWrap/>
          </w:tcPr>
          <w:p w14:paraId="48FB4C78"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Less dominant is better</w:t>
            </w:r>
          </w:p>
        </w:tc>
      </w:tr>
      <w:tr w:rsidR="00F750BB" w:rsidRPr="00077970" w14:paraId="26017712" w14:textId="77777777" w:rsidTr="003022D5">
        <w:trPr>
          <w:trHeight w:val="301"/>
        </w:trPr>
        <w:tc>
          <w:tcPr>
            <w:tcW w:w="450" w:type="dxa"/>
            <w:tcBorders>
              <w:top w:val="nil"/>
              <w:left w:val="nil"/>
              <w:bottom w:val="nil"/>
              <w:right w:val="nil"/>
            </w:tcBorders>
            <w:shd w:val="clear" w:color="auto" w:fill="auto"/>
            <w:noWrap/>
            <w:hideMark/>
          </w:tcPr>
          <w:p w14:paraId="10D546F3"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auto"/>
            <w:noWrap/>
            <w:hideMark/>
          </w:tcPr>
          <w:p w14:paraId="610F890E"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Suitable typeface</w:t>
            </w:r>
          </w:p>
        </w:tc>
        <w:tc>
          <w:tcPr>
            <w:tcW w:w="6930" w:type="dxa"/>
            <w:tcBorders>
              <w:top w:val="nil"/>
              <w:left w:val="nil"/>
              <w:bottom w:val="nil"/>
              <w:right w:val="nil"/>
            </w:tcBorders>
            <w:shd w:val="clear" w:color="auto" w:fill="auto"/>
            <w:noWrap/>
          </w:tcPr>
          <w:p w14:paraId="2C09C171"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S</w:t>
            </w:r>
            <w:r w:rsidRPr="00335094">
              <w:rPr>
                <w:rFonts w:ascii="Arial" w:hAnsi="Arial" w:cs="Arial"/>
              </w:rPr>
              <w:t>uitable typeface is easy to read and fits with the overall style and presentation of the poster. Unsuitable typeface may be due to it being difficult to read, distracting, or in a style poorly matched with the overall poster style.</w:t>
            </w:r>
          </w:p>
        </w:tc>
        <w:tc>
          <w:tcPr>
            <w:tcW w:w="2520" w:type="dxa"/>
            <w:tcBorders>
              <w:top w:val="nil"/>
              <w:left w:val="nil"/>
              <w:bottom w:val="nil"/>
              <w:right w:val="nil"/>
            </w:tcBorders>
            <w:shd w:val="clear" w:color="auto" w:fill="auto"/>
            <w:noWrap/>
          </w:tcPr>
          <w:p w14:paraId="0D4EE059"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Suitable is better</w:t>
            </w:r>
          </w:p>
        </w:tc>
      </w:tr>
      <w:tr w:rsidR="00F750BB" w:rsidRPr="00077970" w14:paraId="1EC80FF4"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2141C4FC"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732EAA0C"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English words or phrases used</w:t>
            </w:r>
          </w:p>
        </w:tc>
        <w:tc>
          <w:tcPr>
            <w:tcW w:w="6930" w:type="dxa"/>
            <w:tcBorders>
              <w:top w:val="nil"/>
              <w:left w:val="nil"/>
              <w:bottom w:val="nil"/>
              <w:right w:val="nil"/>
            </w:tcBorders>
            <w:shd w:val="clear" w:color="auto" w:fill="D9D9D9" w:themeFill="background1" w:themeFillShade="D9"/>
            <w:noWrap/>
          </w:tcPr>
          <w:p w14:paraId="603E7888" w14:textId="77777777" w:rsidR="00F750BB" w:rsidRPr="00077970" w:rsidRDefault="00F750BB" w:rsidP="003022D5">
            <w:pPr>
              <w:snapToGrid w:val="0"/>
              <w:spacing w:after="0" w:line="240" w:lineRule="auto"/>
              <w:contextualSpacing/>
              <w:rPr>
                <w:rFonts w:ascii="Arial" w:hAnsi="Arial" w:cs="Arial"/>
              </w:rPr>
            </w:pPr>
            <w:r w:rsidRPr="00335094">
              <w:rPr>
                <w:rFonts w:ascii="Arial" w:hAnsi="Arial" w:cs="Arial"/>
              </w:rPr>
              <w:t>English text is that written using the Roman alphabet with recognizable English words or phrases. Does not pertain the words “HIV” or “AIDS.”</w:t>
            </w:r>
          </w:p>
        </w:tc>
        <w:tc>
          <w:tcPr>
            <w:tcW w:w="2520" w:type="dxa"/>
            <w:tcBorders>
              <w:top w:val="nil"/>
              <w:left w:val="nil"/>
              <w:bottom w:val="nil"/>
              <w:right w:val="nil"/>
            </w:tcBorders>
            <w:shd w:val="clear" w:color="auto" w:fill="D9D9D9" w:themeFill="background1" w:themeFillShade="D9"/>
            <w:noWrap/>
          </w:tcPr>
          <w:p w14:paraId="57A2E214"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English words are better</w:t>
            </w:r>
          </w:p>
        </w:tc>
      </w:tr>
      <w:tr w:rsidR="00F750BB" w:rsidRPr="00077970" w14:paraId="08B14BC4" w14:textId="77777777" w:rsidTr="003022D5">
        <w:trPr>
          <w:trHeight w:val="301"/>
        </w:trPr>
        <w:tc>
          <w:tcPr>
            <w:tcW w:w="450" w:type="dxa"/>
            <w:tcBorders>
              <w:top w:val="nil"/>
              <w:left w:val="nil"/>
              <w:bottom w:val="nil"/>
              <w:right w:val="nil"/>
            </w:tcBorders>
            <w:shd w:val="clear" w:color="auto" w:fill="auto"/>
            <w:noWrap/>
            <w:hideMark/>
          </w:tcPr>
          <w:p w14:paraId="7C18D2B0"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5F579BFA"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Follow-up information provided</w:t>
            </w:r>
          </w:p>
        </w:tc>
        <w:tc>
          <w:tcPr>
            <w:tcW w:w="6930" w:type="dxa"/>
            <w:tcBorders>
              <w:top w:val="nil"/>
              <w:left w:val="nil"/>
              <w:bottom w:val="nil"/>
              <w:right w:val="nil"/>
            </w:tcBorders>
            <w:shd w:val="clear" w:color="auto" w:fill="auto"/>
            <w:noWrap/>
          </w:tcPr>
          <w:p w14:paraId="3F07B158"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In</w:t>
            </w:r>
            <w:r w:rsidRPr="00335094">
              <w:rPr>
                <w:rFonts w:ascii="Arial" w:hAnsi="Arial" w:cs="Arial"/>
              </w:rPr>
              <w:t>formation can include contact information (entity logo, phone number, email address, physical address, QR code) or actual details on services provided, announcements for events, or other details. The name of an entity alone does not constitute as follow-up info.</w:t>
            </w:r>
          </w:p>
        </w:tc>
        <w:tc>
          <w:tcPr>
            <w:tcW w:w="2520" w:type="dxa"/>
            <w:tcBorders>
              <w:top w:val="nil"/>
              <w:left w:val="nil"/>
              <w:bottom w:val="nil"/>
              <w:right w:val="nil"/>
            </w:tcBorders>
            <w:shd w:val="clear" w:color="auto" w:fill="auto"/>
            <w:noWrap/>
          </w:tcPr>
          <w:p w14:paraId="252B498C"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Contact info is better</w:t>
            </w:r>
          </w:p>
        </w:tc>
      </w:tr>
      <w:tr w:rsidR="00F750BB" w:rsidRPr="004C14B8" w14:paraId="1B391434" w14:textId="77777777" w:rsidTr="003022D5">
        <w:trPr>
          <w:trHeight w:val="301"/>
        </w:trPr>
        <w:tc>
          <w:tcPr>
            <w:tcW w:w="3510" w:type="dxa"/>
            <w:gridSpan w:val="2"/>
            <w:tcBorders>
              <w:top w:val="nil"/>
              <w:left w:val="nil"/>
              <w:bottom w:val="nil"/>
              <w:right w:val="nil"/>
            </w:tcBorders>
            <w:shd w:val="clear" w:color="auto" w:fill="auto"/>
            <w:noWrap/>
            <w:hideMark/>
          </w:tcPr>
          <w:p w14:paraId="14B451C2" w14:textId="77777777" w:rsidR="00F750BB" w:rsidRPr="004C14B8" w:rsidRDefault="00F750BB" w:rsidP="003022D5">
            <w:pPr>
              <w:snapToGrid w:val="0"/>
              <w:spacing w:after="0" w:line="240" w:lineRule="auto"/>
              <w:contextualSpacing/>
              <w:rPr>
                <w:rFonts w:ascii="Arial" w:hAnsi="Arial" w:cs="Arial"/>
                <w:b/>
                <w:bCs/>
              </w:rPr>
            </w:pPr>
            <w:r w:rsidRPr="004C14B8">
              <w:rPr>
                <w:rFonts w:ascii="Arial" w:hAnsi="Arial" w:cs="Arial"/>
                <w:b/>
                <w:bCs/>
              </w:rPr>
              <w:t>Messaging</w:t>
            </w:r>
          </w:p>
        </w:tc>
        <w:tc>
          <w:tcPr>
            <w:tcW w:w="6930" w:type="dxa"/>
            <w:tcBorders>
              <w:top w:val="nil"/>
              <w:left w:val="nil"/>
              <w:bottom w:val="nil"/>
              <w:right w:val="nil"/>
            </w:tcBorders>
            <w:shd w:val="clear" w:color="auto" w:fill="auto"/>
            <w:noWrap/>
          </w:tcPr>
          <w:p w14:paraId="64B131C0" w14:textId="77777777" w:rsidR="00F750BB" w:rsidRPr="004C14B8" w:rsidRDefault="00F750BB" w:rsidP="003022D5">
            <w:pPr>
              <w:snapToGrid w:val="0"/>
              <w:spacing w:after="0" w:line="240" w:lineRule="auto"/>
              <w:contextualSpacing/>
              <w:rPr>
                <w:rFonts w:ascii="Arial" w:hAnsi="Arial" w:cs="Arial"/>
                <w:b/>
                <w:bCs/>
              </w:rPr>
            </w:pPr>
          </w:p>
        </w:tc>
        <w:tc>
          <w:tcPr>
            <w:tcW w:w="2520" w:type="dxa"/>
            <w:tcBorders>
              <w:top w:val="nil"/>
              <w:left w:val="nil"/>
              <w:bottom w:val="nil"/>
              <w:right w:val="nil"/>
            </w:tcBorders>
            <w:shd w:val="clear" w:color="auto" w:fill="auto"/>
            <w:noWrap/>
          </w:tcPr>
          <w:p w14:paraId="7CCE8E61" w14:textId="77777777" w:rsidR="00F750BB" w:rsidRPr="004C14B8" w:rsidRDefault="00F750BB" w:rsidP="003022D5">
            <w:pPr>
              <w:snapToGrid w:val="0"/>
              <w:spacing w:after="0" w:line="240" w:lineRule="auto"/>
              <w:contextualSpacing/>
              <w:rPr>
                <w:rFonts w:ascii="Arial" w:hAnsi="Arial" w:cs="Arial"/>
                <w:b/>
              </w:rPr>
            </w:pPr>
          </w:p>
        </w:tc>
      </w:tr>
      <w:tr w:rsidR="00F750BB" w:rsidRPr="00077970" w14:paraId="2EDB8FE5"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77C8D731"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6EF47DDD"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Humans depicted</w:t>
            </w:r>
          </w:p>
        </w:tc>
        <w:tc>
          <w:tcPr>
            <w:tcW w:w="6930" w:type="dxa"/>
            <w:tcBorders>
              <w:top w:val="nil"/>
              <w:left w:val="nil"/>
              <w:bottom w:val="nil"/>
              <w:right w:val="nil"/>
            </w:tcBorders>
            <w:shd w:val="clear" w:color="auto" w:fill="D9D9D9" w:themeFill="background1" w:themeFillShade="D9"/>
            <w:noWrap/>
          </w:tcPr>
          <w:p w14:paraId="348D8C49"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w:t>
            </w:r>
            <w:r w:rsidRPr="00335094">
              <w:rPr>
                <w:rFonts w:ascii="Arial" w:hAnsi="Arial" w:cs="Arial"/>
              </w:rPr>
              <w:t>ny depiction of a human being whether whole (entire body) or part (e.g. hands). It can include photographs or illustrations</w:t>
            </w:r>
          </w:p>
        </w:tc>
        <w:tc>
          <w:tcPr>
            <w:tcW w:w="2520" w:type="dxa"/>
            <w:tcBorders>
              <w:top w:val="nil"/>
              <w:left w:val="nil"/>
              <w:bottom w:val="nil"/>
              <w:right w:val="nil"/>
            </w:tcBorders>
            <w:shd w:val="clear" w:color="auto" w:fill="D9D9D9" w:themeFill="background1" w:themeFillShade="D9"/>
            <w:noWrap/>
          </w:tcPr>
          <w:p w14:paraId="354B8FE2"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No hypothesis</w:t>
            </w:r>
          </w:p>
        </w:tc>
      </w:tr>
      <w:tr w:rsidR="00F750BB" w:rsidRPr="00077970" w14:paraId="58DBD8E4" w14:textId="77777777" w:rsidTr="003022D5">
        <w:trPr>
          <w:trHeight w:val="301"/>
        </w:trPr>
        <w:tc>
          <w:tcPr>
            <w:tcW w:w="450" w:type="dxa"/>
            <w:tcBorders>
              <w:top w:val="nil"/>
              <w:left w:val="nil"/>
              <w:bottom w:val="nil"/>
              <w:right w:val="nil"/>
            </w:tcBorders>
            <w:shd w:val="clear" w:color="auto" w:fill="auto"/>
            <w:noWrap/>
            <w:hideMark/>
          </w:tcPr>
          <w:p w14:paraId="382BFFE9"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0B055E92"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Non-human characters depicted</w:t>
            </w:r>
          </w:p>
        </w:tc>
        <w:tc>
          <w:tcPr>
            <w:tcW w:w="6930" w:type="dxa"/>
            <w:tcBorders>
              <w:top w:val="nil"/>
              <w:left w:val="nil"/>
              <w:bottom w:val="nil"/>
              <w:right w:val="nil"/>
            </w:tcBorders>
            <w:shd w:val="clear" w:color="auto" w:fill="auto"/>
            <w:noWrap/>
          </w:tcPr>
          <w:p w14:paraId="6809C11B"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Any</w:t>
            </w:r>
            <w:r w:rsidRPr="003D2179">
              <w:rPr>
                <w:rFonts w:ascii="Arial" w:hAnsi="Arial" w:cs="Arial"/>
              </w:rPr>
              <w:t xml:space="preserve"> non-human or inanimate object that is portrayed as having human functionality or higher thought. </w:t>
            </w:r>
            <w:r>
              <w:rPr>
                <w:rFonts w:ascii="Arial" w:hAnsi="Arial" w:cs="Arial"/>
              </w:rPr>
              <w:t xml:space="preserve">May </w:t>
            </w:r>
            <w:r w:rsidRPr="003D2179">
              <w:rPr>
                <w:rFonts w:ascii="Arial" w:hAnsi="Arial" w:cs="Arial"/>
              </w:rPr>
              <w:t xml:space="preserve">include having a face (eyes and mouth), hands, or certain behaviors. Examples include things like condoms or an HIV virus that have faces </w:t>
            </w:r>
            <w:r>
              <w:rPr>
                <w:rFonts w:ascii="Arial" w:hAnsi="Arial" w:cs="Arial"/>
              </w:rPr>
              <w:t>or speak</w:t>
            </w:r>
            <w:r w:rsidRPr="003D2179">
              <w:rPr>
                <w:rFonts w:ascii="Arial" w:hAnsi="Arial" w:cs="Arial"/>
              </w:rPr>
              <w:t>.</w:t>
            </w:r>
          </w:p>
        </w:tc>
        <w:tc>
          <w:tcPr>
            <w:tcW w:w="2520" w:type="dxa"/>
            <w:tcBorders>
              <w:top w:val="nil"/>
              <w:left w:val="nil"/>
              <w:bottom w:val="nil"/>
              <w:right w:val="nil"/>
            </w:tcBorders>
            <w:shd w:val="clear" w:color="auto" w:fill="auto"/>
            <w:noWrap/>
          </w:tcPr>
          <w:p w14:paraId="5942203E"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No hypothesis</w:t>
            </w:r>
          </w:p>
        </w:tc>
      </w:tr>
      <w:tr w:rsidR="00F750BB" w:rsidRPr="00077970" w14:paraId="16AEA779"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051C9207"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341AB8F0"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Positive facial expression</w:t>
            </w:r>
          </w:p>
        </w:tc>
        <w:tc>
          <w:tcPr>
            <w:tcW w:w="6930" w:type="dxa"/>
            <w:tcBorders>
              <w:top w:val="nil"/>
              <w:left w:val="nil"/>
              <w:bottom w:val="nil"/>
              <w:right w:val="nil"/>
            </w:tcBorders>
            <w:shd w:val="clear" w:color="auto" w:fill="D9D9D9" w:themeFill="background1" w:themeFillShade="D9"/>
            <w:noWrap/>
          </w:tcPr>
          <w:p w14:paraId="003590FB" w14:textId="77777777" w:rsidR="00F750BB" w:rsidRPr="003D2179" w:rsidRDefault="00F750BB" w:rsidP="003022D5">
            <w:pPr>
              <w:snapToGrid w:val="0"/>
              <w:spacing w:after="0" w:line="240" w:lineRule="auto"/>
              <w:contextualSpacing/>
              <w:rPr>
                <w:rFonts w:ascii="Arial" w:hAnsi="Arial" w:cs="Arial"/>
                <w:bCs/>
              </w:rPr>
            </w:pPr>
            <w:r>
              <w:rPr>
                <w:rFonts w:ascii="Arial" w:hAnsi="Arial" w:cs="Arial"/>
                <w:bCs/>
              </w:rPr>
              <w:t xml:space="preserve">The </w:t>
            </w:r>
            <w:r w:rsidRPr="003D2179">
              <w:rPr>
                <w:rFonts w:ascii="Arial" w:hAnsi="Arial" w:cs="Arial"/>
                <w:bCs/>
              </w:rPr>
              <w:t xml:space="preserve">emotional </w:t>
            </w:r>
            <w:r>
              <w:rPr>
                <w:rFonts w:ascii="Arial" w:hAnsi="Arial" w:cs="Arial"/>
                <w:bCs/>
              </w:rPr>
              <w:t>quality</w:t>
            </w:r>
            <w:r w:rsidRPr="003D2179">
              <w:rPr>
                <w:rFonts w:ascii="Arial" w:hAnsi="Arial" w:cs="Arial"/>
                <w:bCs/>
              </w:rPr>
              <w:t xml:space="preserve"> of the dominant figure in the poster</w:t>
            </w:r>
            <w:r>
              <w:rPr>
                <w:rFonts w:ascii="Arial" w:hAnsi="Arial" w:cs="Arial"/>
                <w:bCs/>
              </w:rPr>
              <w:t xml:space="preserve"> expresses joy or happiness through gestures or smiling</w:t>
            </w:r>
            <w:r w:rsidRPr="003D2179">
              <w:rPr>
                <w:rFonts w:ascii="Arial" w:hAnsi="Arial" w:cs="Arial"/>
                <w:bCs/>
              </w:rPr>
              <w:t>. If there are multiple figures in the poster, emotion can be that of the majority.</w:t>
            </w:r>
          </w:p>
        </w:tc>
        <w:tc>
          <w:tcPr>
            <w:tcW w:w="2520" w:type="dxa"/>
            <w:tcBorders>
              <w:top w:val="nil"/>
              <w:left w:val="nil"/>
              <w:bottom w:val="nil"/>
              <w:right w:val="nil"/>
            </w:tcBorders>
            <w:shd w:val="clear" w:color="auto" w:fill="D9D9D9" w:themeFill="background1" w:themeFillShade="D9"/>
            <w:noWrap/>
          </w:tcPr>
          <w:p w14:paraId="22078CBB"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Positive is better</w:t>
            </w:r>
          </w:p>
        </w:tc>
      </w:tr>
      <w:tr w:rsidR="00F750BB" w:rsidRPr="00077970" w14:paraId="69F9E682" w14:textId="77777777" w:rsidTr="003022D5">
        <w:trPr>
          <w:trHeight w:val="301"/>
        </w:trPr>
        <w:tc>
          <w:tcPr>
            <w:tcW w:w="450" w:type="dxa"/>
            <w:tcBorders>
              <w:top w:val="nil"/>
              <w:left w:val="nil"/>
              <w:bottom w:val="nil"/>
              <w:right w:val="nil"/>
            </w:tcBorders>
            <w:shd w:val="clear" w:color="auto" w:fill="auto"/>
            <w:noWrap/>
            <w:hideMark/>
          </w:tcPr>
          <w:p w14:paraId="455B7E09" w14:textId="77777777" w:rsidR="00F750BB" w:rsidRPr="00077970" w:rsidRDefault="00F750BB" w:rsidP="003022D5">
            <w:pPr>
              <w:snapToGrid w:val="0"/>
              <w:spacing w:after="0" w:line="240" w:lineRule="auto"/>
              <w:contextualSpacing/>
              <w:rPr>
                <w:rFonts w:ascii="Arial" w:hAnsi="Arial" w:cs="Arial"/>
                <w:b/>
                <w:bCs/>
              </w:rPr>
            </w:pPr>
          </w:p>
        </w:tc>
        <w:tc>
          <w:tcPr>
            <w:tcW w:w="3060" w:type="dxa"/>
            <w:tcBorders>
              <w:top w:val="nil"/>
              <w:left w:val="nil"/>
              <w:bottom w:val="nil"/>
              <w:right w:val="nil"/>
            </w:tcBorders>
            <w:shd w:val="clear" w:color="auto" w:fill="auto"/>
            <w:noWrap/>
            <w:hideMark/>
          </w:tcPr>
          <w:p w14:paraId="61FEF822"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Medical imagery</w:t>
            </w:r>
          </w:p>
        </w:tc>
        <w:tc>
          <w:tcPr>
            <w:tcW w:w="6930" w:type="dxa"/>
            <w:tcBorders>
              <w:top w:val="nil"/>
              <w:left w:val="nil"/>
              <w:bottom w:val="nil"/>
              <w:right w:val="nil"/>
            </w:tcBorders>
            <w:shd w:val="clear" w:color="auto" w:fill="auto"/>
            <w:noWrap/>
          </w:tcPr>
          <w:p w14:paraId="0D821A87"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I</w:t>
            </w:r>
            <w:r w:rsidRPr="003D2179">
              <w:rPr>
                <w:rFonts w:ascii="Arial" w:hAnsi="Arial" w:cs="Arial"/>
              </w:rPr>
              <w:t>ncludes depiction of personnel or entities related to health and healthcare. Personnel will be depicted by stereotypical symbols of medical professionalism: white lab coat, head mirror, stethoscope, nurses cap. Entities will include those such as hospital or clinic recognized by symbols such as a red cross, caduceus, or ambulance. Note that syringes, especially when use of illicit drugs is implied, is NOT medical imagery.</w:t>
            </w:r>
          </w:p>
        </w:tc>
        <w:tc>
          <w:tcPr>
            <w:tcW w:w="2520" w:type="dxa"/>
            <w:tcBorders>
              <w:top w:val="nil"/>
              <w:left w:val="nil"/>
              <w:bottom w:val="nil"/>
              <w:right w:val="nil"/>
            </w:tcBorders>
            <w:shd w:val="clear" w:color="auto" w:fill="auto"/>
            <w:noWrap/>
          </w:tcPr>
          <w:p w14:paraId="53406F47"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No hypothesis</w:t>
            </w:r>
          </w:p>
        </w:tc>
      </w:tr>
      <w:tr w:rsidR="00F750BB" w:rsidRPr="00077970" w14:paraId="739963A9"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330D02C3"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152FBE25"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Famous people depicted</w:t>
            </w:r>
          </w:p>
        </w:tc>
        <w:tc>
          <w:tcPr>
            <w:tcW w:w="6930" w:type="dxa"/>
            <w:tcBorders>
              <w:top w:val="nil"/>
              <w:left w:val="nil"/>
              <w:bottom w:val="nil"/>
              <w:right w:val="nil"/>
            </w:tcBorders>
            <w:shd w:val="clear" w:color="auto" w:fill="D9D9D9" w:themeFill="background1" w:themeFillShade="D9"/>
            <w:noWrap/>
          </w:tcPr>
          <w:p w14:paraId="639E59F8"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C</w:t>
            </w:r>
            <w:r w:rsidRPr="003D2179">
              <w:rPr>
                <w:rFonts w:ascii="Arial" w:hAnsi="Arial" w:cs="Arial"/>
              </w:rPr>
              <w:t xml:space="preserve">an include politicians, entertainers, or other individuals recognizable to </w:t>
            </w:r>
            <w:proofErr w:type="gramStart"/>
            <w:r w:rsidRPr="003D2179">
              <w:rPr>
                <w:rFonts w:ascii="Arial" w:hAnsi="Arial" w:cs="Arial"/>
              </w:rPr>
              <w:t>the majority of</w:t>
            </w:r>
            <w:proofErr w:type="gramEnd"/>
            <w:r w:rsidRPr="003D2179">
              <w:rPr>
                <w:rFonts w:ascii="Arial" w:hAnsi="Arial" w:cs="Arial"/>
              </w:rPr>
              <w:t xml:space="preserve"> Chinese audiences.</w:t>
            </w:r>
          </w:p>
        </w:tc>
        <w:tc>
          <w:tcPr>
            <w:tcW w:w="2520" w:type="dxa"/>
            <w:tcBorders>
              <w:top w:val="nil"/>
              <w:left w:val="nil"/>
              <w:bottom w:val="nil"/>
              <w:right w:val="nil"/>
            </w:tcBorders>
            <w:shd w:val="clear" w:color="auto" w:fill="D9D9D9" w:themeFill="background1" w:themeFillShade="D9"/>
            <w:noWrap/>
          </w:tcPr>
          <w:p w14:paraId="4CEE78B4"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No hypothesis</w:t>
            </w:r>
          </w:p>
        </w:tc>
      </w:tr>
      <w:tr w:rsidR="00F750BB" w:rsidRPr="00077970" w14:paraId="5D317947" w14:textId="77777777" w:rsidTr="003022D5">
        <w:trPr>
          <w:trHeight w:val="301"/>
        </w:trPr>
        <w:tc>
          <w:tcPr>
            <w:tcW w:w="450" w:type="dxa"/>
            <w:tcBorders>
              <w:top w:val="nil"/>
              <w:left w:val="nil"/>
              <w:bottom w:val="nil"/>
              <w:right w:val="nil"/>
            </w:tcBorders>
            <w:shd w:val="clear" w:color="auto" w:fill="auto"/>
            <w:noWrap/>
            <w:hideMark/>
          </w:tcPr>
          <w:p w14:paraId="5E91352A"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03B18652"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HIV ribbon depicted</w:t>
            </w:r>
          </w:p>
        </w:tc>
        <w:tc>
          <w:tcPr>
            <w:tcW w:w="6930" w:type="dxa"/>
            <w:tcBorders>
              <w:top w:val="nil"/>
              <w:left w:val="nil"/>
              <w:bottom w:val="nil"/>
              <w:right w:val="nil"/>
            </w:tcBorders>
            <w:shd w:val="clear" w:color="auto" w:fill="auto"/>
            <w:noWrap/>
          </w:tcPr>
          <w:p w14:paraId="4C7AA725" w14:textId="77777777" w:rsidR="00F750BB" w:rsidRPr="00077970" w:rsidRDefault="00F750BB" w:rsidP="003022D5">
            <w:pPr>
              <w:snapToGrid w:val="0"/>
              <w:spacing w:after="0" w:line="240" w:lineRule="auto"/>
              <w:contextualSpacing/>
              <w:rPr>
                <w:rFonts w:ascii="Arial" w:hAnsi="Arial" w:cs="Arial"/>
              </w:rPr>
            </w:pPr>
          </w:p>
        </w:tc>
        <w:tc>
          <w:tcPr>
            <w:tcW w:w="2520" w:type="dxa"/>
            <w:tcBorders>
              <w:top w:val="nil"/>
              <w:left w:val="nil"/>
              <w:bottom w:val="nil"/>
              <w:right w:val="nil"/>
            </w:tcBorders>
            <w:shd w:val="clear" w:color="auto" w:fill="auto"/>
            <w:noWrap/>
          </w:tcPr>
          <w:p w14:paraId="186B087E"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No hypothesis</w:t>
            </w:r>
          </w:p>
        </w:tc>
      </w:tr>
      <w:tr w:rsidR="00F750BB" w:rsidRPr="00077970" w14:paraId="607C0F36" w14:textId="77777777" w:rsidTr="003022D5">
        <w:trPr>
          <w:trHeight w:val="301"/>
        </w:trPr>
        <w:tc>
          <w:tcPr>
            <w:tcW w:w="450" w:type="dxa"/>
            <w:tcBorders>
              <w:top w:val="nil"/>
              <w:left w:val="nil"/>
              <w:bottom w:val="nil"/>
              <w:right w:val="nil"/>
            </w:tcBorders>
            <w:shd w:val="clear" w:color="auto" w:fill="auto"/>
            <w:noWrap/>
            <w:hideMark/>
          </w:tcPr>
          <w:p w14:paraId="4E0678C7"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695437EB"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Messaging style</w:t>
            </w:r>
          </w:p>
        </w:tc>
        <w:tc>
          <w:tcPr>
            <w:tcW w:w="6930" w:type="dxa"/>
            <w:tcBorders>
              <w:top w:val="nil"/>
              <w:left w:val="nil"/>
              <w:bottom w:val="nil"/>
              <w:right w:val="nil"/>
            </w:tcBorders>
            <w:shd w:val="clear" w:color="auto" w:fill="auto"/>
            <w:noWrap/>
          </w:tcPr>
          <w:p w14:paraId="5EF2131A" w14:textId="77777777" w:rsidR="00F750BB" w:rsidRPr="00077970" w:rsidRDefault="00F750BB" w:rsidP="003022D5">
            <w:pPr>
              <w:snapToGrid w:val="0"/>
              <w:spacing w:after="0" w:line="240" w:lineRule="auto"/>
              <w:contextualSpacing/>
              <w:rPr>
                <w:rFonts w:ascii="Arial" w:hAnsi="Arial" w:cs="Arial"/>
              </w:rPr>
            </w:pPr>
          </w:p>
        </w:tc>
        <w:tc>
          <w:tcPr>
            <w:tcW w:w="2520" w:type="dxa"/>
            <w:tcBorders>
              <w:top w:val="nil"/>
              <w:left w:val="nil"/>
              <w:bottom w:val="nil"/>
              <w:right w:val="nil"/>
            </w:tcBorders>
            <w:shd w:val="clear" w:color="auto" w:fill="auto"/>
            <w:noWrap/>
          </w:tcPr>
          <w:p w14:paraId="07D3B965" w14:textId="77777777" w:rsidR="00F750BB" w:rsidRPr="00077970" w:rsidRDefault="00F750BB" w:rsidP="003022D5">
            <w:pPr>
              <w:snapToGrid w:val="0"/>
              <w:spacing w:after="0" w:line="240" w:lineRule="auto"/>
              <w:contextualSpacing/>
              <w:rPr>
                <w:rFonts w:ascii="Arial" w:hAnsi="Arial" w:cs="Arial"/>
              </w:rPr>
            </w:pPr>
          </w:p>
        </w:tc>
      </w:tr>
      <w:tr w:rsidR="00F750BB" w:rsidRPr="00077970" w14:paraId="1031FCC4" w14:textId="77777777" w:rsidTr="003022D5">
        <w:trPr>
          <w:trHeight w:val="245"/>
        </w:trPr>
        <w:tc>
          <w:tcPr>
            <w:tcW w:w="450" w:type="dxa"/>
            <w:tcBorders>
              <w:top w:val="nil"/>
              <w:left w:val="nil"/>
              <w:bottom w:val="nil"/>
              <w:right w:val="nil"/>
            </w:tcBorders>
            <w:shd w:val="clear" w:color="auto" w:fill="D9D9D9" w:themeFill="background1" w:themeFillShade="D9"/>
            <w:noWrap/>
            <w:hideMark/>
          </w:tcPr>
          <w:p w14:paraId="12607B50"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1A6766BC"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xml:space="preserve">      Personal</w:t>
            </w:r>
          </w:p>
        </w:tc>
        <w:tc>
          <w:tcPr>
            <w:tcW w:w="6930" w:type="dxa"/>
            <w:tcBorders>
              <w:top w:val="nil"/>
              <w:left w:val="nil"/>
              <w:bottom w:val="nil"/>
              <w:right w:val="nil"/>
            </w:tcBorders>
            <w:shd w:val="clear" w:color="auto" w:fill="D9D9D9" w:themeFill="background1" w:themeFillShade="D9"/>
            <w:noWrap/>
          </w:tcPr>
          <w:p w14:paraId="0BDCF665"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P</w:t>
            </w:r>
            <w:r w:rsidRPr="003D2179">
              <w:rPr>
                <w:rFonts w:ascii="Arial" w:hAnsi="Arial" w:cs="Arial"/>
              </w:rPr>
              <w:t>oster addresses the viewer directly through addressing (i.e. "you" or "yours") or asks them a direct question.</w:t>
            </w:r>
          </w:p>
        </w:tc>
        <w:tc>
          <w:tcPr>
            <w:tcW w:w="2520" w:type="dxa"/>
            <w:tcBorders>
              <w:top w:val="nil"/>
              <w:left w:val="nil"/>
              <w:bottom w:val="nil"/>
              <w:right w:val="nil"/>
            </w:tcBorders>
            <w:shd w:val="clear" w:color="auto" w:fill="D9D9D9" w:themeFill="background1" w:themeFillShade="D9"/>
            <w:noWrap/>
          </w:tcPr>
          <w:p w14:paraId="36E527BB"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Personal is better</w:t>
            </w:r>
          </w:p>
        </w:tc>
      </w:tr>
      <w:tr w:rsidR="00F750BB" w:rsidRPr="00077970" w14:paraId="517A76CE" w14:textId="77777777" w:rsidTr="003022D5">
        <w:trPr>
          <w:trHeight w:val="301"/>
        </w:trPr>
        <w:tc>
          <w:tcPr>
            <w:tcW w:w="450" w:type="dxa"/>
            <w:tcBorders>
              <w:top w:val="nil"/>
              <w:left w:val="nil"/>
              <w:bottom w:val="nil"/>
              <w:right w:val="nil"/>
            </w:tcBorders>
            <w:shd w:val="clear" w:color="auto" w:fill="auto"/>
            <w:noWrap/>
            <w:hideMark/>
          </w:tcPr>
          <w:p w14:paraId="68BA97C9"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595DD6C8"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xml:space="preserve">      Public service</w:t>
            </w:r>
          </w:p>
        </w:tc>
        <w:tc>
          <w:tcPr>
            <w:tcW w:w="6930" w:type="dxa"/>
            <w:tcBorders>
              <w:top w:val="nil"/>
              <w:left w:val="nil"/>
              <w:bottom w:val="nil"/>
              <w:right w:val="nil"/>
            </w:tcBorders>
            <w:shd w:val="clear" w:color="auto" w:fill="auto"/>
            <w:noWrap/>
          </w:tcPr>
          <w:p w14:paraId="00058B8E"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P</w:t>
            </w:r>
            <w:r w:rsidRPr="003D2179">
              <w:rPr>
                <w:rFonts w:ascii="Arial" w:hAnsi="Arial" w:cs="Arial"/>
              </w:rPr>
              <w:t>oster refers to ways in which testing can help other people or society in general.</w:t>
            </w:r>
          </w:p>
        </w:tc>
        <w:tc>
          <w:tcPr>
            <w:tcW w:w="2520" w:type="dxa"/>
            <w:tcBorders>
              <w:top w:val="nil"/>
              <w:left w:val="nil"/>
              <w:bottom w:val="nil"/>
              <w:right w:val="nil"/>
            </w:tcBorders>
            <w:shd w:val="clear" w:color="auto" w:fill="auto"/>
            <w:noWrap/>
          </w:tcPr>
          <w:p w14:paraId="6FC77257" w14:textId="5BD7836A" w:rsidR="00F750BB" w:rsidRPr="00077970" w:rsidRDefault="00F750BB" w:rsidP="00762221">
            <w:pPr>
              <w:snapToGrid w:val="0"/>
              <w:spacing w:after="0" w:line="240" w:lineRule="auto"/>
              <w:contextualSpacing/>
              <w:rPr>
                <w:rFonts w:ascii="Arial" w:hAnsi="Arial" w:cs="Arial"/>
              </w:rPr>
            </w:pPr>
            <w:r>
              <w:rPr>
                <w:rFonts w:ascii="Arial" w:hAnsi="Arial" w:cs="Arial"/>
              </w:rPr>
              <w:t>P</w:t>
            </w:r>
            <w:r w:rsidR="00762221">
              <w:rPr>
                <w:rFonts w:ascii="Arial" w:hAnsi="Arial" w:cs="Arial"/>
              </w:rPr>
              <w:t xml:space="preserve">ublic service message </w:t>
            </w:r>
            <w:r>
              <w:rPr>
                <w:rFonts w:ascii="Arial" w:hAnsi="Arial" w:cs="Arial"/>
              </w:rPr>
              <w:t>is better</w:t>
            </w:r>
          </w:p>
        </w:tc>
      </w:tr>
      <w:tr w:rsidR="00F750BB" w:rsidRPr="00077970" w14:paraId="18AD472A"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622CA68F"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65FEA11A"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xml:space="preserve">      Educational</w:t>
            </w:r>
          </w:p>
        </w:tc>
        <w:tc>
          <w:tcPr>
            <w:tcW w:w="6930" w:type="dxa"/>
            <w:tcBorders>
              <w:top w:val="nil"/>
              <w:left w:val="nil"/>
              <w:bottom w:val="nil"/>
              <w:right w:val="nil"/>
            </w:tcBorders>
            <w:shd w:val="clear" w:color="auto" w:fill="D9D9D9" w:themeFill="background1" w:themeFillShade="D9"/>
            <w:noWrap/>
          </w:tcPr>
          <w:p w14:paraId="74774486" w14:textId="77777777" w:rsidR="00F750BB" w:rsidRPr="003D2179" w:rsidRDefault="00F750BB" w:rsidP="003022D5">
            <w:pPr>
              <w:snapToGrid w:val="0"/>
              <w:spacing w:after="0" w:line="240" w:lineRule="auto"/>
              <w:contextualSpacing/>
              <w:rPr>
                <w:rFonts w:ascii="Arial" w:hAnsi="Arial" w:cs="Arial"/>
                <w:bCs/>
              </w:rPr>
            </w:pPr>
            <w:r>
              <w:rPr>
                <w:rFonts w:ascii="Arial" w:hAnsi="Arial" w:cs="Arial"/>
                <w:bCs/>
              </w:rPr>
              <w:t>Use of l</w:t>
            </w:r>
            <w:r w:rsidRPr="003D2179">
              <w:rPr>
                <w:rFonts w:ascii="Arial" w:hAnsi="Arial" w:cs="Arial"/>
                <w:bCs/>
              </w:rPr>
              <w:t>anguage or imagery whose main goal is to convey facts and information to the viewer.  </w:t>
            </w:r>
          </w:p>
        </w:tc>
        <w:tc>
          <w:tcPr>
            <w:tcW w:w="2520" w:type="dxa"/>
            <w:tcBorders>
              <w:top w:val="nil"/>
              <w:left w:val="nil"/>
              <w:bottom w:val="nil"/>
              <w:right w:val="nil"/>
            </w:tcBorders>
            <w:shd w:val="clear" w:color="auto" w:fill="D9D9D9" w:themeFill="background1" w:themeFillShade="D9"/>
            <w:noWrap/>
          </w:tcPr>
          <w:p w14:paraId="1E8CBFF8" w14:textId="77777777" w:rsidR="00F750BB" w:rsidRPr="00343594" w:rsidRDefault="00F750BB" w:rsidP="003022D5">
            <w:pPr>
              <w:snapToGrid w:val="0"/>
              <w:spacing w:after="0" w:line="240" w:lineRule="auto"/>
              <w:contextualSpacing/>
              <w:rPr>
                <w:rFonts w:ascii="Arial" w:hAnsi="Arial" w:cs="Arial"/>
                <w:bCs/>
              </w:rPr>
            </w:pPr>
            <w:r w:rsidRPr="00343594">
              <w:rPr>
                <w:rFonts w:ascii="Arial" w:hAnsi="Arial" w:cs="Arial"/>
                <w:bCs/>
              </w:rPr>
              <w:t>Educational is better</w:t>
            </w:r>
          </w:p>
        </w:tc>
      </w:tr>
      <w:tr w:rsidR="00F750BB" w:rsidRPr="00077970" w14:paraId="4D4ACC5D" w14:textId="77777777" w:rsidTr="003022D5">
        <w:trPr>
          <w:trHeight w:val="301"/>
        </w:trPr>
        <w:tc>
          <w:tcPr>
            <w:tcW w:w="3510" w:type="dxa"/>
            <w:gridSpan w:val="2"/>
            <w:tcBorders>
              <w:top w:val="nil"/>
              <w:left w:val="nil"/>
              <w:bottom w:val="nil"/>
              <w:right w:val="nil"/>
            </w:tcBorders>
            <w:shd w:val="clear" w:color="auto" w:fill="auto"/>
            <w:noWrap/>
            <w:hideMark/>
          </w:tcPr>
          <w:p w14:paraId="4A8FE754" w14:textId="77777777" w:rsidR="00F750BB" w:rsidRPr="00077970" w:rsidRDefault="00F750BB" w:rsidP="003022D5">
            <w:pPr>
              <w:snapToGrid w:val="0"/>
              <w:spacing w:after="0" w:line="240" w:lineRule="auto"/>
              <w:contextualSpacing/>
              <w:rPr>
                <w:rFonts w:ascii="Arial" w:hAnsi="Arial" w:cs="Arial"/>
                <w:bCs/>
              </w:rPr>
            </w:pPr>
            <w:r w:rsidRPr="00077970">
              <w:rPr>
                <w:rFonts w:ascii="Arial" w:hAnsi="Arial" w:cs="Arial"/>
                <w:bCs/>
              </w:rPr>
              <w:t xml:space="preserve">Tone </w:t>
            </w:r>
          </w:p>
        </w:tc>
        <w:tc>
          <w:tcPr>
            <w:tcW w:w="6930" w:type="dxa"/>
            <w:tcBorders>
              <w:top w:val="nil"/>
              <w:left w:val="nil"/>
              <w:bottom w:val="nil"/>
              <w:right w:val="nil"/>
            </w:tcBorders>
            <w:shd w:val="clear" w:color="auto" w:fill="auto"/>
            <w:noWrap/>
          </w:tcPr>
          <w:p w14:paraId="0DAA6FE3" w14:textId="77777777" w:rsidR="00F750BB" w:rsidRPr="00077970" w:rsidRDefault="00F750BB" w:rsidP="003022D5">
            <w:pPr>
              <w:snapToGrid w:val="0"/>
              <w:spacing w:after="0" w:line="240" w:lineRule="auto"/>
              <w:contextualSpacing/>
              <w:rPr>
                <w:rFonts w:ascii="Arial" w:hAnsi="Arial" w:cs="Arial"/>
                <w:bCs/>
              </w:rPr>
            </w:pPr>
          </w:p>
        </w:tc>
        <w:tc>
          <w:tcPr>
            <w:tcW w:w="2520" w:type="dxa"/>
            <w:tcBorders>
              <w:top w:val="nil"/>
              <w:left w:val="nil"/>
              <w:bottom w:val="nil"/>
              <w:right w:val="nil"/>
            </w:tcBorders>
            <w:shd w:val="clear" w:color="auto" w:fill="auto"/>
            <w:noWrap/>
          </w:tcPr>
          <w:p w14:paraId="5E93204B" w14:textId="77777777" w:rsidR="00F750BB" w:rsidRPr="00343594" w:rsidRDefault="00F750BB" w:rsidP="003022D5">
            <w:pPr>
              <w:snapToGrid w:val="0"/>
              <w:spacing w:after="0" w:line="240" w:lineRule="auto"/>
              <w:contextualSpacing/>
              <w:rPr>
                <w:rFonts w:ascii="Arial" w:hAnsi="Arial" w:cs="Arial"/>
              </w:rPr>
            </w:pPr>
          </w:p>
        </w:tc>
      </w:tr>
      <w:tr w:rsidR="00F750BB" w:rsidRPr="00077970" w14:paraId="2261D5CE" w14:textId="77777777" w:rsidTr="003022D5">
        <w:trPr>
          <w:trHeight w:val="301"/>
        </w:trPr>
        <w:tc>
          <w:tcPr>
            <w:tcW w:w="450" w:type="dxa"/>
            <w:tcBorders>
              <w:top w:val="nil"/>
              <w:left w:val="nil"/>
              <w:bottom w:val="nil"/>
              <w:right w:val="nil"/>
            </w:tcBorders>
            <w:shd w:val="clear" w:color="auto" w:fill="auto"/>
            <w:noWrap/>
            <w:hideMark/>
          </w:tcPr>
          <w:p w14:paraId="498EF3EF"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0C310419"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Informal, friendly</w:t>
            </w:r>
          </w:p>
        </w:tc>
        <w:tc>
          <w:tcPr>
            <w:tcW w:w="6930" w:type="dxa"/>
            <w:tcBorders>
              <w:top w:val="nil"/>
              <w:left w:val="nil"/>
              <w:bottom w:val="nil"/>
              <w:right w:val="nil"/>
            </w:tcBorders>
            <w:shd w:val="clear" w:color="auto" w:fill="auto"/>
            <w:noWrap/>
          </w:tcPr>
          <w:p w14:paraId="4F76F89D"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 xml:space="preserve">Use </w:t>
            </w:r>
            <w:r w:rsidRPr="003D2179">
              <w:rPr>
                <w:rFonts w:ascii="Arial" w:hAnsi="Arial" w:cs="Arial"/>
              </w:rPr>
              <w:t>of slang or inside jokes that may not necessarily widely understood by all viewers. </w:t>
            </w:r>
          </w:p>
        </w:tc>
        <w:tc>
          <w:tcPr>
            <w:tcW w:w="2520" w:type="dxa"/>
            <w:tcBorders>
              <w:top w:val="nil"/>
              <w:left w:val="nil"/>
              <w:bottom w:val="nil"/>
              <w:right w:val="nil"/>
            </w:tcBorders>
            <w:shd w:val="clear" w:color="auto" w:fill="auto"/>
            <w:noWrap/>
          </w:tcPr>
          <w:p w14:paraId="222C8E75"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Informal is better</w:t>
            </w:r>
          </w:p>
        </w:tc>
      </w:tr>
      <w:tr w:rsidR="00F750BB" w:rsidRPr="00077970" w14:paraId="681902C0" w14:textId="77777777" w:rsidTr="003022D5">
        <w:trPr>
          <w:trHeight w:val="301"/>
        </w:trPr>
        <w:tc>
          <w:tcPr>
            <w:tcW w:w="450" w:type="dxa"/>
            <w:tcBorders>
              <w:top w:val="nil"/>
              <w:left w:val="nil"/>
              <w:bottom w:val="nil"/>
              <w:right w:val="nil"/>
            </w:tcBorders>
            <w:shd w:val="clear" w:color="auto" w:fill="D9D9D9" w:themeFill="background1" w:themeFillShade="D9"/>
            <w:noWrap/>
            <w:hideMark/>
          </w:tcPr>
          <w:p w14:paraId="1E53F543"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D9D9D9" w:themeFill="background1" w:themeFillShade="D9"/>
            <w:noWrap/>
            <w:hideMark/>
          </w:tcPr>
          <w:p w14:paraId="15F4D260"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Author</w:t>
            </w:r>
            <w:r>
              <w:rPr>
                <w:rFonts w:ascii="Arial" w:hAnsi="Arial" w:cs="Arial"/>
              </w:rPr>
              <w:t>i</w:t>
            </w:r>
            <w:r w:rsidRPr="00077970">
              <w:rPr>
                <w:rFonts w:ascii="Arial" w:hAnsi="Arial" w:cs="Arial"/>
              </w:rPr>
              <w:t>tative</w:t>
            </w:r>
          </w:p>
        </w:tc>
        <w:tc>
          <w:tcPr>
            <w:tcW w:w="6930" w:type="dxa"/>
            <w:tcBorders>
              <w:top w:val="nil"/>
              <w:left w:val="nil"/>
              <w:bottom w:val="nil"/>
              <w:right w:val="nil"/>
            </w:tcBorders>
            <w:shd w:val="clear" w:color="auto" w:fill="D9D9D9" w:themeFill="background1" w:themeFillShade="D9"/>
            <w:noWrap/>
          </w:tcPr>
          <w:p w14:paraId="6C3767D7"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 xml:space="preserve">Content refers to </w:t>
            </w:r>
            <w:r w:rsidRPr="003D2179">
              <w:rPr>
                <w:rFonts w:ascii="Arial" w:hAnsi="Arial" w:cs="Arial"/>
              </w:rPr>
              <w:t>future outcomes of actions taken (e.g. drug use, unprotected sex) or actions no taken (e.g. not taking an HIV test).</w:t>
            </w:r>
          </w:p>
        </w:tc>
        <w:tc>
          <w:tcPr>
            <w:tcW w:w="2520" w:type="dxa"/>
            <w:tcBorders>
              <w:top w:val="nil"/>
              <w:left w:val="nil"/>
              <w:bottom w:val="nil"/>
              <w:right w:val="nil"/>
            </w:tcBorders>
            <w:shd w:val="clear" w:color="auto" w:fill="D9D9D9" w:themeFill="background1" w:themeFillShade="D9"/>
            <w:noWrap/>
          </w:tcPr>
          <w:p w14:paraId="2497A170"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Authoritative is worse</w:t>
            </w:r>
          </w:p>
        </w:tc>
      </w:tr>
      <w:tr w:rsidR="00F750BB" w:rsidRPr="00077970" w14:paraId="4B22ECE9" w14:textId="77777777" w:rsidTr="003022D5">
        <w:trPr>
          <w:trHeight w:val="301"/>
        </w:trPr>
        <w:tc>
          <w:tcPr>
            <w:tcW w:w="450" w:type="dxa"/>
            <w:tcBorders>
              <w:top w:val="nil"/>
              <w:left w:val="nil"/>
              <w:bottom w:val="nil"/>
              <w:right w:val="nil"/>
            </w:tcBorders>
            <w:shd w:val="clear" w:color="auto" w:fill="auto"/>
            <w:noWrap/>
            <w:hideMark/>
          </w:tcPr>
          <w:p w14:paraId="228B8161" w14:textId="77777777" w:rsidR="00F750BB" w:rsidRPr="00077970" w:rsidRDefault="00F750BB" w:rsidP="003022D5">
            <w:pPr>
              <w:snapToGrid w:val="0"/>
              <w:spacing w:after="0" w:line="240" w:lineRule="auto"/>
              <w:contextualSpacing/>
              <w:rPr>
                <w:rFonts w:ascii="Arial" w:hAnsi="Arial" w:cs="Arial"/>
              </w:rPr>
            </w:pPr>
          </w:p>
        </w:tc>
        <w:tc>
          <w:tcPr>
            <w:tcW w:w="3060" w:type="dxa"/>
            <w:tcBorders>
              <w:top w:val="nil"/>
              <w:left w:val="nil"/>
              <w:bottom w:val="nil"/>
              <w:right w:val="nil"/>
            </w:tcBorders>
            <w:shd w:val="clear" w:color="auto" w:fill="auto"/>
            <w:noWrap/>
            <w:hideMark/>
          </w:tcPr>
          <w:p w14:paraId="5CEF22DB"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Motivational</w:t>
            </w:r>
          </w:p>
        </w:tc>
        <w:tc>
          <w:tcPr>
            <w:tcW w:w="6930" w:type="dxa"/>
            <w:tcBorders>
              <w:top w:val="nil"/>
              <w:left w:val="nil"/>
              <w:bottom w:val="nil"/>
              <w:right w:val="nil"/>
            </w:tcBorders>
            <w:shd w:val="clear" w:color="auto" w:fill="auto"/>
            <w:noWrap/>
          </w:tcPr>
          <w:p w14:paraId="5D190360"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 xml:space="preserve">Use of </w:t>
            </w:r>
            <w:r w:rsidRPr="003D2179">
              <w:rPr>
                <w:rFonts w:ascii="Arial" w:hAnsi="Arial" w:cs="Arial"/>
              </w:rPr>
              <w:t>an uplifting or positive message to encourage, comfort, or inspire the viewer.</w:t>
            </w:r>
          </w:p>
        </w:tc>
        <w:tc>
          <w:tcPr>
            <w:tcW w:w="2520" w:type="dxa"/>
            <w:tcBorders>
              <w:top w:val="nil"/>
              <w:left w:val="nil"/>
              <w:bottom w:val="nil"/>
              <w:right w:val="nil"/>
            </w:tcBorders>
            <w:shd w:val="clear" w:color="auto" w:fill="auto"/>
            <w:noWrap/>
          </w:tcPr>
          <w:p w14:paraId="23A34F38" w14:textId="77777777" w:rsidR="00F750BB" w:rsidRPr="00077970" w:rsidRDefault="00F750BB" w:rsidP="003022D5">
            <w:pPr>
              <w:snapToGrid w:val="0"/>
              <w:spacing w:after="0" w:line="240" w:lineRule="auto"/>
              <w:contextualSpacing/>
              <w:rPr>
                <w:rFonts w:ascii="Arial" w:hAnsi="Arial" w:cs="Arial"/>
              </w:rPr>
            </w:pPr>
            <w:r>
              <w:rPr>
                <w:rFonts w:ascii="Arial" w:hAnsi="Arial" w:cs="Arial"/>
              </w:rPr>
              <w:t>Motivational is better</w:t>
            </w:r>
          </w:p>
        </w:tc>
      </w:tr>
      <w:tr w:rsidR="00F750BB" w:rsidRPr="00077970" w14:paraId="5403BBB8" w14:textId="77777777" w:rsidTr="003022D5">
        <w:trPr>
          <w:trHeight w:val="301"/>
        </w:trPr>
        <w:tc>
          <w:tcPr>
            <w:tcW w:w="450" w:type="dxa"/>
            <w:tcBorders>
              <w:top w:val="nil"/>
              <w:left w:val="nil"/>
              <w:bottom w:val="single" w:sz="4" w:space="0" w:color="auto"/>
              <w:right w:val="nil"/>
            </w:tcBorders>
            <w:shd w:val="clear" w:color="auto" w:fill="D9D9D9" w:themeFill="background1" w:themeFillShade="D9"/>
            <w:noWrap/>
            <w:hideMark/>
          </w:tcPr>
          <w:p w14:paraId="15E7911F"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 </w:t>
            </w:r>
          </w:p>
        </w:tc>
        <w:tc>
          <w:tcPr>
            <w:tcW w:w="3060" w:type="dxa"/>
            <w:tcBorders>
              <w:top w:val="nil"/>
              <w:left w:val="nil"/>
              <w:bottom w:val="single" w:sz="4" w:space="0" w:color="auto"/>
              <w:right w:val="nil"/>
            </w:tcBorders>
            <w:shd w:val="clear" w:color="auto" w:fill="D9D9D9" w:themeFill="background1" w:themeFillShade="D9"/>
            <w:noWrap/>
            <w:hideMark/>
          </w:tcPr>
          <w:p w14:paraId="6FB70A01" w14:textId="77777777" w:rsidR="00F750BB" w:rsidRPr="00077970" w:rsidRDefault="00F750BB" w:rsidP="003022D5">
            <w:pPr>
              <w:snapToGrid w:val="0"/>
              <w:spacing w:after="0" w:line="240" w:lineRule="auto"/>
              <w:contextualSpacing/>
              <w:rPr>
                <w:rFonts w:ascii="Arial" w:hAnsi="Arial" w:cs="Arial"/>
              </w:rPr>
            </w:pPr>
            <w:r w:rsidRPr="00077970">
              <w:rPr>
                <w:rFonts w:ascii="Arial" w:hAnsi="Arial" w:cs="Arial"/>
              </w:rPr>
              <w:t>Visual metaphors used</w:t>
            </w:r>
          </w:p>
        </w:tc>
        <w:tc>
          <w:tcPr>
            <w:tcW w:w="6930" w:type="dxa"/>
            <w:tcBorders>
              <w:top w:val="nil"/>
              <w:left w:val="nil"/>
              <w:bottom w:val="single" w:sz="4" w:space="0" w:color="auto"/>
              <w:right w:val="nil"/>
            </w:tcBorders>
            <w:shd w:val="clear" w:color="auto" w:fill="D9D9D9" w:themeFill="background1" w:themeFillShade="D9"/>
            <w:noWrap/>
          </w:tcPr>
          <w:p w14:paraId="5C07CDF6" w14:textId="77777777" w:rsidR="00F750BB" w:rsidRPr="003D2179" w:rsidRDefault="00F750BB" w:rsidP="003022D5">
            <w:pPr>
              <w:snapToGrid w:val="0"/>
              <w:spacing w:after="0" w:line="240" w:lineRule="auto"/>
              <w:contextualSpacing/>
              <w:rPr>
                <w:rFonts w:ascii="Arial" w:hAnsi="Arial" w:cs="Arial"/>
                <w:bCs/>
              </w:rPr>
            </w:pPr>
            <w:r w:rsidRPr="003D2179">
              <w:rPr>
                <w:rFonts w:ascii="Arial" w:hAnsi="Arial" w:cs="Arial"/>
                <w:bCs/>
              </w:rPr>
              <w:t>Use of symbols or objects may be used in a way that suggests more than one meaning, especially where the meaning is hidden or would not necessarily be universally recognized. For example, the rainbow as a symbol of the LGBTQ rights has two meanings.</w:t>
            </w:r>
          </w:p>
        </w:tc>
        <w:tc>
          <w:tcPr>
            <w:tcW w:w="2520" w:type="dxa"/>
            <w:tcBorders>
              <w:top w:val="nil"/>
              <w:left w:val="nil"/>
              <w:bottom w:val="single" w:sz="4" w:space="0" w:color="auto"/>
              <w:right w:val="nil"/>
            </w:tcBorders>
            <w:shd w:val="clear" w:color="auto" w:fill="D9D9D9" w:themeFill="background1" w:themeFillShade="D9"/>
            <w:noWrap/>
          </w:tcPr>
          <w:p w14:paraId="32752B1D" w14:textId="3F0E2360" w:rsidR="00F750BB" w:rsidRPr="00343594" w:rsidRDefault="00F750BB" w:rsidP="00762221">
            <w:pPr>
              <w:snapToGrid w:val="0"/>
              <w:spacing w:after="0" w:line="240" w:lineRule="auto"/>
              <w:contextualSpacing/>
              <w:rPr>
                <w:rFonts w:ascii="Arial" w:hAnsi="Arial" w:cs="Arial"/>
                <w:bCs/>
              </w:rPr>
            </w:pPr>
            <w:r w:rsidRPr="00343594">
              <w:rPr>
                <w:rFonts w:ascii="Arial" w:hAnsi="Arial" w:cs="Arial"/>
                <w:bCs/>
              </w:rPr>
              <w:t>Metaphor</w:t>
            </w:r>
            <w:r w:rsidR="00762221">
              <w:rPr>
                <w:rFonts w:ascii="Arial" w:hAnsi="Arial" w:cs="Arial"/>
                <w:bCs/>
              </w:rPr>
              <w:t xml:space="preserve"> use is</w:t>
            </w:r>
            <w:r w:rsidRPr="00343594">
              <w:rPr>
                <w:rFonts w:ascii="Arial" w:hAnsi="Arial" w:cs="Arial"/>
                <w:bCs/>
              </w:rPr>
              <w:t xml:space="preserve"> better</w:t>
            </w:r>
          </w:p>
        </w:tc>
      </w:tr>
    </w:tbl>
    <w:p w14:paraId="7331CD98" w14:textId="77777777" w:rsidR="00F750BB" w:rsidRDefault="00F750BB" w:rsidP="00F750BB">
      <w:pPr>
        <w:snapToGrid w:val="0"/>
        <w:spacing w:after="0" w:line="240" w:lineRule="auto"/>
        <w:contextualSpacing/>
        <w:rPr>
          <w:rFonts w:ascii="Arial" w:hAnsi="Arial" w:cs="Arial"/>
        </w:rPr>
        <w:sectPr w:rsidR="00F750BB" w:rsidSect="00952567">
          <w:headerReference w:type="default" r:id="rId8"/>
          <w:pgSz w:w="15840" w:h="12240" w:orient="landscape"/>
          <w:pgMar w:top="1440" w:right="1440" w:bottom="1440" w:left="1440" w:header="720" w:footer="720" w:gutter="0"/>
          <w:cols w:space="720"/>
          <w:docGrid w:linePitch="360"/>
        </w:sectPr>
      </w:pPr>
    </w:p>
    <w:p w14:paraId="7628829B" w14:textId="30CBE653" w:rsidR="00F750BB" w:rsidRDefault="00F750BB" w:rsidP="00F750BB">
      <w:pPr>
        <w:snapToGrid w:val="0"/>
        <w:spacing w:after="0" w:line="240" w:lineRule="auto"/>
        <w:contextualSpacing/>
        <w:rPr>
          <w:rFonts w:ascii="Arial" w:hAnsi="Arial" w:cs="Arial"/>
        </w:rPr>
      </w:pPr>
      <w:r w:rsidRPr="001912B3">
        <w:rPr>
          <w:rFonts w:ascii="Arial" w:hAnsi="Arial" w:cs="Arial"/>
        </w:rPr>
        <w:lastRenderedPageBreak/>
        <w:t xml:space="preserve">Table </w:t>
      </w:r>
      <w:r>
        <w:rPr>
          <w:rFonts w:ascii="Arial" w:hAnsi="Arial" w:cs="Arial"/>
        </w:rPr>
        <w:t>S2</w:t>
      </w:r>
      <w:r w:rsidRPr="001912B3">
        <w:rPr>
          <w:rFonts w:ascii="Arial" w:hAnsi="Arial" w:cs="Arial"/>
        </w:rPr>
        <w:t xml:space="preserve">. Descriptive characteristics of </w:t>
      </w:r>
      <w:r>
        <w:rPr>
          <w:rFonts w:ascii="Arial" w:hAnsi="Arial" w:cs="Arial"/>
        </w:rPr>
        <w:t xml:space="preserve">the full sample (N=507) including participants who </w:t>
      </w:r>
      <w:r w:rsidRPr="00207270">
        <w:rPr>
          <w:rFonts w:ascii="Arial" w:hAnsi="Arial" w:cs="Arial"/>
        </w:rPr>
        <w:t>provided the same answer for every poster</w:t>
      </w:r>
      <w:r>
        <w:rPr>
          <w:rFonts w:ascii="Arial" w:hAnsi="Arial" w:cs="Arial"/>
        </w:rPr>
        <w:t xml:space="preserve"> (i.e. uninformative data).</w:t>
      </w:r>
    </w:p>
    <w:p w14:paraId="0B27593E" w14:textId="77777777" w:rsidR="00F750BB" w:rsidRDefault="00F750BB" w:rsidP="00F750BB">
      <w:pPr>
        <w:snapToGrid w:val="0"/>
        <w:spacing w:after="0" w:line="240" w:lineRule="auto"/>
        <w:contextualSpacing/>
        <w:rPr>
          <w:rFonts w:ascii="Arial" w:hAnsi="Arial" w:cs="Arial"/>
        </w:rPr>
      </w:pPr>
    </w:p>
    <w:p w14:paraId="7F974668" w14:textId="77777777" w:rsidR="00F750BB" w:rsidRDefault="00F750BB" w:rsidP="00F750BB">
      <w:pPr>
        <w:snapToGrid w:val="0"/>
        <w:spacing w:after="0" w:line="240" w:lineRule="auto"/>
        <w:contextualSpacing/>
        <w:rPr>
          <w:rFonts w:ascii="Arial" w:hAnsi="Arial" w:cs="Arial"/>
        </w:rPr>
      </w:pPr>
    </w:p>
    <w:tbl>
      <w:tblPr>
        <w:tblW w:w="9360" w:type="dxa"/>
        <w:tblLook w:val="04A0" w:firstRow="1" w:lastRow="0" w:firstColumn="1" w:lastColumn="0" w:noHBand="0" w:noVBand="1"/>
      </w:tblPr>
      <w:tblGrid>
        <w:gridCol w:w="1425"/>
        <w:gridCol w:w="3165"/>
        <w:gridCol w:w="2836"/>
        <w:gridCol w:w="1934"/>
      </w:tblGrid>
      <w:tr w:rsidR="00F750BB" w:rsidRPr="00207270" w14:paraId="10438F7E" w14:textId="77777777" w:rsidTr="003022D5">
        <w:trPr>
          <w:trHeight w:val="273"/>
        </w:trPr>
        <w:tc>
          <w:tcPr>
            <w:tcW w:w="4590" w:type="dxa"/>
            <w:gridSpan w:val="2"/>
            <w:tcBorders>
              <w:top w:val="single" w:sz="4" w:space="0" w:color="auto"/>
              <w:left w:val="nil"/>
              <w:right w:val="nil"/>
            </w:tcBorders>
            <w:shd w:val="clear" w:color="auto" w:fill="auto"/>
            <w:noWrap/>
            <w:vAlign w:val="bottom"/>
            <w:hideMark/>
          </w:tcPr>
          <w:p w14:paraId="69750E65" w14:textId="77777777" w:rsidR="00F750BB" w:rsidRPr="00207270" w:rsidRDefault="00F750BB" w:rsidP="003022D5">
            <w:pPr>
              <w:spacing w:after="0" w:line="240" w:lineRule="auto"/>
              <w:rPr>
                <w:rFonts w:ascii="Arial" w:eastAsia="Times New Roman" w:hAnsi="Arial" w:cs="Arial"/>
                <w:b/>
                <w:color w:val="000000"/>
              </w:rPr>
            </w:pPr>
            <w:r w:rsidRPr="00207270">
              <w:rPr>
                <w:rFonts w:ascii="Arial" w:eastAsia="Times New Roman" w:hAnsi="Arial" w:cs="Arial"/>
                <w:b/>
                <w:color w:val="000000"/>
              </w:rPr>
              <w:t> Characteristic</w:t>
            </w:r>
          </w:p>
        </w:tc>
        <w:tc>
          <w:tcPr>
            <w:tcW w:w="2836" w:type="dxa"/>
            <w:tcBorders>
              <w:top w:val="single" w:sz="4" w:space="0" w:color="auto"/>
              <w:left w:val="nil"/>
              <w:right w:val="nil"/>
            </w:tcBorders>
            <w:shd w:val="clear" w:color="auto" w:fill="auto"/>
            <w:noWrap/>
            <w:vAlign w:val="bottom"/>
            <w:hideMark/>
          </w:tcPr>
          <w:p w14:paraId="4AB63A64" w14:textId="77777777" w:rsidR="00F750BB" w:rsidRPr="00207270" w:rsidRDefault="00F750BB" w:rsidP="003022D5">
            <w:pPr>
              <w:spacing w:after="0" w:line="240" w:lineRule="auto"/>
              <w:rPr>
                <w:rFonts w:ascii="Arial" w:eastAsia="Times New Roman" w:hAnsi="Arial" w:cs="Arial"/>
                <w:b/>
                <w:color w:val="000000"/>
              </w:rPr>
            </w:pPr>
            <w:r>
              <w:rPr>
                <w:rFonts w:ascii="Arial" w:eastAsia="Times New Roman" w:hAnsi="Arial" w:cs="Arial"/>
                <w:b/>
                <w:color w:val="000000"/>
              </w:rPr>
              <w:t>Restricted sample</w:t>
            </w:r>
          </w:p>
        </w:tc>
        <w:tc>
          <w:tcPr>
            <w:tcW w:w="1934" w:type="dxa"/>
            <w:tcBorders>
              <w:top w:val="single" w:sz="4" w:space="0" w:color="auto"/>
              <w:left w:val="nil"/>
              <w:right w:val="nil"/>
            </w:tcBorders>
          </w:tcPr>
          <w:p w14:paraId="4BEAF847" w14:textId="77777777" w:rsidR="00F750BB" w:rsidRPr="00207270" w:rsidRDefault="00F750BB" w:rsidP="003022D5">
            <w:pPr>
              <w:spacing w:after="0" w:line="240" w:lineRule="auto"/>
              <w:rPr>
                <w:rFonts w:ascii="Arial" w:eastAsia="Times New Roman" w:hAnsi="Arial" w:cs="Arial"/>
                <w:b/>
                <w:color w:val="000000"/>
              </w:rPr>
            </w:pPr>
            <w:r>
              <w:rPr>
                <w:rFonts w:ascii="Arial" w:eastAsia="Times New Roman" w:hAnsi="Arial" w:cs="Arial"/>
                <w:b/>
                <w:color w:val="000000"/>
              </w:rPr>
              <w:t>Full Sample</w:t>
            </w:r>
          </w:p>
        </w:tc>
      </w:tr>
      <w:tr w:rsidR="00F750BB" w:rsidRPr="00207270" w14:paraId="2E70A9D9" w14:textId="77777777" w:rsidTr="003022D5">
        <w:trPr>
          <w:trHeight w:val="273"/>
        </w:trPr>
        <w:tc>
          <w:tcPr>
            <w:tcW w:w="4590" w:type="dxa"/>
            <w:gridSpan w:val="2"/>
            <w:tcBorders>
              <w:left w:val="nil"/>
              <w:bottom w:val="single" w:sz="4" w:space="0" w:color="auto"/>
              <w:right w:val="nil"/>
            </w:tcBorders>
            <w:shd w:val="clear" w:color="auto" w:fill="auto"/>
            <w:noWrap/>
            <w:vAlign w:val="bottom"/>
          </w:tcPr>
          <w:p w14:paraId="0AE48422" w14:textId="77777777" w:rsidR="00F750BB" w:rsidRPr="00207270" w:rsidRDefault="00F750BB" w:rsidP="003022D5">
            <w:pPr>
              <w:spacing w:after="0" w:line="240" w:lineRule="auto"/>
              <w:rPr>
                <w:rFonts w:ascii="Arial" w:eastAsia="Times New Roman" w:hAnsi="Arial" w:cs="Arial"/>
                <w:b/>
                <w:color w:val="000000"/>
              </w:rPr>
            </w:pPr>
          </w:p>
        </w:tc>
        <w:tc>
          <w:tcPr>
            <w:tcW w:w="2836" w:type="dxa"/>
            <w:tcBorders>
              <w:left w:val="nil"/>
              <w:bottom w:val="single" w:sz="4" w:space="0" w:color="auto"/>
              <w:right w:val="nil"/>
            </w:tcBorders>
            <w:shd w:val="clear" w:color="auto" w:fill="auto"/>
            <w:noWrap/>
            <w:vAlign w:val="bottom"/>
          </w:tcPr>
          <w:p w14:paraId="7BADB808" w14:textId="77777777" w:rsidR="00F750BB" w:rsidRPr="00207270" w:rsidRDefault="00F750BB" w:rsidP="003022D5">
            <w:pPr>
              <w:spacing w:after="0" w:line="240" w:lineRule="auto"/>
              <w:rPr>
                <w:rFonts w:ascii="Arial" w:eastAsia="Times New Roman" w:hAnsi="Arial" w:cs="Arial"/>
                <w:b/>
                <w:color w:val="000000"/>
              </w:rPr>
            </w:pPr>
            <w:r w:rsidRPr="00207270">
              <w:rPr>
                <w:rFonts w:ascii="Arial" w:eastAsia="Times New Roman" w:hAnsi="Arial" w:cs="Arial"/>
                <w:b/>
                <w:color w:val="000000"/>
              </w:rPr>
              <w:t>% (95% CI)</w:t>
            </w:r>
            <w:r w:rsidRPr="00207270">
              <w:rPr>
                <w:rFonts w:ascii="Arial" w:eastAsia="Times New Roman" w:hAnsi="Arial" w:cs="Arial"/>
                <w:b/>
                <w:color w:val="000000"/>
                <w:vertAlign w:val="superscript"/>
              </w:rPr>
              <w:t>1</w:t>
            </w:r>
          </w:p>
        </w:tc>
        <w:tc>
          <w:tcPr>
            <w:tcW w:w="1934" w:type="dxa"/>
            <w:tcBorders>
              <w:left w:val="nil"/>
              <w:bottom w:val="single" w:sz="4" w:space="0" w:color="auto"/>
              <w:right w:val="nil"/>
            </w:tcBorders>
          </w:tcPr>
          <w:p w14:paraId="527A0723" w14:textId="77777777" w:rsidR="00F750BB" w:rsidRDefault="00F750BB" w:rsidP="003022D5">
            <w:pPr>
              <w:spacing w:after="0" w:line="240" w:lineRule="auto"/>
              <w:rPr>
                <w:rFonts w:ascii="Arial" w:eastAsia="Times New Roman" w:hAnsi="Arial" w:cs="Arial"/>
                <w:b/>
                <w:color w:val="000000"/>
              </w:rPr>
            </w:pPr>
            <w:r w:rsidRPr="00207270">
              <w:rPr>
                <w:rFonts w:ascii="Arial" w:eastAsia="Times New Roman" w:hAnsi="Arial" w:cs="Arial"/>
                <w:b/>
                <w:color w:val="000000"/>
              </w:rPr>
              <w:t>% (95% CI)</w:t>
            </w:r>
            <w:r w:rsidRPr="00207270">
              <w:rPr>
                <w:rFonts w:ascii="Arial" w:eastAsia="Times New Roman" w:hAnsi="Arial" w:cs="Arial"/>
                <w:b/>
                <w:color w:val="000000"/>
                <w:vertAlign w:val="superscript"/>
              </w:rPr>
              <w:t>1</w:t>
            </w:r>
          </w:p>
        </w:tc>
      </w:tr>
      <w:tr w:rsidR="00F750BB" w:rsidRPr="001C41A3" w14:paraId="119EA2A0" w14:textId="77777777" w:rsidTr="003022D5">
        <w:trPr>
          <w:trHeight w:val="273"/>
        </w:trPr>
        <w:tc>
          <w:tcPr>
            <w:tcW w:w="4590" w:type="dxa"/>
            <w:gridSpan w:val="2"/>
            <w:tcBorders>
              <w:left w:val="nil"/>
              <w:right w:val="nil"/>
            </w:tcBorders>
            <w:shd w:val="clear" w:color="auto" w:fill="auto"/>
            <w:noWrap/>
            <w:vAlign w:val="bottom"/>
          </w:tcPr>
          <w:p w14:paraId="3330C565" w14:textId="77777777" w:rsidR="00F750BB" w:rsidRPr="001C41A3" w:rsidRDefault="00F750BB" w:rsidP="003022D5">
            <w:pPr>
              <w:spacing w:after="0" w:line="240" w:lineRule="auto"/>
              <w:rPr>
                <w:rFonts w:ascii="Arial" w:eastAsia="Times New Roman" w:hAnsi="Arial" w:cs="Arial"/>
                <w:color w:val="000000"/>
              </w:rPr>
            </w:pPr>
            <w:r>
              <w:rPr>
                <w:rFonts w:ascii="Arial" w:eastAsia="Times New Roman" w:hAnsi="Arial" w:cs="Arial"/>
                <w:color w:val="000000"/>
              </w:rPr>
              <w:t>Total</w:t>
            </w:r>
          </w:p>
        </w:tc>
        <w:tc>
          <w:tcPr>
            <w:tcW w:w="2836" w:type="dxa"/>
            <w:tcBorders>
              <w:left w:val="nil"/>
              <w:right w:val="nil"/>
            </w:tcBorders>
            <w:shd w:val="clear" w:color="auto" w:fill="auto"/>
            <w:noWrap/>
            <w:vAlign w:val="bottom"/>
          </w:tcPr>
          <w:p w14:paraId="71118C2E" w14:textId="77777777" w:rsidR="00F750BB" w:rsidRPr="001C41A3" w:rsidRDefault="00F750BB" w:rsidP="003022D5">
            <w:pPr>
              <w:spacing w:after="0" w:line="240" w:lineRule="auto"/>
              <w:rPr>
                <w:rFonts w:ascii="Arial" w:eastAsia="Times New Roman" w:hAnsi="Arial" w:cs="Arial"/>
                <w:color w:val="000000"/>
              </w:rPr>
            </w:pPr>
            <w:r w:rsidRPr="001C41A3">
              <w:rPr>
                <w:rFonts w:ascii="Arial" w:eastAsia="Times New Roman" w:hAnsi="Arial" w:cs="Arial"/>
                <w:color w:val="000000"/>
              </w:rPr>
              <w:t>414</w:t>
            </w:r>
          </w:p>
        </w:tc>
        <w:tc>
          <w:tcPr>
            <w:tcW w:w="1934" w:type="dxa"/>
            <w:tcBorders>
              <w:left w:val="nil"/>
              <w:right w:val="nil"/>
            </w:tcBorders>
          </w:tcPr>
          <w:p w14:paraId="493BAE68" w14:textId="77777777" w:rsidR="00F750BB" w:rsidRPr="001C41A3" w:rsidRDefault="00F750BB" w:rsidP="003022D5">
            <w:pPr>
              <w:spacing w:after="0" w:line="240" w:lineRule="auto"/>
              <w:rPr>
                <w:rFonts w:ascii="Arial" w:eastAsia="Times New Roman" w:hAnsi="Arial" w:cs="Arial"/>
                <w:color w:val="000000"/>
              </w:rPr>
            </w:pPr>
            <w:r w:rsidRPr="001C41A3">
              <w:rPr>
                <w:rFonts w:ascii="Arial" w:eastAsia="Times New Roman" w:hAnsi="Arial" w:cs="Arial"/>
                <w:color w:val="000000"/>
              </w:rPr>
              <w:t>507</w:t>
            </w:r>
          </w:p>
        </w:tc>
      </w:tr>
      <w:tr w:rsidR="00F750BB" w:rsidRPr="00F0791A" w14:paraId="39BAD7BF" w14:textId="77777777" w:rsidTr="003022D5">
        <w:trPr>
          <w:trHeight w:val="273"/>
        </w:trPr>
        <w:tc>
          <w:tcPr>
            <w:tcW w:w="4590" w:type="dxa"/>
            <w:gridSpan w:val="2"/>
            <w:tcBorders>
              <w:left w:val="nil"/>
              <w:bottom w:val="nil"/>
              <w:right w:val="nil"/>
            </w:tcBorders>
            <w:shd w:val="clear" w:color="auto" w:fill="auto"/>
            <w:noWrap/>
            <w:vAlign w:val="bottom"/>
            <w:hideMark/>
          </w:tcPr>
          <w:p w14:paraId="0DD19B9C"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Age (median, range)</w:t>
            </w:r>
          </w:p>
        </w:tc>
        <w:tc>
          <w:tcPr>
            <w:tcW w:w="2836" w:type="dxa"/>
            <w:tcBorders>
              <w:left w:val="nil"/>
              <w:bottom w:val="nil"/>
              <w:right w:val="nil"/>
            </w:tcBorders>
            <w:shd w:val="clear" w:color="auto" w:fill="auto"/>
            <w:noWrap/>
            <w:vAlign w:val="bottom"/>
            <w:hideMark/>
          </w:tcPr>
          <w:p w14:paraId="3D4B6E16"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26 (16-49)</w:t>
            </w:r>
          </w:p>
        </w:tc>
        <w:tc>
          <w:tcPr>
            <w:tcW w:w="1934" w:type="dxa"/>
            <w:tcBorders>
              <w:left w:val="nil"/>
              <w:bottom w:val="nil"/>
              <w:right w:val="nil"/>
            </w:tcBorders>
          </w:tcPr>
          <w:p w14:paraId="11CB2799"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26 (16-54)</w:t>
            </w:r>
          </w:p>
        </w:tc>
      </w:tr>
      <w:tr w:rsidR="00F750BB" w:rsidRPr="00F0791A" w14:paraId="65522D81"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4FF398F2" w14:textId="47F85158"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Married</w:t>
            </w:r>
            <w:r w:rsidR="00D708A7" w:rsidRPr="00952567">
              <w:rPr>
                <w:rFonts w:ascii="Arial" w:eastAsia="Times New Roman" w:hAnsi="Arial" w:cs="Arial"/>
                <w:color w:val="000000"/>
                <w:vertAlign w:val="superscript"/>
              </w:rPr>
              <w:t>2</w:t>
            </w:r>
          </w:p>
        </w:tc>
        <w:tc>
          <w:tcPr>
            <w:tcW w:w="2836" w:type="dxa"/>
            <w:tcBorders>
              <w:top w:val="nil"/>
              <w:left w:val="nil"/>
              <w:bottom w:val="nil"/>
              <w:right w:val="nil"/>
            </w:tcBorders>
            <w:shd w:val="clear" w:color="auto" w:fill="auto"/>
            <w:noWrap/>
            <w:vAlign w:val="bottom"/>
            <w:hideMark/>
          </w:tcPr>
          <w:p w14:paraId="4F3F5E98"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8.5 (6-11.7)</w:t>
            </w:r>
          </w:p>
        </w:tc>
        <w:tc>
          <w:tcPr>
            <w:tcW w:w="1934" w:type="dxa"/>
            <w:tcBorders>
              <w:top w:val="nil"/>
              <w:left w:val="nil"/>
              <w:bottom w:val="nil"/>
              <w:right w:val="nil"/>
            </w:tcBorders>
          </w:tcPr>
          <w:p w14:paraId="4D1CCF86"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9.1 (6.8-12)</w:t>
            </w:r>
          </w:p>
        </w:tc>
      </w:tr>
      <w:tr w:rsidR="00F750BB" w:rsidRPr="00F0791A" w14:paraId="7384CA51"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1CA8A84C"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College educated</w:t>
            </w:r>
          </w:p>
        </w:tc>
        <w:tc>
          <w:tcPr>
            <w:tcW w:w="2836" w:type="dxa"/>
            <w:tcBorders>
              <w:top w:val="nil"/>
              <w:left w:val="nil"/>
              <w:bottom w:val="nil"/>
              <w:right w:val="nil"/>
            </w:tcBorders>
            <w:shd w:val="clear" w:color="auto" w:fill="auto"/>
            <w:noWrap/>
            <w:vAlign w:val="bottom"/>
            <w:hideMark/>
          </w:tcPr>
          <w:p w14:paraId="0D4D3DCF"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78.7 (74.8-82.7)</w:t>
            </w:r>
          </w:p>
        </w:tc>
        <w:tc>
          <w:tcPr>
            <w:tcW w:w="1934" w:type="dxa"/>
            <w:tcBorders>
              <w:top w:val="nil"/>
              <w:left w:val="nil"/>
              <w:bottom w:val="nil"/>
              <w:right w:val="nil"/>
            </w:tcBorders>
          </w:tcPr>
          <w:p w14:paraId="6748EBA3"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75.7 (71.7-79.4)</w:t>
            </w:r>
          </w:p>
        </w:tc>
      </w:tr>
      <w:tr w:rsidR="00F750BB" w:rsidRPr="00F0791A" w14:paraId="4BD38481"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48527A2A"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Lo</w:t>
            </w:r>
            <w:r>
              <w:rPr>
                <w:rFonts w:ascii="Arial" w:eastAsia="Times New Roman" w:hAnsi="Arial" w:cs="Arial"/>
                <w:color w:val="000000"/>
              </w:rPr>
              <w:t>w</w:t>
            </w:r>
            <w:r w:rsidRPr="00F0791A">
              <w:rPr>
                <w:rFonts w:ascii="Arial" w:eastAsia="Times New Roman" w:hAnsi="Arial" w:cs="Arial"/>
                <w:color w:val="000000"/>
              </w:rPr>
              <w:t xml:space="preserve"> income</w:t>
            </w:r>
          </w:p>
        </w:tc>
        <w:tc>
          <w:tcPr>
            <w:tcW w:w="2836" w:type="dxa"/>
            <w:tcBorders>
              <w:top w:val="nil"/>
              <w:left w:val="nil"/>
              <w:bottom w:val="nil"/>
              <w:right w:val="nil"/>
            </w:tcBorders>
            <w:shd w:val="clear" w:color="auto" w:fill="auto"/>
            <w:noWrap/>
            <w:vAlign w:val="bottom"/>
            <w:hideMark/>
          </w:tcPr>
          <w:p w14:paraId="1F257719"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31.6 (27.2-36.4)</w:t>
            </w:r>
          </w:p>
        </w:tc>
        <w:tc>
          <w:tcPr>
            <w:tcW w:w="1934" w:type="dxa"/>
            <w:tcBorders>
              <w:top w:val="nil"/>
              <w:left w:val="nil"/>
              <w:bottom w:val="nil"/>
              <w:right w:val="nil"/>
            </w:tcBorders>
            <w:vAlign w:val="bottom"/>
          </w:tcPr>
          <w:p w14:paraId="7B56CBC0"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31.4 (27.4-35.6)</w:t>
            </w:r>
          </w:p>
        </w:tc>
      </w:tr>
      <w:tr w:rsidR="00F750BB" w:rsidRPr="00F0791A" w14:paraId="768949E3"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0C8F172B" w14:textId="45157048"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Occupation</w:t>
            </w:r>
            <w:r w:rsidR="00D708A7">
              <w:rPr>
                <w:rFonts w:ascii="Arial" w:eastAsia="Times New Roman" w:hAnsi="Arial" w:cs="Arial"/>
                <w:color w:val="000000"/>
                <w:vertAlign w:val="superscript"/>
              </w:rPr>
              <w:t>3</w:t>
            </w:r>
          </w:p>
        </w:tc>
        <w:tc>
          <w:tcPr>
            <w:tcW w:w="2836" w:type="dxa"/>
            <w:tcBorders>
              <w:top w:val="nil"/>
              <w:left w:val="nil"/>
              <w:bottom w:val="nil"/>
              <w:right w:val="nil"/>
            </w:tcBorders>
            <w:shd w:val="clear" w:color="auto" w:fill="auto"/>
            <w:noWrap/>
            <w:vAlign w:val="bottom"/>
            <w:hideMark/>
          </w:tcPr>
          <w:p w14:paraId="687878FA" w14:textId="77777777" w:rsidR="00F750BB" w:rsidRPr="00F0791A" w:rsidRDefault="00F750BB" w:rsidP="003022D5">
            <w:pPr>
              <w:spacing w:after="0" w:line="240" w:lineRule="auto"/>
              <w:rPr>
                <w:rFonts w:ascii="Arial" w:eastAsia="Times New Roman" w:hAnsi="Arial" w:cs="Arial"/>
                <w:color w:val="000000"/>
              </w:rPr>
            </w:pPr>
          </w:p>
        </w:tc>
        <w:tc>
          <w:tcPr>
            <w:tcW w:w="1934" w:type="dxa"/>
            <w:tcBorders>
              <w:top w:val="nil"/>
              <w:left w:val="nil"/>
              <w:bottom w:val="nil"/>
              <w:right w:val="nil"/>
            </w:tcBorders>
          </w:tcPr>
          <w:p w14:paraId="70C5FD0A" w14:textId="77777777" w:rsidR="00F750BB" w:rsidRPr="00F0791A" w:rsidRDefault="00F750BB" w:rsidP="003022D5">
            <w:pPr>
              <w:spacing w:after="0" w:line="240" w:lineRule="auto"/>
              <w:rPr>
                <w:rFonts w:ascii="Arial" w:eastAsia="Times New Roman" w:hAnsi="Arial" w:cs="Arial"/>
                <w:color w:val="000000"/>
              </w:rPr>
            </w:pPr>
          </w:p>
        </w:tc>
      </w:tr>
      <w:tr w:rsidR="00F750BB" w:rsidRPr="00F0791A" w14:paraId="5E9739C7" w14:textId="77777777" w:rsidTr="003022D5">
        <w:trPr>
          <w:trHeight w:val="273"/>
        </w:trPr>
        <w:tc>
          <w:tcPr>
            <w:tcW w:w="1425" w:type="dxa"/>
            <w:tcBorders>
              <w:top w:val="nil"/>
              <w:left w:val="nil"/>
              <w:bottom w:val="nil"/>
              <w:right w:val="nil"/>
            </w:tcBorders>
            <w:shd w:val="clear" w:color="auto" w:fill="auto"/>
            <w:noWrap/>
            <w:vAlign w:val="bottom"/>
            <w:hideMark/>
          </w:tcPr>
          <w:p w14:paraId="0BE480FB" w14:textId="77777777" w:rsidR="00F750BB" w:rsidRPr="00F0791A" w:rsidRDefault="00F750BB" w:rsidP="003022D5">
            <w:pPr>
              <w:spacing w:after="0" w:line="240" w:lineRule="auto"/>
              <w:rPr>
                <w:rFonts w:ascii="Times New Roman" w:eastAsia="Times New Roman" w:hAnsi="Times New Roman" w:cs="Times New Roman"/>
                <w:sz w:val="20"/>
                <w:szCs w:val="20"/>
              </w:rPr>
            </w:pPr>
          </w:p>
        </w:tc>
        <w:tc>
          <w:tcPr>
            <w:tcW w:w="3165" w:type="dxa"/>
            <w:tcBorders>
              <w:top w:val="nil"/>
              <w:left w:val="nil"/>
              <w:bottom w:val="nil"/>
              <w:right w:val="nil"/>
            </w:tcBorders>
            <w:shd w:val="clear" w:color="auto" w:fill="auto"/>
            <w:noWrap/>
            <w:vAlign w:val="bottom"/>
            <w:hideMark/>
          </w:tcPr>
          <w:p w14:paraId="5834C5DE" w14:textId="77777777" w:rsidR="00F750BB" w:rsidRPr="00F0791A" w:rsidRDefault="00F750BB" w:rsidP="003022D5">
            <w:pPr>
              <w:spacing w:after="0" w:line="240" w:lineRule="auto"/>
              <w:rPr>
                <w:rFonts w:ascii="Arial" w:eastAsia="Times New Roman" w:hAnsi="Arial" w:cs="Arial"/>
                <w:color w:val="000000"/>
              </w:rPr>
            </w:pPr>
            <w:r>
              <w:rPr>
                <w:rFonts w:ascii="Arial" w:eastAsia="Times New Roman" w:hAnsi="Arial" w:cs="Arial"/>
                <w:color w:val="000000"/>
              </w:rPr>
              <w:t>Lower skilled</w:t>
            </w:r>
          </w:p>
        </w:tc>
        <w:tc>
          <w:tcPr>
            <w:tcW w:w="2836" w:type="dxa"/>
            <w:tcBorders>
              <w:top w:val="nil"/>
              <w:left w:val="nil"/>
              <w:bottom w:val="nil"/>
              <w:right w:val="nil"/>
            </w:tcBorders>
            <w:shd w:val="clear" w:color="auto" w:fill="auto"/>
            <w:noWrap/>
            <w:vAlign w:val="bottom"/>
            <w:hideMark/>
          </w:tcPr>
          <w:p w14:paraId="7B97C7B0"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6.8 (4.6-9.7)</w:t>
            </w:r>
          </w:p>
        </w:tc>
        <w:tc>
          <w:tcPr>
            <w:tcW w:w="1934" w:type="dxa"/>
            <w:tcBorders>
              <w:top w:val="nil"/>
              <w:left w:val="nil"/>
              <w:bottom w:val="nil"/>
              <w:right w:val="nil"/>
            </w:tcBorders>
            <w:vAlign w:val="bottom"/>
          </w:tcPr>
          <w:p w14:paraId="08D49650"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8.9 (6.6-11.8)</w:t>
            </w:r>
          </w:p>
        </w:tc>
      </w:tr>
      <w:tr w:rsidR="00F750BB" w:rsidRPr="00F0791A" w14:paraId="0D3696BB" w14:textId="77777777" w:rsidTr="003022D5">
        <w:trPr>
          <w:trHeight w:val="273"/>
        </w:trPr>
        <w:tc>
          <w:tcPr>
            <w:tcW w:w="1425" w:type="dxa"/>
            <w:tcBorders>
              <w:top w:val="nil"/>
              <w:left w:val="nil"/>
              <w:bottom w:val="nil"/>
              <w:right w:val="nil"/>
            </w:tcBorders>
            <w:shd w:val="clear" w:color="auto" w:fill="auto"/>
            <w:noWrap/>
            <w:vAlign w:val="bottom"/>
            <w:hideMark/>
          </w:tcPr>
          <w:p w14:paraId="6A906267" w14:textId="77777777" w:rsidR="00F750BB" w:rsidRPr="00F0791A" w:rsidRDefault="00F750BB" w:rsidP="003022D5">
            <w:pPr>
              <w:spacing w:after="0" w:line="240" w:lineRule="auto"/>
              <w:rPr>
                <w:rFonts w:ascii="Arial" w:eastAsia="Times New Roman" w:hAnsi="Arial" w:cs="Arial"/>
                <w:color w:val="000000"/>
              </w:rPr>
            </w:pPr>
          </w:p>
        </w:tc>
        <w:tc>
          <w:tcPr>
            <w:tcW w:w="3165" w:type="dxa"/>
            <w:tcBorders>
              <w:top w:val="nil"/>
              <w:left w:val="nil"/>
              <w:bottom w:val="nil"/>
              <w:right w:val="nil"/>
            </w:tcBorders>
            <w:shd w:val="clear" w:color="auto" w:fill="auto"/>
            <w:noWrap/>
            <w:vAlign w:val="bottom"/>
            <w:hideMark/>
          </w:tcPr>
          <w:p w14:paraId="401C04D3" w14:textId="77777777" w:rsidR="00F750BB" w:rsidRPr="00F0791A" w:rsidRDefault="00F750BB" w:rsidP="003022D5">
            <w:pPr>
              <w:spacing w:after="0" w:line="240" w:lineRule="auto"/>
              <w:rPr>
                <w:rFonts w:ascii="Arial" w:eastAsia="Times New Roman" w:hAnsi="Arial" w:cs="Arial"/>
                <w:color w:val="000000"/>
              </w:rPr>
            </w:pPr>
            <w:r>
              <w:rPr>
                <w:rFonts w:ascii="Arial" w:eastAsia="Times New Roman" w:hAnsi="Arial" w:cs="Arial"/>
                <w:color w:val="000000"/>
              </w:rPr>
              <w:t xml:space="preserve">Higher skilled </w:t>
            </w:r>
          </w:p>
        </w:tc>
        <w:tc>
          <w:tcPr>
            <w:tcW w:w="2836" w:type="dxa"/>
            <w:tcBorders>
              <w:top w:val="nil"/>
              <w:left w:val="nil"/>
              <w:bottom w:val="nil"/>
              <w:right w:val="nil"/>
            </w:tcBorders>
            <w:shd w:val="clear" w:color="auto" w:fill="auto"/>
            <w:noWrap/>
            <w:vAlign w:val="bottom"/>
            <w:hideMark/>
          </w:tcPr>
          <w:p w14:paraId="0DF1F2B7"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67.9 (63.1-72.3)</w:t>
            </w:r>
          </w:p>
        </w:tc>
        <w:tc>
          <w:tcPr>
            <w:tcW w:w="1934" w:type="dxa"/>
            <w:tcBorders>
              <w:top w:val="nil"/>
              <w:left w:val="nil"/>
              <w:bottom w:val="nil"/>
              <w:right w:val="nil"/>
            </w:tcBorders>
            <w:vAlign w:val="bottom"/>
          </w:tcPr>
          <w:p w14:paraId="15F904B7"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65.5 (61.1-69.6)</w:t>
            </w:r>
          </w:p>
        </w:tc>
      </w:tr>
      <w:tr w:rsidR="00F750BB" w:rsidRPr="00F0791A" w14:paraId="6D4AFEA7" w14:textId="77777777" w:rsidTr="003022D5">
        <w:trPr>
          <w:trHeight w:val="273"/>
        </w:trPr>
        <w:tc>
          <w:tcPr>
            <w:tcW w:w="1425" w:type="dxa"/>
            <w:tcBorders>
              <w:top w:val="nil"/>
              <w:left w:val="nil"/>
              <w:bottom w:val="nil"/>
              <w:right w:val="nil"/>
            </w:tcBorders>
            <w:shd w:val="clear" w:color="auto" w:fill="auto"/>
            <w:noWrap/>
            <w:vAlign w:val="bottom"/>
            <w:hideMark/>
          </w:tcPr>
          <w:p w14:paraId="02414AE5" w14:textId="77777777" w:rsidR="00F750BB" w:rsidRPr="00F0791A" w:rsidRDefault="00F750BB" w:rsidP="003022D5">
            <w:pPr>
              <w:spacing w:after="0" w:line="240" w:lineRule="auto"/>
              <w:rPr>
                <w:rFonts w:ascii="Arial" w:eastAsia="Times New Roman" w:hAnsi="Arial" w:cs="Arial"/>
                <w:color w:val="000000"/>
              </w:rPr>
            </w:pPr>
          </w:p>
        </w:tc>
        <w:tc>
          <w:tcPr>
            <w:tcW w:w="3165" w:type="dxa"/>
            <w:tcBorders>
              <w:top w:val="nil"/>
              <w:left w:val="nil"/>
              <w:bottom w:val="nil"/>
              <w:right w:val="nil"/>
            </w:tcBorders>
            <w:shd w:val="clear" w:color="auto" w:fill="auto"/>
            <w:noWrap/>
            <w:vAlign w:val="bottom"/>
            <w:hideMark/>
          </w:tcPr>
          <w:p w14:paraId="1DE2E732"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Student</w:t>
            </w:r>
          </w:p>
        </w:tc>
        <w:tc>
          <w:tcPr>
            <w:tcW w:w="2836" w:type="dxa"/>
            <w:tcBorders>
              <w:top w:val="nil"/>
              <w:left w:val="nil"/>
              <w:bottom w:val="nil"/>
              <w:right w:val="nil"/>
            </w:tcBorders>
            <w:shd w:val="clear" w:color="auto" w:fill="auto"/>
            <w:noWrap/>
            <w:vAlign w:val="bottom"/>
            <w:hideMark/>
          </w:tcPr>
          <w:p w14:paraId="24CC1EE4"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22.9 (19-27.4)</w:t>
            </w:r>
          </w:p>
        </w:tc>
        <w:tc>
          <w:tcPr>
            <w:tcW w:w="1934" w:type="dxa"/>
            <w:tcBorders>
              <w:top w:val="nil"/>
              <w:left w:val="nil"/>
              <w:bottom w:val="nil"/>
              <w:right w:val="nil"/>
            </w:tcBorders>
            <w:vAlign w:val="bottom"/>
          </w:tcPr>
          <w:p w14:paraId="45C9E460"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22.7 (19.2-26.6)</w:t>
            </w:r>
          </w:p>
        </w:tc>
      </w:tr>
      <w:tr w:rsidR="00F750BB" w:rsidRPr="00F0791A" w14:paraId="48D09010" w14:textId="77777777" w:rsidTr="003022D5">
        <w:trPr>
          <w:trHeight w:val="273"/>
        </w:trPr>
        <w:tc>
          <w:tcPr>
            <w:tcW w:w="1425" w:type="dxa"/>
            <w:tcBorders>
              <w:top w:val="nil"/>
              <w:left w:val="nil"/>
              <w:bottom w:val="nil"/>
              <w:right w:val="nil"/>
            </w:tcBorders>
            <w:shd w:val="clear" w:color="auto" w:fill="auto"/>
            <w:noWrap/>
            <w:vAlign w:val="bottom"/>
            <w:hideMark/>
          </w:tcPr>
          <w:p w14:paraId="71184D51" w14:textId="77777777" w:rsidR="00F750BB" w:rsidRPr="00F0791A" w:rsidRDefault="00F750BB" w:rsidP="003022D5">
            <w:pPr>
              <w:spacing w:after="0" w:line="240" w:lineRule="auto"/>
              <w:rPr>
                <w:rFonts w:ascii="Arial" w:eastAsia="Times New Roman" w:hAnsi="Arial" w:cs="Arial"/>
                <w:color w:val="000000"/>
              </w:rPr>
            </w:pPr>
          </w:p>
        </w:tc>
        <w:tc>
          <w:tcPr>
            <w:tcW w:w="3165" w:type="dxa"/>
            <w:tcBorders>
              <w:top w:val="nil"/>
              <w:left w:val="nil"/>
              <w:bottom w:val="nil"/>
              <w:right w:val="nil"/>
            </w:tcBorders>
            <w:shd w:val="clear" w:color="auto" w:fill="auto"/>
            <w:noWrap/>
            <w:vAlign w:val="bottom"/>
            <w:hideMark/>
          </w:tcPr>
          <w:p w14:paraId="4C5B17FB"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Unemp</w:t>
            </w:r>
            <w:r>
              <w:rPr>
                <w:rFonts w:ascii="Arial" w:eastAsia="Times New Roman" w:hAnsi="Arial" w:cs="Arial"/>
                <w:color w:val="000000"/>
              </w:rPr>
              <w:t>loyed</w:t>
            </w:r>
          </w:p>
        </w:tc>
        <w:tc>
          <w:tcPr>
            <w:tcW w:w="2836" w:type="dxa"/>
            <w:tcBorders>
              <w:top w:val="nil"/>
              <w:left w:val="nil"/>
              <w:bottom w:val="nil"/>
              <w:right w:val="nil"/>
            </w:tcBorders>
            <w:shd w:val="clear" w:color="auto" w:fill="auto"/>
            <w:noWrap/>
            <w:vAlign w:val="bottom"/>
            <w:hideMark/>
          </w:tcPr>
          <w:p w14:paraId="5DB3E640"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2.4 (1.2-4.5)</w:t>
            </w:r>
          </w:p>
        </w:tc>
        <w:tc>
          <w:tcPr>
            <w:tcW w:w="1934" w:type="dxa"/>
            <w:tcBorders>
              <w:top w:val="nil"/>
              <w:left w:val="nil"/>
              <w:bottom w:val="nil"/>
              <w:right w:val="nil"/>
            </w:tcBorders>
            <w:vAlign w:val="bottom"/>
          </w:tcPr>
          <w:p w14:paraId="59951EEF"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2.8 (1.6-4.7)</w:t>
            </w:r>
          </w:p>
        </w:tc>
      </w:tr>
      <w:tr w:rsidR="00F750BB" w:rsidRPr="00F0791A" w14:paraId="22081489"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04339C78" w14:textId="1A43FEC3" w:rsidR="00F750BB" w:rsidRPr="00F0791A" w:rsidRDefault="00D708A7" w:rsidP="003022D5">
            <w:pPr>
              <w:spacing w:after="0" w:line="240" w:lineRule="auto"/>
              <w:rPr>
                <w:rFonts w:ascii="Arial" w:eastAsia="Times New Roman" w:hAnsi="Arial" w:cs="Arial"/>
                <w:color w:val="000000"/>
              </w:rPr>
            </w:pPr>
            <w:r>
              <w:rPr>
                <w:rFonts w:ascii="Arial" w:eastAsia="Times New Roman" w:hAnsi="Arial" w:cs="Arial"/>
                <w:color w:val="000000"/>
              </w:rPr>
              <w:t>Rural residency status</w:t>
            </w:r>
            <w:r>
              <w:rPr>
                <w:rFonts w:ascii="Arial" w:eastAsia="Times New Roman" w:hAnsi="Arial" w:cs="Arial"/>
                <w:color w:val="000000"/>
                <w:vertAlign w:val="superscript"/>
              </w:rPr>
              <w:t>4</w:t>
            </w:r>
          </w:p>
        </w:tc>
        <w:tc>
          <w:tcPr>
            <w:tcW w:w="2836" w:type="dxa"/>
            <w:tcBorders>
              <w:top w:val="nil"/>
              <w:left w:val="nil"/>
              <w:bottom w:val="nil"/>
              <w:right w:val="nil"/>
            </w:tcBorders>
            <w:shd w:val="clear" w:color="auto" w:fill="auto"/>
            <w:noWrap/>
            <w:vAlign w:val="bottom"/>
            <w:hideMark/>
          </w:tcPr>
          <w:p w14:paraId="4B06553A"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39.1 (34.4-43.8)</w:t>
            </w:r>
          </w:p>
        </w:tc>
        <w:tc>
          <w:tcPr>
            <w:tcW w:w="1934" w:type="dxa"/>
            <w:tcBorders>
              <w:top w:val="nil"/>
              <w:left w:val="nil"/>
              <w:bottom w:val="nil"/>
              <w:right w:val="nil"/>
            </w:tcBorders>
          </w:tcPr>
          <w:p w14:paraId="4D005D4C"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40.6 (36.3-45.1)</w:t>
            </w:r>
          </w:p>
        </w:tc>
      </w:tr>
      <w:tr w:rsidR="00F750BB" w:rsidRPr="00F0791A" w14:paraId="517800F4"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2B08A323" w14:textId="6D6E177D"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Orientation</w:t>
            </w:r>
            <w:r w:rsidR="00D708A7">
              <w:rPr>
                <w:rFonts w:ascii="Arial" w:eastAsia="Times New Roman" w:hAnsi="Arial" w:cs="Arial"/>
                <w:color w:val="000000"/>
                <w:vertAlign w:val="superscript"/>
              </w:rPr>
              <w:t>5</w:t>
            </w:r>
          </w:p>
        </w:tc>
        <w:tc>
          <w:tcPr>
            <w:tcW w:w="2836" w:type="dxa"/>
            <w:tcBorders>
              <w:top w:val="nil"/>
              <w:left w:val="nil"/>
              <w:bottom w:val="nil"/>
              <w:right w:val="nil"/>
            </w:tcBorders>
            <w:shd w:val="clear" w:color="auto" w:fill="auto"/>
            <w:noWrap/>
            <w:vAlign w:val="bottom"/>
            <w:hideMark/>
          </w:tcPr>
          <w:p w14:paraId="0567479E" w14:textId="77777777" w:rsidR="00F750BB" w:rsidRPr="00F0791A" w:rsidRDefault="00F750BB" w:rsidP="003022D5">
            <w:pPr>
              <w:spacing w:after="0" w:line="240" w:lineRule="auto"/>
              <w:rPr>
                <w:rFonts w:ascii="Arial" w:eastAsia="Times New Roman" w:hAnsi="Arial" w:cs="Arial"/>
                <w:color w:val="000000"/>
              </w:rPr>
            </w:pPr>
          </w:p>
        </w:tc>
        <w:tc>
          <w:tcPr>
            <w:tcW w:w="1934" w:type="dxa"/>
            <w:tcBorders>
              <w:top w:val="nil"/>
              <w:left w:val="nil"/>
              <w:bottom w:val="nil"/>
              <w:right w:val="nil"/>
            </w:tcBorders>
          </w:tcPr>
          <w:p w14:paraId="663319F7" w14:textId="77777777" w:rsidR="00F750BB" w:rsidRPr="00F0791A" w:rsidRDefault="00F750BB" w:rsidP="003022D5">
            <w:pPr>
              <w:spacing w:after="0" w:line="240" w:lineRule="auto"/>
              <w:rPr>
                <w:rFonts w:ascii="Arial" w:eastAsia="Times New Roman" w:hAnsi="Arial" w:cs="Arial"/>
                <w:color w:val="000000"/>
              </w:rPr>
            </w:pPr>
          </w:p>
        </w:tc>
      </w:tr>
      <w:tr w:rsidR="00F750BB" w:rsidRPr="00F0791A" w14:paraId="1D78EC35" w14:textId="77777777" w:rsidTr="003022D5">
        <w:trPr>
          <w:trHeight w:val="273"/>
        </w:trPr>
        <w:tc>
          <w:tcPr>
            <w:tcW w:w="1425" w:type="dxa"/>
            <w:tcBorders>
              <w:top w:val="nil"/>
              <w:left w:val="nil"/>
              <w:bottom w:val="nil"/>
              <w:right w:val="nil"/>
            </w:tcBorders>
            <w:shd w:val="clear" w:color="auto" w:fill="auto"/>
            <w:noWrap/>
            <w:vAlign w:val="bottom"/>
            <w:hideMark/>
          </w:tcPr>
          <w:p w14:paraId="03C983E2" w14:textId="77777777" w:rsidR="00F750BB" w:rsidRPr="00F0791A" w:rsidRDefault="00F750BB" w:rsidP="003022D5">
            <w:pPr>
              <w:spacing w:after="0" w:line="240" w:lineRule="auto"/>
              <w:rPr>
                <w:rFonts w:ascii="Times New Roman" w:eastAsia="Times New Roman" w:hAnsi="Times New Roman" w:cs="Times New Roman"/>
                <w:sz w:val="20"/>
                <w:szCs w:val="20"/>
              </w:rPr>
            </w:pPr>
          </w:p>
        </w:tc>
        <w:tc>
          <w:tcPr>
            <w:tcW w:w="3165" w:type="dxa"/>
            <w:tcBorders>
              <w:top w:val="nil"/>
              <w:left w:val="nil"/>
              <w:bottom w:val="nil"/>
              <w:right w:val="nil"/>
            </w:tcBorders>
            <w:shd w:val="clear" w:color="auto" w:fill="auto"/>
            <w:noWrap/>
            <w:vAlign w:val="bottom"/>
            <w:hideMark/>
          </w:tcPr>
          <w:p w14:paraId="64D53683"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Gay</w:t>
            </w:r>
          </w:p>
        </w:tc>
        <w:tc>
          <w:tcPr>
            <w:tcW w:w="2836" w:type="dxa"/>
            <w:tcBorders>
              <w:top w:val="nil"/>
              <w:left w:val="nil"/>
              <w:bottom w:val="nil"/>
              <w:right w:val="nil"/>
            </w:tcBorders>
            <w:shd w:val="clear" w:color="auto" w:fill="auto"/>
            <w:noWrap/>
            <w:vAlign w:val="bottom"/>
            <w:hideMark/>
          </w:tcPr>
          <w:p w14:paraId="62992F62"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75.4 (70.9-79.4)</w:t>
            </w:r>
          </w:p>
        </w:tc>
        <w:tc>
          <w:tcPr>
            <w:tcW w:w="1934" w:type="dxa"/>
            <w:tcBorders>
              <w:top w:val="nil"/>
              <w:left w:val="nil"/>
              <w:bottom w:val="nil"/>
              <w:right w:val="nil"/>
            </w:tcBorders>
            <w:vAlign w:val="bottom"/>
          </w:tcPr>
          <w:p w14:paraId="29BB9CBE"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75.7 (71.7-79.4)</w:t>
            </w:r>
          </w:p>
        </w:tc>
      </w:tr>
      <w:tr w:rsidR="00F750BB" w:rsidRPr="00F0791A" w14:paraId="6D491FE5" w14:textId="77777777" w:rsidTr="003022D5">
        <w:trPr>
          <w:trHeight w:val="273"/>
        </w:trPr>
        <w:tc>
          <w:tcPr>
            <w:tcW w:w="1425" w:type="dxa"/>
            <w:tcBorders>
              <w:top w:val="nil"/>
              <w:left w:val="nil"/>
              <w:bottom w:val="nil"/>
              <w:right w:val="nil"/>
            </w:tcBorders>
            <w:shd w:val="clear" w:color="auto" w:fill="auto"/>
            <w:noWrap/>
            <w:vAlign w:val="bottom"/>
            <w:hideMark/>
          </w:tcPr>
          <w:p w14:paraId="430A7629" w14:textId="77777777" w:rsidR="00F750BB" w:rsidRPr="00F0791A" w:rsidRDefault="00F750BB" w:rsidP="003022D5">
            <w:pPr>
              <w:spacing w:after="0" w:line="240" w:lineRule="auto"/>
              <w:rPr>
                <w:rFonts w:ascii="Arial" w:eastAsia="Times New Roman" w:hAnsi="Arial" w:cs="Arial"/>
                <w:color w:val="000000"/>
              </w:rPr>
            </w:pPr>
          </w:p>
        </w:tc>
        <w:tc>
          <w:tcPr>
            <w:tcW w:w="3165" w:type="dxa"/>
            <w:tcBorders>
              <w:top w:val="nil"/>
              <w:left w:val="nil"/>
              <w:bottom w:val="nil"/>
              <w:right w:val="nil"/>
            </w:tcBorders>
            <w:shd w:val="clear" w:color="auto" w:fill="auto"/>
            <w:noWrap/>
            <w:vAlign w:val="bottom"/>
            <w:hideMark/>
          </w:tcPr>
          <w:p w14:paraId="0363D29F"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Bisexual</w:t>
            </w:r>
          </w:p>
        </w:tc>
        <w:tc>
          <w:tcPr>
            <w:tcW w:w="2836" w:type="dxa"/>
            <w:tcBorders>
              <w:top w:val="nil"/>
              <w:left w:val="nil"/>
              <w:bottom w:val="nil"/>
              <w:right w:val="nil"/>
            </w:tcBorders>
            <w:shd w:val="clear" w:color="auto" w:fill="auto"/>
            <w:noWrap/>
            <w:vAlign w:val="bottom"/>
            <w:hideMark/>
          </w:tcPr>
          <w:p w14:paraId="2793DB6E"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21.7 (17.9-26.1)</w:t>
            </w:r>
          </w:p>
        </w:tc>
        <w:tc>
          <w:tcPr>
            <w:tcW w:w="1934" w:type="dxa"/>
            <w:tcBorders>
              <w:top w:val="nil"/>
              <w:left w:val="nil"/>
              <w:bottom w:val="nil"/>
              <w:right w:val="nil"/>
            </w:tcBorders>
            <w:vAlign w:val="bottom"/>
          </w:tcPr>
          <w:p w14:paraId="6E55D13E"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20.9 (17.5-24.8)</w:t>
            </w:r>
          </w:p>
        </w:tc>
      </w:tr>
      <w:tr w:rsidR="00F750BB" w:rsidRPr="00F0791A" w14:paraId="04632F87" w14:textId="77777777" w:rsidTr="003022D5">
        <w:trPr>
          <w:trHeight w:val="273"/>
        </w:trPr>
        <w:tc>
          <w:tcPr>
            <w:tcW w:w="1425" w:type="dxa"/>
            <w:tcBorders>
              <w:top w:val="nil"/>
              <w:left w:val="nil"/>
              <w:bottom w:val="nil"/>
              <w:right w:val="nil"/>
            </w:tcBorders>
            <w:shd w:val="clear" w:color="auto" w:fill="auto"/>
            <w:noWrap/>
            <w:vAlign w:val="bottom"/>
            <w:hideMark/>
          </w:tcPr>
          <w:p w14:paraId="29599572" w14:textId="77777777" w:rsidR="00F750BB" w:rsidRPr="00F0791A" w:rsidRDefault="00F750BB" w:rsidP="003022D5">
            <w:pPr>
              <w:spacing w:after="0" w:line="240" w:lineRule="auto"/>
              <w:rPr>
                <w:rFonts w:ascii="Arial" w:eastAsia="Times New Roman" w:hAnsi="Arial" w:cs="Arial"/>
                <w:color w:val="000000"/>
              </w:rPr>
            </w:pPr>
          </w:p>
        </w:tc>
        <w:tc>
          <w:tcPr>
            <w:tcW w:w="3165" w:type="dxa"/>
            <w:tcBorders>
              <w:top w:val="nil"/>
              <w:left w:val="nil"/>
              <w:bottom w:val="nil"/>
              <w:right w:val="nil"/>
            </w:tcBorders>
            <w:shd w:val="clear" w:color="auto" w:fill="auto"/>
            <w:noWrap/>
            <w:vAlign w:val="bottom"/>
            <w:hideMark/>
          </w:tcPr>
          <w:p w14:paraId="6CC6F6A0"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Other</w:t>
            </w:r>
          </w:p>
        </w:tc>
        <w:tc>
          <w:tcPr>
            <w:tcW w:w="2836" w:type="dxa"/>
            <w:tcBorders>
              <w:top w:val="nil"/>
              <w:left w:val="nil"/>
              <w:bottom w:val="nil"/>
              <w:right w:val="nil"/>
            </w:tcBorders>
            <w:shd w:val="clear" w:color="auto" w:fill="auto"/>
            <w:noWrap/>
            <w:vAlign w:val="bottom"/>
            <w:hideMark/>
          </w:tcPr>
          <w:p w14:paraId="27F04B84"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2.9 (1.6-5.1)</w:t>
            </w:r>
          </w:p>
        </w:tc>
        <w:tc>
          <w:tcPr>
            <w:tcW w:w="1934" w:type="dxa"/>
            <w:tcBorders>
              <w:top w:val="nil"/>
              <w:left w:val="nil"/>
              <w:bottom w:val="nil"/>
              <w:right w:val="nil"/>
            </w:tcBorders>
            <w:vAlign w:val="bottom"/>
          </w:tcPr>
          <w:p w14:paraId="488DD64D"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3.2 (1.9-5.2)</w:t>
            </w:r>
          </w:p>
        </w:tc>
      </w:tr>
      <w:tr w:rsidR="00F750BB" w:rsidRPr="00F0791A" w14:paraId="76D78E09"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6C230291" w14:textId="220997FD"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Male gender identity</w:t>
            </w:r>
            <w:r w:rsidR="00D708A7">
              <w:rPr>
                <w:rFonts w:ascii="Arial" w:eastAsia="Times New Roman" w:hAnsi="Arial" w:cs="Arial"/>
                <w:color w:val="000000"/>
                <w:vertAlign w:val="superscript"/>
              </w:rPr>
              <w:t>6</w:t>
            </w:r>
          </w:p>
        </w:tc>
        <w:tc>
          <w:tcPr>
            <w:tcW w:w="2836" w:type="dxa"/>
            <w:tcBorders>
              <w:top w:val="nil"/>
              <w:left w:val="nil"/>
              <w:bottom w:val="nil"/>
              <w:right w:val="nil"/>
            </w:tcBorders>
            <w:shd w:val="clear" w:color="auto" w:fill="auto"/>
            <w:noWrap/>
            <w:vAlign w:val="bottom"/>
            <w:hideMark/>
          </w:tcPr>
          <w:p w14:paraId="16265B2E"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86 (82.2-89.1)</w:t>
            </w:r>
          </w:p>
        </w:tc>
        <w:tc>
          <w:tcPr>
            <w:tcW w:w="1934" w:type="dxa"/>
            <w:tcBorders>
              <w:top w:val="nil"/>
              <w:left w:val="nil"/>
              <w:bottom w:val="nil"/>
              <w:right w:val="nil"/>
            </w:tcBorders>
            <w:vAlign w:val="bottom"/>
          </w:tcPr>
          <w:p w14:paraId="5884B9C5"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84.8 (81.3-87.8)</w:t>
            </w:r>
          </w:p>
        </w:tc>
      </w:tr>
      <w:tr w:rsidR="00F750BB" w:rsidRPr="00F0791A" w14:paraId="1EE93722" w14:textId="77777777" w:rsidTr="003022D5">
        <w:trPr>
          <w:trHeight w:val="273"/>
        </w:trPr>
        <w:tc>
          <w:tcPr>
            <w:tcW w:w="4590" w:type="dxa"/>
            <w:gridSpan w:val="2"/>
            <w:tcBorders>
              <w:top w:val="nil"/>
              <w:left w:val="nil"/>
              <w:bottom w:val="nil"/>
              <w:right w:val="nil"/>
            </w:tcBorders>
            <w:shd w:val="clear" w:color="auto" w:fill="auto"/>
            <w:noWrap/>
            <w:vAlign w:val="bottom"/>
            <w:hideMark/>
          </w:tcPr>
          <w:p w14:paraId="4670D672"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Has stable male partner</w:t>
            </w:r>
          </w:p>
        </w:tc>
        <w:tc>
          <w:tcPr>
            <w:tcW w:w="2836" w:type="dxa"/>
            <w:tcBorders>
              <w:top w:val="nil"/>
              <w:left w:val="nil"/>
              <w:bottom w:val="nil"/>
              <w:right w:val="nil"/>
            </w:tcBorders>
            <w:shd w:val="clear" w:color="auto" w:fill="auto"/>
            <w:noWrap/>
            <w:vAlign w:val="bottom"/>
            <w:hideMark/>
          </w:tcPr>
          <w:p w14:paraId="71DFB1E5"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31.4 (27-36.1)</w:t>
            </w:r>
          </w:p>
        </w:tc>
        <w:tc>
          <w:tcPr>
            <w:tcW w:w="1934" w:type="dxa"/>
            <w:tcBorders>
              <w:top w:val="nil"/>
              <w:left w:val="nil"/>
              <w:bottom w:val="nil"/>
              <w:right w:val="nil"/>
            </w:tcBorders>
            <w:vAlign w:val="bottom"/>
          </w:tcPr>
          <w:p w14:paraId="2DB8A045"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33.7 (29.7-38.1)</w:t>
            </w:r>
          </w:p>
        </w:tc>
      </w:tr>
      <w:tr w:rsidR="00F750BB" w:rsidRPr="00F0791A" w14:paraId="253E2D0B" w14:textId="77777777" w:rsidTr="003022D5">
        <w:trPr>
          <w:trHeight w:val="273"/>
        </w:trPr>
        <w:tc>
          <w:tcPr>
            <w:tcW w:w="4590" w:type="dxa"/>
            <w:gridSpan w:val="2"/>
            <w:tcBorders>
              <w:top w:val="nil"/>
              <w:left w:val="nil"/>
              <w:bottom w:val="single" w:sz="4" w:space="0" w:color="auto"/>
              <w:right w:val="nil"/>
            </w:tcBorders>
            <w:shd w:val="clear" w:color="auto" w:fill="auto"/>
            <w:noWrap/>
            <w:vAlign w:val="bottom"/>
            <w:hideMark/>
          </w:tcPr>
          <w:p w14:paraId="73F4D270"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Had sex with another man in past 6</w:t>
            </w:r>
            <w:r>
              <w:rPr>
                <w:rFonts w:ascii="Arial" w:eastAsia="Times New Roman" w:hAnsi="Arial" w:cs="Arial"/>
                <w:color w:val="000000"/>
              </w:rPr>
              <w:t xml:space="preserve"> months</w:t>
            </w:r>
          </w:p>
        </w:tc>
        <w:tc>
          <w:tcPr>
            <w:tcW w:w="2836" w:type="dxa"/>
            <w:tcBorders>
              <w:top w:val="nil"/>
              <w:left w:val="nil"/>
              <w:bottom w:val="single" w:sz="4" w:space="0" w:color="auto"/>
              <w:right w:val="nil"/>
            </w:tcBorders>
            <w:shd w:val="clear" w:color="auto" w:fill="auto"/>
            <w:noWrap/>
            <w:vAlign w:val="bottom"/>
            <w:hideMark/>
          </w:tcPr>
          <w:p w14:paraId="123A10A5" w14:textId="77777777" w:rsidR="00F750BB" w:rsidRPr="00F0791A"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74.9 (70.4-78.9)</w:t>
            </w:r>
          </w:p>
        </w:tc>
        <w:tc>
          <w:tcPr>
            <w:tcW w:w="1934" w:type="dxa"/>
            <w:tcBorders>
              <w:top w:val="nil"/>
              <w:left w:val="nil"/>
              <w:bottom w:val="single" w:sz="4" w:space="0" w:color="auto"/>
              <w:right w:val="nil"/>
            </w:tcBorders>
            <w:vAlign w:val="bottom"/>
          </w:tcPr>
          <w:p w14:paraId="589D4A74" w14:textId="77777777" w:rsidR="00F750BB" w:rsidRPr="00F0791A" w:rsidRDefault="00F750BB" w:rsidP="003022D5">
            <w:pPr>
              <w:spacing w:after="0" w:line="240" w:lineRule="auto"/>
              <w:rPr>
                <w:rFonts w:ascii="Arial" w:eastAsia="Times New Roman" w:hAnsi="Arial" w:cs="Arial"/>
                <w:color w:val="000000"/>
              </w:rPr>
            </w:pPr>
            <w:r w:rsidRPr="001912B3">
              <w:rPr>
                <w:rFonts w:ascii="Arial" w:eastAsia="Times New Roman" w:hAnsi="Arial" w:cs="Arial"/>
              </w:rPr>
              <w:t>74.2 (70.1-77.9)</w:t>
            </w:r>
          </w:p>
        </w:tc>
      </w:tr>
      <w:tr w:rsidR="00F750BB" w:rsidRPr="00F0791A" w14:paraId="4A4A89F9" w14:textId="77777777" w:rsidTr="003022D5">
        <w:trPr>
          <w:trHeight w:val="273"/>
        </w:trPr>
        <w:tc>
          <w:tcPr>
            <w:tcW w:w="9360" w:type="dxa"/>
            <w:gridSpan w:val="4"/>
            <w:tcBorders>
              <w:top w:val="nil"/>
              <w:left w:val="nil"/>
              <w:bottom w:val="nil"/>
              <w:right w:val="nil"/>
            </w:tcBorders>
            <w:shd w:val="clear" w:color="auto" w:fill="auto"/>
            <w:noWrap/>
            <w:vAlign w:val="bottom"/>
            <w:hideMark/>
          </w:tcPr>
          <w:p w14:paraId="2977E863" w14:textId="77777777" w:rsidR="00F750BB" w:rsidRDefault="00F750BB" w:rsidP="003022D5">
            <w:pPr>
              <w:spacing w:after="0" w:line="240" w:lineRule="auto"/>
              <w:rPr>
                <w:rFonts w:ascii="Arial" w:eastAsia="Times New Roman" w:hAnsi="Arial" w:cs="Arial"/>
                <w:color w:val="000000"/>
              </w:rPr>
            </w:pPr>
            <w:r w:rsidRPr="00F0791A">
              <w:rPr>
                <w:rFonts w:ascii="Arial" w:eastAsia="Times New Roman" w:hAnsi="Arial" w:cs="Arial"/>
                <w:color w:val="000000"/>
              </w:rPr>
              <w:t>1. CI: confidence interval</w:t>
            </w:r>
            <w:r>
              <w:rPr>
                <w:rFonts w:ascii="Arial" w:eastAsia="Times New Roman" w:hAnsi="Arial" w:cs="Arial"/>
                <w:color w:val="000000"/>
              </w:rPr>
              <w:t xml:space="preserve"> of a proportion. </w:t>
            </w:r>
          </w:p>
          <w:p w14:paraId="5D52BDDC" w14:textId="05B83423" w:rsidR="00D708A7" w:rsidRPr="00F0791A" w:rsidRDefault="00D708A7" w:rsidP="003022D5">
            <w:pPr>
              <w:spacing w:after="0" w:line="240" w:lineRule="auto"/>
              <w:rPr>
                <w:rFonts w:ascii="Arial" w:eastAsia="Times New Roman" w:hAnsi="Arial" w:cs="Arial"/>
                <w:color w:val="000000"/>
              </w:rPr>
            </w:pPr>
            <w:r>
              <w:rPr>
                <w:rFonts w:ascii="Arial" w:eastAsia="Times New Roman" w:hAnsi="Arial" w:cs="Arial"/>
                <w:color w:val="000000"/>
              </w:rPr>
              <w:t>2. Marriage to the opposite sex (i.e. to a woman)</w:t>
            </w:r>
          </w:p>
        </w:tc>
      </w:tr>
      <w:tr w:rsidR="00F750BB" w:rsidRPr="00F0791A" w14:paraId="7F43DEC8" w14:textId="77777777" w:rsidTr="003022D5">
        <w:trPr>
          <w:trHeight w:val="273"/>
        </w:trPr>
        <w:tc>
          <w:tcPr>
            <w:tcW w:w="9360" w:type="dxa"/>
            <w:gridSpan w:val="4"/>
            <w:tcBorders>
              <w:top w:val="nil"/>
              <w:left w:val="nil"/>
              <w:bottom w:val="nil"/>
              <w:right w:val="nil"/>
            </w:tcBorders>
            <w:shd w:val="clear" w:color="auto" w:fill="auto"/>
            <w:noWrap/>
            <w:vAlign w:val="bottom"/>
          </w:tcPr>
          <w:p w14:paraId="289BE243" w14:textId="5E37CC55" w:rsidR="00F750BB" w:rsidRDefault="00D708A7" w:rsidP="003022D5">
            <w:pPr>
              <w:spacing w:after="0" w:line="240" w:lineRule="auto"/>
              <w:rPr>
                <w:rFonts w:ascii="Arial" w:eastAsia="Times New Roman" w:hAnsi="Arial" w:cs="Arial"/>
                <w:color w:val="000000"/>
              </w:rPr>
            </w:pPr>
            <w:r>
              <w:rPr>
                <w:rFonts w:ascii="Arial" w:eastAsia="Times New Roman" w:hAnsi="Arial" w:cs="Arial"/>
                <w:color w:val="000000"/>
              </w:rPr>
              <w:t>3</w:t>
            </w:r>
            <w:r w:rsidR="00F750BB">
              <w:rPr>
                <w:rFonts w:ascii="Arial" w:eastAsia="Times New Roman" w:hAnsi="Arial" w:cs="Arial"/>
                <w:color w:val="000000"/>
              </w:rPr>
              <w:t>. Lower skilled laborer included those who indicated any of the following: laborer, farmer, or sex worker. Higher skilled laborers included those who indicated any of the following as their occupation: civil servant, office worker, service staff, or technician.</w:t>
            </w:r>
          </w:p>
        </w:tc>
      </w:tr>
      <w:tr w:rsidR="00F750BB" w:rsidRPr="00F0791A" w14:paraId="01F1C4E2" w14:textId="77777777" w:rsidTr="003022D5">
        <w:trPr>
          <w:trHeight w:val="273"/>
        </w:trPr>
        <w:tc>
          <w:tcPr>
            <w:tcW w:w="9360" w:type="dxa"/>
            <w:gridSpan w:val="4"/>
            <w:tcBorders>
              <w:top w:val="nil"/>
              <w:left w:val="nil"/>
              <w:bottom w:val="nil"/>
            </w:tcBorders>
            <w:shd w:val="clear" w:color="auto" w:fill="auto"/>
            <w:noWrap/>
            <w:vAlign w:val="bottom"/>
            <w:hideMark/>
          </w:tcPr>
          <w:p w14:paraId="69C69291" w14:textId="565DD27B" w:rsidR="00F750BB" w:rsidRDefault="00D708A7" w:rsidP="001F57DA">
            <w:pPr>
              <w:spacing w:after="0" w:line="240" w:lineRule="auto"/>
              <w:rPr>
                <w:rFonts w:ascii="Arial" w:eastAsia="Times New Roman" w:hAnsi="Arial" w:cs="Arial"/>
                <w:color w:val="000000"/>
              </w:rPr>
            </w:pPr>
            <w:r>
              <w:rPr>
                <w:rFonts w:ascii="Arial" w:eastAsia="Times New Roman" w:hAnsi="Arial" w:cs="Arial"/>
                <w:color w:val="000000"/>
              </w:rPr>
              <w:t>4</w:t>
            </w:r>
            <w:r w:rsidR="00F750BB" w:rsidRPr="00F0791A">
              <w:rPr>
                <w:rFonts w:ascii="Arial" w:eastAsia="Times New Roman" w:hAnsi="Arial" w:cs="Arial"/>
                <w:color w:val="000000"/>
              </w:rPr>
              <w:t xml:space="preserve">. </w:t>
            </w:r>
            <w:r>
              <w:rPr>
                <w:rFonts w:ascii="Arial" w:eastAsia="Times New Roman" w:hAnsi="Arial" w:cs="Arial"/>
                <w:color w:val="000000"/>
              </w:rPr>
              <w:t>Rural residence</w:t>
            </w:r>
            <w:r w:rsidR="00F750BB" w:rsidRPr="00F0791A">
              <w:rPr>
                <w:rFonts w:ascii="Arial" w:eastAsia="Times New Roman" w:hAnsi="Arial" w:cs="Arial"/>
                <w:color w:val="000000"/>
              </w:rPr>
              <w:t xml:space="preserve">: </w:t>
            </w:r>
            <w:r w:rsidR="00F750BB" w:rsidRPr="00B26F39">
              <w:rPr>
                <w:rFonts w:ascii="Arial" w:eastAsia="Times New Roman" w:hAnsi="Arial" w:cs="Arial"/>
                <w:color w:val="000000"/>
              </w:rPr>
              <w:t>refers to China’s national household registration system</w:t>
            </w:r>
            <w:r w:rsidR="00F750BB">
              <w:rPr>
                <w:rFonts w:ascii="Arial" w:eastAsia="Times New Roman" w:hAnsi="Arial" w:cs="Arial"/>
                <w:color w:val="000000"/>
              </w:rPr>
              <w:t xml:space="preserve"> </w:t>
            </w:r>
            <w:r>
              <w:rPr>
                <w:rFonts w:ascii="Arial" w:eastAsia="Times New Roman" w:hAnsi="Arial" w:cs="Arial"/>
                <w:color w:val="000000"/>
              </w:rPr>
              <w:t xml:space="preserve">(the </w:t>
            </w:r>
            <w:proofErr w:type="spellStart"/>
            <w:r w:rsidRPr="00952567">
              <w:rPr>
                <w:rFonts w:ascii="Arial" w:eastAsia="Times New Roman" w:hAnsi="Arial" w:cs="Arial"/>
                <w:i/>
                <w:color w:val="000000"/>
              </w:rPr>
              <w:t>huko</w:t>
            </w:r>
            <w:proofErr w:type="spellEnd"/>
            <w:r w:rsidRPr="00D708A7">
              <w:rPr>
                <w:rFonts w:ascii="Arial" w:eastAsia="Times New Roman" w:hAnsi="Arial" w:cs="Arial"/>
                <w:i/>
                <w:color w:val="000000"/>
              </w:rPr>
              <w:t xml:space="preserve"> </w:t>
            </w:r>
            <w:r>
              <w:rPr>
                <w:rFonts w:ascii="Arial" w:eastAsia="Times New Roman" w:hAnsi="Arial" w:cs="Arial"/>
                <w:color w:val="000000"/>
              </w:rPr>
              <w:t xml:space="preserve">system) </w:t>
            </w:r>
            <w:r w:rsidR="00F750BB" w:rsidRPr="00B26F39">
              <w:rPr>
                <w:rFonts w:ascii="Arial" w:eastAsia="Times New Roman" w:hAnsi="Arial" w:cs="Arial"/>
                <w:color w:val="000000"/>
              </w:rPr>
              <w:t>through which citizens access legal status and social services</w:t>
            </w:r>
            <w:r>
              <w:rPr>
                <w:rFonts w:ascii="Arial" w:eastAsia="Times New Roman" w:hAnsi="Arial" w:cs="Arial"/>
                <w:color w:val="000000"/>
              </w:rPr>
              <w:t xml:space="preserve">. Hukous </w:t>
            </w:r>
            <w:r w:rsidR="00F750BB">
              <w:rPr>
                <w:rFonts w:ascii="Arial" w:eastAsia="Times New Roman" w:hAnsi="Arial" w:cs="Arial"/>
                <w:color w:val="000000"/>
              </w:rPr>
              <w:t xml:space="preserve">are </w:t>
            </w:r>
            <w:r w:rsidR="00F750BB" w:rsidRPr="00B26F39">
              <w:rPr>
                <w:rFonts w:ascii="Arial" w:eastAsia="Times New Roman" w:hAnsi="Arial" w:cs="Arial"/>
                <w:color w:val="000000"/>
              </w:rPr>
              <w:t>classifi</w:t>
            </w:r>
            <w:r w:rsidR="00F750BB">
              <w:rPr>
                <w:rFonts w:ascii="Arial" w:eastAsia="Times New Roman" w:hAnsi="Arial" w:cs="Arial"/>
                <w:color w:val="000000"/>
              </w:rPr>
              <w:t xml:space="preserve">ed </w:t>
            </w:r>
            <w:r w:rsidR="00F750BB" w:rsidRPr="00B26F39">
              <w:rPr>
                <w:rFonts w:ascii="Arial" w:eastAsia="Times New Roman" w:hAnsi="Arial" w:cs="Arial"/>
                <w:color w:val="000000"/>
              </w:rPr>
              <w:t>as urban or rural</w:t>
            </w:r>
            <w:r w:rsidR="00F750BB">
              <w:rPr>
                <w:rFonts w:ascii="Arial" w:eastAsia="Times New Roman" w:hAnsi="Arial" w:cs="Arial"/>
                <w:color w:val="000000"/>
              </w:rPr>
              <w:t xml:space="preserve"> and can sometimes </w:t>
            </w:r>
            <w:r w:rsidR="00F750BB" w:rsidRPr="00B26F39">
              <w:rPr>
                <w:rFonts w:ascii="Arial" w:eastAsia="Times New Roman" w:hAnsi="Arial" w:cs="Arial"/>
                <w:color w:val="000000"/>
              </w:rPr>
              <w:t>proxy for the environment in which one was born and raised.</w:t>
            </w:r>
            <w:r>
              <w:rPr>
                <w:rFonts w:ascii="Arial" w:eastAsia="Times New Roman" w:hAnsi="Arial" w:cs="Arial"/>
                <w:color w:val="000000"/>
              </w:rPr>
              <w:fldChar w:fldCharType="begin" w:fldLock="1"/>
            </w:r>
            <w:r w:rsidR="001F57DA">
              <w:rPr>
                <w:rFonts w:ascii="Arial" w:eastAsia="Times New Roman" w:hAnsi="Arial" w:cs="Arial"/>
                <w:color w:val="000000"/>
              </w:rPr>
              <w:instrText>ADDIN CSL_CITATION {"citationItems":[{"id":"ITEM-1","itemData":{"DOI":"10.1002/jia2.25039","ISSN":"17582652","abstract":"© 2018 The Authors. Journal of the International AIDS Society published by John Wiley  &amp;  sons Ltd on behalf of the International AIDS Society. Introduction: Migration of men who have sex with men (MSM) from rural to urban areas is common across low- and middle-income countries and is widely believed to contribute to elevated HIV risk among migrant MSM in urban areas. Little consensus exists on whether their risk is due to their transplantation or their being from resource-constrained rural areas. This study seeks to clarify the relationship between migration and HIV risks by comparing differences in HIV-related risky sexual behaviours and healthcare utilization across competing conceptualizations of migratory statuses. Methods: In July 2016, MSM ≥16 years old currently residing in one of eight urban cities in China were recruited for an online cross-sectional survey, which collected information on socio-demographics, sexual behaviours, HIV care-seeking behaviours, and healthcare utilization. Based on a question about residency status, each participant was classified as an urban local resident, urban transplant, or rural transplant. Multivariable multinomial logistic regression was used to examine the associations between risky behaviours and healthcare utilization among these three groups. Results: Among 2007 MSM, the proportion of local, urban transplant and rural transplant were 32% (648/2007), 24% (478/2007), and 44% (881/2007), respectively. Compared with urban local resident MSM, urban transplant MSM were more likely to have ever tested for HIV (adjusted odds ratio (aOR) = 1.39, 95% confidence interval (CI): 1.08 to 1.80). Compared with urban transplant MSM, rural transplant MSM were less likely to have utilized any governmental sexual health services in the past three months (aOR = 0.75, 95% CI: 0.60 to 0.93), ever tested for HIV (aOR = 0.77, 95% CI: 0.61 to 0.96), ever initiated antiretroviral therapy (ART) (aOR = 0.16, 95% CI: 0.05 to 0.52), and ever purchased sex (aOR = 0.57, 95% CI: 0.38 to 0.85). No other significant differences were found in sexual behaviours among three groups. Conclusions: The widely used local/migrant categorization obscures important differences in HIV risk present between urban/rural subgroups among them. Previous studies of HIV risks in Chinese \"migrant\" may have failed to consider the role of structural factors such as discrimination or barriers to healthcare when interpreting their findings of higher HIV prevalence …","author":[{"dropping-particle":"","family":"Liu","given":"C.","non-dropping-particle":"","parse-names":false,"suffix":""},{"dropping-particle":"","family":"Fu","given":"R.","non-dropping-particle":"","parse-names":false,"suffix":""},{"dropping-particle":"","family":"Tang","given":"W.","non-dropping-particle":"","parse-names":false,"suffix":""},{"dropping-particle":"","family":"Cao","given":"B.","non-dropping-particle":"","parse-names":false,"suffix":""},{"dropping-particle":"","family":"Pan","given":"S.W.","non-dropping-particle":"","parse-names":false,"suffix":""},{"dropping-particle":"","family":"Wei","given":"C.","non-dropping-particle":"","parse-names":false,"suffix":""},{"dropping-particle":"","family":"Tucker","given":"J.D.","non-dropping-particle":"","parse-names":false,"suffix":""},{"dropping-particle":"","family":"Kumi Smith","given":"M.","non-dropping-particle":"","parse-names":false,"suffix":""}],"container-title":"Journal of the International AIDS Society","id":"ITEM-1","issue":"1","issued":{"date-parts":[["2018"]]},"page":"1-8","title":"Transplantation or rurality? Migration and HIV risk among Chinese men who have sex with men in the urban areas","type":"article-journal","volume":"21"},"uris":["http://www.mendeley.com/documents/?uuid=1520371e-ebee-4263-b054-4458e1eeb564"]}],"mendeley":{"formattedCitation":"&lt;sup&gt;51&lt;/sup&gt;","plainTextFormattedCitation":"51","previouslyFormattedCitation":"&lt;sup&gt;50&lt;/sup&gt;"},"properties":{"noteIndex":0},"schema":"https://github.com/citation-style-language/schema/raw/master/csl-citation.json"}</w:instrText>
            </w:r>
            <w:r>
              <w:rPr>
                <w:rFonts w:ascii="Arial" w:eastAsia="Times New Roman" w:hAnsi="Arial" w:cs="Arial"/>
                <w:color w:val="000000"/>
              </w:rPr>
              <w:fldChar w:fldCharType="separate"/>
            </w:r>
            <w:r w:rsidR="001F57DA" w:rsidRPr="001F57DA">
              <w:rPr>
                <w:rFonts w:ascii="Arial" w:eastAsia="Times New Roman" w:hAnsi="Arial" w:cs="Arial"/>
                <w:noProof/>
                <w:color w:val="000000"/>
                <w:vertAlign w:val="superscript"/>
              </w:rPr>
              <w:t>51</w:t>
            </w:r>
            <w:r>
              <w:rPr>
                <w:rFonts w:ascii="Arial" w:eastAsia="Times New Roman" w:hAnsi="Arial" w:cs="Arial"/>
                <w:color w:val="000000"/>
              </w:rPr>
              <w:fldChar w:fldCharType="end"/>
            </w:r>
          </w:p>
        </w:tc>
      </w:tr>
      <w:tr w:rsidR="00F750BB" w:rsidRPr="00F0791A" w14:paraId="23E13E8A" w14:textId="77777777" w:rsidTr="003022D5">
        <w:trPr>
          <w:trHeight w:val="273"/>
        </w:trPr>
        <w:tc>
          <w:tcPr>
            <w:tcW w:w="9360" w:type="dxa"/>
            <w:gridSpan w:val="4"/>
            <w:tcBorders>
              <w:top w:val="nil"/>
              <w:left w:val="nil"/>
              <w:bottom w:val="nil"/>
              <w:right w:val="nil"/>
            </w:tcBorders>
            <w:shd w:val="clear" w:color="auto" w:fill="auto"/>
            <w:noWrap/>
            <w:vAlign w:val="bottom"/>
            <w:hideMark/>
          </w:tcPr>
          <w:p w14:paraId="331ABD69" w14:textId="0554170F" w:rsidR="00F750BB" w:rsidRDefault="00D708A7" w:rsidP="003022D5">
            <w:pPr>
              <w:spacing w:after="0" w:line="240" w:lineRule="auto"/>
              <w:rPr>
                <w:rFonts w:ascii="Arial" w:eastAsia="Times New Roman" w:hAnsi="Arial" w:cs="Arial"/>
                <w:color w:val="000000"/>
              </w:rPr>
            </w:pPr>
            <w:r>
              <w:rPr>
                <w:rFonts w:ascii="Arial" w:eastAsia="Times New Roman" w:hAnsi="Arial" w:cs="Arial"/>
                <w:color w:val="000000"/>
              </w:rPr>
              <w:t>5</w:t>
            </w:r>
            <w:r w:rsidR="00F750BB" w:rsidRPr="00F0791A">
              <w:rPr>
                <w:rFonts w:ascii="Arial" w:eastAsia="Times New Roman" w:hAnsi="Arial" w:cs="Arial"/>
                <w:color w:val="000000"/>
              </w:rPr>
              <w:t xml:space="preserve">. </w:t>
            </w:r>
            <w:r w:rsidR="00F750BB">
              <w:rPr>
                <w:rFonts w:ascii="Arial" w:eastAsia="Times New Roman" w:hAnsi="Arial" w:cs="Arial"/>
                <w:color w:val="000000"/>
              </w:rPr>
              <w:t xml:space="preserve">Those who </w:t>
            </w:r>
            <w:r w:rsidR="00F750BB" w:rsidRPr="00F0791A">
              <w:rPr>
                <w:rFonts w:ascii="Arial" w:eastAsia="Times New Roman" w:hAnsi="Arial" w:cs="Arial"/>
                <w:color w:val="000000"/>
              </w:rPr>
              <w:t>indicat</w:t>
            </w:r>
            <w:r w:rsidR="00F750BB">
              <w:rPr>
                <w:rFonts w:ascii="Arial" w:eastAsia="Times New Roman" w:hAnsi="Arial" w:cs="Arial"/>
                <w:color w:val="000000"/>
              </w:rPr>
              <w:t>ed</w:t>
            </w:r>
            <w:r w:rsidR="00F750BB" w:rsidRPr="00F0791A">
              <w:rPr>
                <w:rFonts w:ascii="Arial" w:eastAsia="Times New Roman" w:hAnsi="Arial" w:cs="Arial"/>
                <w:color w:val="000000"/>
              </w:rPr>
              <w:t xml:space="preserve"> "other" or "unsure" in response to a question about their sexual orientation</w:t>
            </w:r>
            <w:r w:rsidR="00F750BB">
              <w:rPr>
                <w:rFonts w:ascii="Arial" w:eastAsia="Times New Roman" w:hAnsi="Arial" w:cs="Arial"/>
                <w:color w:val="000000"/>
              </w:rPr>
              <w:t xml:space="preserve"> were classified as “Other” for this variable.</w:t>
            </w:r>
          </w:p>
        </w:tc>
      </w:tr>
      <w:tr w:rsidR="00F750BB" w:rsidRPr="00F0791A" w14:paraId="24FF09B0" w14:textId="77777777" w:rsidTr="003022D5">
        <w:trPr>
          <w:trHeight w:val="273"/>
        </w:trPr>
        <w:tc>
          <w:tcPr>
            <w:tcW w:w="9360" w:type="dxa"/>
            <w:gridSpan w:val="4"/>
            <w:tcBorders>
              <w:top w:val="nil"/>
              <w:left w:val="nil"/>
              <w:bottom w:val="nil"/>
              <w:right w:val="nil"/>
            </w:tcBorders>
            <w:shd w:val="clear" w:color="auto" w:fill="auto"/>
            <w:noWrap/>
            <w:vAlign w:val="bottom"/>
            <w:hideMark/>
          </w:tcPr>
          <w:p w14:paraId="1328F300" w14:textId="308CF6A4" w:rsidR="00F750BB" w:rsidRDefault="00D708A7" w:rsidP="003022D5">
            <w:pPr>
              <w:spacing w:after="0" w:line="240" w:lineRule="auto"/>
              <w:rPr>
                <w:rFonts w:ascii="Arial" w:eastAsia="Times New Roman" w:hAnsi="Arial" w:cs="Arial"/>
                <w:color w:val="000000"/>
              </w:rPr>
            </w:pPr>
            <w:r>
              <w:rPr>
                <w:rFonts w:ascii="Arial" w:eastAsia="Times New Roman" w:hAnsi="Arial" w:cs="Arial"/>
                <w:color w:val="000000"/>
              </w:rPr>
              <w:t>6</w:t>
            </w:r>
            <w:r w:rsidR="00F750BB" w:rsidRPr="00F0791A">
              <w:rPr>
                <w:rFonts w:ascii="Arial" w:eastAsia="Times New Roman" w:hAnsi="Arial" w:cs="Arial"/>
                <w:color w:val="000000"/>
              </w:rPr>
              <w:t>.</w:t>
            </w:r>
            <w:r w:rsidR="00F750BB">
              <w:rPr>
                <w:rFonts w:ascii="Arial" w:eastAsia="Times New Roman" w:hAnsi="Arial" w:cs="Arial"/>
                <w:color w:val="000000"/>
              </w:rPr>
              <w:t xml:space="preserve"> Those who indicated </w:t>
            </w:r>
            <w:r w:rsidR="00F750BB" w:rsidRPr="00F0791A">
              <w:rPr>
                <w:rFonts w:ascii="Arial" w:eastAsia="Times New Roman" w:hAnsi="Arial" w:cs="Arial"/>
                <w:color w:val="000000"/>
              </w:rPr>
              <w:t>"female," "transgender," or "other" in re</w:t>
            </w:r>
            <w:r w:rsidR="00F750BB">
              <w:rPr>
                <w:rFonts w:ascii="Arial" w:eastAsia="Times New Roman" w:hAnsi="Arial" w:cs="Arial"/>
                <w:color w:val="000000"/>
              </w:rPr>
              <w:t>s</w:t>
            </w:r>
            <w:r w:rsidR="00F750BB" w:rsidRPr="00F0791A">
              <w:rPr>
                <w:rFonts w:ascii="Arial" w:eastAsia="Times New Roman" w:hAnsi="Arial" w:cs="Arial"/>
                <w:color w:val="000000"/>
              </w:rPr>
              <w:t>ponse to a question about their gender identity</w:t>
            </w:r>
            <w:r w:rsidR="00F750BB">
              <w:rPr>
                <w:rFonts w:ascii="Arial" w:eastAsia="Times New Roman" w:hAnsi="Arial" w:cs="Arial"/>
                <w:color w:val="000000"/>
              </w:rPr>
              <w:t xml:space="preserve"> was classified as non-male.</w:t>
            </w:r>
          </w:p>
        </w:tc>
      </w:tr>
    </w:tbl>
    <w:p w14:paraId="0AE90926" w14:textId="77777777" w:rsidR="00F750BB" w:rsidRDefault="00F750BB" w:rsidP="00F750BB">
      <w:pPr>
        <w:snapToGrid w:val="0"/>
        <w:spacing w:after="0" w:line="240" w:lineRule="auto"/>
        <w:contextualSpacing/>
        <w:rPr>
          <w:rFonts w:ascii="Arial" w:hAnsi="Arial" w:cs="Arial"/>
          <w:b/>
        </w:rPr>
      </w:pPr>
    </w:p>
    <w:sectPr w:rsidR="00F75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7E58" w14:textId="77777777" w:rsidR="005364F7" w:rsidRDefault="005364F7" w:rsidP="002F5AA3">
      <w:pPr>
        <w:spacing w:after="0" w:line="240" w:lineRule="auto"/>
      </w:pPr>
      <w:r>
        <w:separator/>
      </w:r>
    </w:p>
  </w:endnote>
  <w:endnote w:type="continuationSeparator" w:id="0">
    <w:p w14:paraId="44B82D1B" w14:textId="77777777" w:rsidR="005364F7" w:rsidRDefault="005364F7" w:rsidP="002F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5CF5" w14:textId="77777777" w:rsidR="005364F7" w:rsidRDefault="005364F7" w:rsidP="002F5AA3">
      <w:pPr>
        <w:spacing w:after="0" w:line="240" w:lineRule="auto"/>
      </w:pPr>
      <w:r>
        <w:separator/>
      </w:r>
    </w:p>
  </w:footnote>
  <w:footnote w:type="continuationSeparator" w:id="0">
    <w:p w14:paraId="34BD97C3" w14:textId="77777777" w:rsidR="005364F7" w:rsidRDefault="005364F7" w:rsidP="002F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252744"/>
      <w:docPartObj>
        <w:docPartGallery w:val="Page Numbers (Top of Page)"/>
        <w:docPartUnique/>
      </w:docPartObj>
    </w:sdtPr>
    <w:sdtEndPr>
      <w:rPr>
        <w:noProof/>
      </w:rPr>
    </w:sdtEndPr>
    <w:sdtContent>
      <w:p w14:paraId="361D2FA5" w14:textId="1A6E4C1E" w:rsidR="0050220A" w:rsidRDefault="0050220A">
        <w:pPr>
          <w:pStyle w:val="Header"/>
          <w:jc w:val="right"/>
        </w:pPr>
        <w:r>
          <w:fldChar w:fldCharType="begin"/>
        </w:r>
        <w:r>
          <w:instrText xml:space="preserve"> PAGE   \* MERGEFORMAT </w:instrText>
        </w:r>
        <w:r>
          <w:fldChar w:fldCharType="separate"/>
        </w:r>
        <w:r w:rsidR="00F92AB8">
          <w:rPr>
            <w:noProof/>
          </w:rPr>
          <w:t>14</w:t>
        </w:r>
        <w:r>
          <w:rPr>
            <w:noProof/>
          </w:rPr>
          <w:fldChar w:fldCharType="end"/>
        </w:r>
      </w:p>
    </w:sdtContent>
  </w:sdt>
  <w:p w14:paraId="53257A8E" w14:textId="77777777" w:rsidR="0050220A" w:rsidRDefault="0050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733E"/>
    <w:multiLevelType w:val="hybridMultilevel"/>
    <w:tmpl w:val="F388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5A38"/>
    <w:multiLevelType w:val="hybridMultilevel"/>
    <w:tmpl w:val="4C1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93836"/>
    <w:multiLevelType w:val="hybridMultilevel"/>
    <w:tmpl w:val="D294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17783"/>
    <w:multiLevelType w:val="hybridMultilevel"/>
    <w:tmpl w:val="4C1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514E"/>
    <w:multiLevelType w:val="hybridMultilevel"/>
    <w:tmpl w:val="8D60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80FB8"/>
    <w:multiLevelType w:val="hybridMultilevel"/>
    <w:tmpl w:val="CD2A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7331C"/>
    <w:multiLevelType w:val="hybridMultilevel"/>
    <w:tmpl w:val="CC6E1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284B5F"/>
    <w:multiLevelType w:val="hybridMultilevel"/>
    <w:tmpl w:val="4C1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4656F"/>
    <w:multiLevelType w:val="hybridMultilevel"/>
    <w:tmpl w:val="4C1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E5766"/>
    <w:multiLevelType w:val="hybridMultilevel"/>
    <w:tmpl w:val="C6D0B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D3C6B"/>
    <w:multiLevelType w:val="hybridMultilevel"/>
    <w:tmpl w:val="2DE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C0C6E"/>
    <w:multiLevelType w:val="hybridMultilevel"/>
    <w:tmpl w:val="D294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837A3"/>
    <w:multiLevelType w:val="hybridMultilevel"/>
    <w:tmpl w:val="8D60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72CDE"/>
    <w:multiLevelType w:val="hybridMultilevel"/>
    <w:tmpl w:val="BB1EE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87BF4"/>
    <w:multiLevelType w:val="hybridMultilevel"/>
    <w:tmpl w:val="70B07556"/>
    <w:lvl w:ilvl="0" w:tplc="A928D1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B737C"/>
    <w:multiLevelType w:val="hybridMultilevel"/>
    <w:tmpl w:val="D294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9747F"/>
    <w:multiLevelType w:val="hybridMultilevel"/>
    <w:tmpl w:val="D294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4"/>
  </w:num>
  <w:num w:numId="5">
    <w:abstractNumId w:val="11"/>
  </w:num>
  <w:num w:numId="6">
    <w:abstractNumId w:val="10"/>
  </w:num>
  <w:num w:numId="7">
    <w:abstractNumId w:val="2"/>
  </w:num>
  <w:num w:numId="8">
    <w:abstractNumId w:val="16"/>
  </w:num>
  <w:num w:numId="9">
    <w:abstractNumId w:val="15"/>
  </w:num>
  <w:num w:numId="10">
    <w:abstractNumId w:val="0"/>
  </w:num>
  <w:num w:numId="11">
    <w:abstractNumId w:val="12"/>
  </w:num>
  <w:num w:numId="12">
    <w:abstractNumId w:val="4"/>
  </w:num>
  <w:num w:numId="13">
    <w:abstractNumId w:val="8"/>
  </w:num>
  <w:num w:numId="14">
    <w:abstractNumId w:val="7"/>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27"/>
    <w:rsid w:val="0000339A"/>
    <w:rsid w:val="00011168"/>
    <w:rsid w:val="0001597E"/>
    <w:rsid w:val="000172BD"/>
    <w:rsid w:val="000172FE"/>
    <w:rsid w:val="000209B2"/>
    <w:rsid w:val="00023557"/>
    <w:rsid w:val="0004256E"/>
    <w:rsid w:val="00043587"/>
    <w:rsid w:val="00047318"/>
    <w:rsid w:val="00057C45"/>
    <w:rsid w:val="00065270"/>
    <w:rsid w:val="00071DF9"/>
    <w:rsid w:val="000728C2"/>
    <w:rsid w:val="00073334"/>
    <w:rsid w:val="00074CCF"/>
    <w:rsid w:val="000770A3"/>
    <w:rsid w:val="00077970"/>
    <w:rsid w:val="000A269C"/>
    <w:rsid w:val="000A4CD2"/>
    <w:rsid w:val="000B6529"/>
    <w:rsid w:val="000C1F9D"/>
    <w:rsid w:val="000C3671"/>
    <w:rsid w:val="000C4554"/>
    <w:rsid w:val="000C6A3C"/>
    <w:rsid w:val="000D359B"/>
    <w:rsid w:val="000D54E3"/>
    <w:rsid w:val="000E176B"/>
    <w:rsid w:val="000E1E88"/>
    <w:rsid w:val="000F171D"/>
    <w:rsid w:val="000F4E9E"/>
    <w:rsid w:val="000F5B61"/>
    <w:rsid w:val="001065CB"/>
    <w:rsid w:val="00115FF1"/>
    <w:rsid w:val="001227DA"/>
    <w:rsid w:val="0012443F"/>
    <w:rsid w:val="00127E84"/>
    <w:rsid w:val="00137017"/>
    <w:rsid w:val="00137849"/>
    <w:rsid w:val="00146B92"/>
    <w:rsid w:val="00152B96"/>
    <w:rsid w:val="00152C36"/>
    <w:rsid w:val="00187DDD"/>
    <w:rsid w:val="0019065D"/>
    <w:rsid w:val="001912B3"/>
    <w:rsid w:val="00194480"/>
    <w:rsid w:val="001A43D9"/>
    <w:rsid w:val="001A5159"/>
    <w:rsid w:val="001B2FB1"/>
    <w:rsid w:val="001C14DB"/>
    <w:rsid w:val="001C6B3A"/>
    <w:rsid w:val="001C6E6D"/>
    <w:rsid w:val="001C79CF"/>
    <w:rsid w:val="001F2D63"/>
    <w:rsid w:val="001F57DA"/>
    <w:rsid w:val="001F76D0"/>
    <w:rsid w:val="001F7FF4"/>
    <w:rsid w:val="00205E3C"/>
    <w:rsid w:val="00207270"/>
    <w:rsid w:val="002108D4"/>
    <w:rsid w:val="00221286"/>
    <w:rsid w:val="002334D7"/>
    <w:rsid w:val="00235FDB"/>
    <w:rsid w:val="002366B8"/>
    <w:rsid w:val="00236AF0"/>
    <w:rsid w:val="00237893"/>
    <w:rsid w:val="002420BA"/>
    <w:rsid w:val="002705E6"/>
    <w:rsid w:val="002706A1"/>
    <w:rsid w:val="00273D99"/>
    <w:rsid w:val="00283289"/>
    <w:rsid w:val="002874FF"/>
    <w:rsid w:val="00287DC8"/>
    <w:rsid w:val="002A227D"/>
    <w:rsid w:val="002A426A"/>
    <w:rsid w:val="002B7519"/>
    <w:rsid w:val="002E0667"/>
    <w:rsid w:val="002E3A55"/>
    <w:rsid w:val="002F0608"/>
    <w:rsid w:val="002F5AA3"/>
    <w:rsid w:val="002F6E16"/>
    <w:rsid w:val="002F7F71"/>
    <w:rsid w:val="003010B0"/>
    <w:rsid w:val="003022D5"/>
    <w:rsid w:val="00304D03"/>
    <w:rsid w:val="00306158"/>
    <w:rsid w:val="003128C2"/>
    <w:rsid w:val="00314F04"/>
    <w:rsid w:val="00323697"/>
    <w:rsid w:val="00324E5E"/>
    <w:rsid w:val="003269F2"/>
    <w:rsid w:val="00331C76"/>
    <w:rsid w:val="00341832"/>
    <w:rsid w:val="00343594"/>
    <w:rsid w:val="00355B2C"/>
    <w:rsid w:val="003603DF"/>
    <w:rsid w:val="003724A6"/>
    <w:rsid w:val="0038205C"/>
    <w:rsid w:val="00386A29"/>
    <w:rsid w:val="003A19C6"/>
    <w:rsid w:val="003A1B28"/>
    <w:rsid w:val="003A31D6"/>
    <w:rsid w:val="003B5A7A"/>
    <w:rsid w:val="003C0862"/>
    <w:rsid w:val="003C3A8D"/>
    <w:rsid w:val="003C4A42"/>
    <w:rsid w:val="003C7236"/>
    <w:rsid w:val="003D7DCB"/>
    <w:rsid w:val="003F1A53"/>
    <w:rsid w:val="00421E4F"/>
    <w:rsid w:val="00424BF2"/>
    <w:rsid w:val="00427F1B"/>
    <w:rsid w:val="004309B7"/>
    <w:rsid w:val="00430AD5"/>
    <w:rsid w:val="004327F2"/>
    <w:rsid w:val="00453B4A"/>
    <w:rsid w:val="00457737"/>
    <w:rsid w:val="004657CC"/>
    <w:rsid w:val="004676C5"/>
    <w:rsid w:val="004766F2"/>
    <w:rsid w:val="0049572A"/>
    <w:rsid w:val="004B41A5"/>
    <w:rsid w:val="004B560C"/>
    <w:rsid w:val="004C3945"/>
    <w:rsid w:val="004C3E4C"/>
    <w:rsid w:val="004D23D7"/>
    <w:rsid w:val="004E3511"/>
    <w:rsid w:val="004E41FC"/>
    <w:rsid w:val="004F1901"/>
    <w:rsid w:val="004F4624"/>
    <w:rsid w:val="0050220A"/>
    <w:rsid w:val="00511B0D"/>
    <w:rsid w:val="0052063B"/>
    <w:rsid w:val="00524AF9"/>
    <w:rsid w:val="0052684B"/>
    <w:rsid w:val="005364F7"/>
    <w:rsid w:val="0053700E"/>
    <w:rsid w:val="00540BF2"/>
    <w:rsid w:val="00546E1F"/>
    <w:rsid w:val="005555F5"/>
    <w:rsid w:val="0055607E"/>
    <w:rsid w:val="00562068"/>
    <w:rsid w:val="00563A3C"/>
    <w:rsid w:val="0056608A"/>
    <w:rsid w:val="005B0161"/>
    <w:rsid w:val="005C14A0"/>
    <w:rsid w:val="005D4155"/>
    <w:rsid w:val="005D5CD5"/>
    <w:rsid w:val="005D77AA"/>
    <w:rsid w:val="005F0982"/>
    <w:rsid w:val="00604D96"/>
    <w:rsid w:val="00607087"/>
    <w:rsid w:val="0061019D"/>
    <w:rsid w:val="006110FA"/>
    <w:rsid w:val="00617ED4"/>
    <w:rsid w:val="006261FF"/>
    <w:rsid w:val="00633FFC"/>
    <w:rsid w:val="00642028"/>
    <w:rsid w:val="00646491"/>
    <w:rsid w:val="006471F5"/>
    <w:rsid w:val="00655F62"/>
    <w:rsid w:val="0066248D"/>
    <w:rsid w:val="006644A7"/>
    <w:rsid w:val="00674344"/>
    <w:rsid w:val="006753F2"/>
    <w:rsid w:val="00681030"/>
    <w:rsid w:val="00687938"/>
    <w:rsid w:val="0069166B"/>
    <w:rsid w:val="006937A5"/>
    <w:rsid w:val="006A1D7B"/>
    <w:rsid w:val="006B2B95"/>
    <w:rsid w:val="006C6BE7"/>
    <w:rsid w:val="006D3245"/>
    <w:rsid w:val="006D461C"/>
    <w:rsid w:val="006E3AF1"/>
    <w:rsid w:val="006F4C34"/>
    <w:rsid w:val="006F7DEC"/>
    <w:rsid w:val="00711CC6"/>
    <w:rsid w:val="00714727"/>
    <w:rsid w:val="00715657"/>
    <w:rsid w:val="007246B0"/>
    <w:rsid w:val="00732968"/>
    <w:rsid w:val="00737F97"/>
    <w:rsid w:val="0074000C"/>
    <w:rsid w:val="00743EA8"/>
    <w:rsid w:val="00744EA4"/>
    <w:rsid w:val="00746AF3"/>
    <w:rsid w:val="007532F6"/>
    <w:rsid w:val="00762221"/>
    <w:rsid w:val="00773A3D"/>
    <w:rsid w:val="00786A52"/>
    <w:rsid w:val="00787CBE"/>
    <w:rsid w:val="00790BEC"/>
    <w:rsid w:val="007964F4"/>
    <w:rsid w:val="00796C83"/>
    <w:rsid w:val="007A3845"/>
    <w:rsid w:val="007A73BD"/>
    <w:rsid w:val="007B2D60"/>
    <w:rsid w:val="007B4A43"/>
    <w:rsid w:val="007C5722"/>
    <w:rsid w:val="007E250F"/>
    <w:rsid w:val="007E3609"/>
    <w:rsid w:val="007F375A"/>
    <w:rsid w:val="007F508E"/>
    <w:rsid w:val="00812ECA"/>
    <w:rsid w:val="008338E9"/>
    <w:rsid w:val="008474FE"/>
    <w:rsid w:val="008705FC"/>
    <w:rsid w:val="008708B0"/>
    <w:rsid w:val="008808F9"/>
    <w:rsid w:val="00881F45"/>
    <w:rsid w:val="00892992"/>
    <w:rsid w:val="00894070"/>
    <w:rsid w:val="008A22CC"/>
    <w:rsid w:val="008A22F9"/>
    <w:rsid w:val="008B01EF"/>
    <w:rsid w:val="008B4734"/>
    <w:rsid w:val="008C3584"/>
    <w:rsid w:val="008E30C8"/>
    <w:rsid w:val="008E39A7"/>
    <w:rsid w:val="008E3D4E"/>
    <w:rsid w:val="008F3F3B"/>
    <w:rsid w:val="009008B7"/>
    <w:rsid w:val="0090135B"/>
    <w:rsid w:val="009112A6"/>
    <w:rsid w:val="00911900"/>
    <w:rsid w:val="0091345C"/>
    <w:rsid w:val="00914212"/>
    <w:rsid w:val="00924B0C"/>
    <w:rsid w:val="00952567"/>
    <w:rsid w:val="009577D3"/>
    <w:rsid w:val="00962392"/>
    <w:rsid w:val="00984160"/>
    <w:rsid w:val="00987668"/>
    <w:rsid w:val="009A2365"/>
    <w:rsid w:val="009A6DE1"/>
    <w:rsid w:val="009C07DC"/>
    <w:rsid w:val="009C1D96"/>
    <w:rsid w:val="009C2A0E"/>
    <w:rsid w:val="009C49B8"/>
    <w:rsid w:val="009C564B"/>
    <w:rsid w:val="009C6153"/>
    <w:rsid w:val="009C72EE"/>
    <w:rsid w:val="009D0106"/>
    <w:rsid w:val="009E6DBF"/>
    <w:rsid w:val="00A07C3A"/>
    <w:rsid w:val="00A26F64"/>
    <w:rsid w:val="00A33FD5"/>
    <w:rsid w:val="00A3417C"/>
    <w:rsid w:val="00A52812"/>
    <w:rsid w:val="00A6319E"/>
    <w:rsid w:val="00A706CC"/>
    <w:rsid w:val="00A721FA"/>
    <w:rsid w:val="00A819B4"/>
    <w:rsid w:val="00A839AE"/>
    <w:rsid w:val="00A84D98"/>
    <w:rsid w:val="00A953D3"/>
    <w:rsid w:val="00A96170"/>
    <w:rsid w:val="00AA0AD8"/>
    <w:rsid w:val="00AA33F2"/>
    <w:rsid w:val="00AA607B"/>
    <w:rsid w:val="00AA6A1F"/>
    <w:rsid w:val="00AB04BA"/>
    <w:rsid w:val="00AB371D"/>
    <w:rsid w:val="00AB7FB9"/>
    <w:rsid w:val="00AE0448"/>
    <w:rsid w:val="00AE4B3C"/>
    <w:rsid w:val="00B02280"/>
    <w:rsid w:val="00B1201B"/>
    <w:rsid w:val="00B134D6"/>
    <w:rsid w:val="00B13739"/>
    <w:rsid w:val="00B16FDC"/>
    <w:rsid w:val="00B178C0"/>
    <w:rsid w:val="00B26F39"/>
    <w:rsid w:val="00B359E1"/>
    <w:rsid w:val="00B378C6"/>
    <w:rsid w:val="00B405EA"/>
    <w:rsid w:val="00B45608"/>
    <w:rsid w:val="00B47B65"/>
    <w:rsid w:val="00B662DB"/>
    <w:rsid w:val="00B704F0"/>
    <w:rsid w:val="00B7360F"/>
    <w:rsid w:val="00B817E8"/>
    <w:rsid w:val="00B8657E"/>
    <w:rsid w:val="00B87FFC"/>
    <w:rsid w:val="00B928FE"/>
    <w:rsid w:val="00B950D5"/>
    <w:rsid w:val="00BA11C1"/>
    <w:rsid w:val="00BA2043"/>
    <w:rsid w:val="00BA4A25"/>
    <w:rsid w:val="00BB22A4"/>
    <w:rsid w:val="00BB3C40"/>
    <w:rsid w:val="00BB54FE"/>
    <w:rsid w:val="00BB717A"/>
    <w:rsid w:val="00BC43A4"/>
    <w:rsid w:val="00BC672D"/>
    <w:rsid w:val="00BD4336"/>
    <w:rsid w:val="00BD5841"/>
    <w:rsid w:val="00BF455F"/>
    <w:rsid w:val="00C24F1C"/>
    <w:rsid w:val="00C51E58"/>
    <w:rsid w:val="00C54203"/>
    <w:rsid w:val="00C66C61"/>
    <w:rsid w:val="00C85FF8"/>
    <w:rsid w:val="00C869E4"/>
    <w:rsid w:val="00C91054"/>
    <w:rsid w:val="00C9286B"/>
    <w:rsid w:val="00C9291C"/>
    <w:rsid w:val="00C97022"/>
    <w:rsid w:val="00CA3820"/>
    <w:rsid w:val="00CC3BDE"/>
    <w:rsid w:val="00CD4B52"/>
    <w:rsid w:val="00CD678D"/>
    <w:rsid w:val="00CE5057"/>
    <w:rsid w:val="00D129A9"/>
    <w:rsid w:val="00D16ECA"/>
    <w:rsid w:val="00D218CB"/>
    <w:rsid w:val="00D223CD"/>
    <w:rsid w:val="00D31588"/>
    <w:rsid w:val="00D336E0"/>
    <w:rsid w:val="00D62B71"/>
    <w:rsid w:val="00D65227"/>
    <w:rsid w:val="00D708A7"/>
    <w:rsid w:val="00D74560"/>
    <w:rsid w:val="00D74E76"/>
    <w:rsid w:val="00D85E92"/>
    <w:rsid w:val="00DA337A"/>
    <w:rsid w:val="00DB047B"/>
    <w:rsid w:val="00DD0B0B"/>
    <w:rsid w:val="00DD1640"/>
    <w:rsid w:val="00DD5B5E"/>
    <w:rsid w:val="00DD5DAD"/>
    <w:rsid w:val="00DE2008"/>
    <w:rsid w:val="00DE2AB3"/>
    <w:rsid w:val="00DE3F9B"/>
    <w:rsid w:val="00DE7D55"/>
    <w:rsid w:val="00E02233"/>
    <w:rsid w:val="00E027DE"/>
    <w:rsid w:val="00E12CA1"/>
    <w:rsid w:val="00E13AD2"/>
    <w:rsid w:val="00E2103A"/>
    <w:rsid w:val="00E245C3"/>
    <w:rsid w:val="00E3632C"/>
    <w:rsid w:val="00E60322"/>
    <w:rsid w:val="00E64065"/>
    <w:rsid w:val="00E674D3"/>
    <w:rsid w:val="00E718D0"/>
    <w:rsid w:val="00E779B6"/>
    <w:rsid w:val="00E92BB8"/>
    <w:rsid w:val="00E96990"/>
    <w:rsid w:val="00EA613D"/>
    <w:rsid w:val="00EA6E27"/>
    <w:rsid w:val="00EB550C"/>
    <w:rsid w:val="00EB5846"/>
    <w:rsid w:val="00EB6FB3"/>
    <w:rsid w:val="00ED1045"/>
    <w:rsid w:val="00ED2CAB"/>
    <w:rsid w:val="00ED39CD"/>
    <w:rsid w:val="00EE15C1"/>
    <w:rsid w:val="00F0791A"/>
    <w:rsid w:val="00F14418"/>
    <w:rsid w:val="00F26599"/>
    <w:rsid w:val="00F311AF"/>
    <w:rsid w:val="00F379CE"/>
    <w:rsid w:val="00F446CC"/>
    <w:rsid w:val="00F44A77"/>
    <w:rsid w:val="00F64167"/>
    <w:rsid w:val="00F672C7"/>
    <w:rsid w:val="00F750BB"/>
    <w:rsid w:val="00F82966"/>
    <w:rsid w:val="00F92AB8"/>
    <w:rsid w:val="00F9349C"/>
    <w:rsid w:val="00FD1035"/>
    <w:rsid w:val="00FD2631"/>
    <w:rsid w:val="00FE4800"/>
    <w:rsid w:val="00FE4B9B"/>
    <w:rsid w:val="00FF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3A110"/>
  <w15:docId w15:val="{D2751F02-30F3-4DC3-828A-C1971065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1CC6"/>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9C"/>
    <w:pPr>
      <w:ind w:left="720"/>
      <w:contextualSpacing/>
    </w:pPr>
  </w:style>
  <w:style w:type="character" w:styleId="CommentReference">
    <w:name w:val="annotation reference"/>
    <w:basedOn w:val="DefaultParagraphFont"/>
    <w:uiPriority w:val="99"/>
    <w:semiHidden/>
    <w:unhideWhenUsed/>
    <w:rsid w:val="001C6E6D"/>
    <w:rPr>
      <w:sz w:val="16"/>
      <w:szCs w:val="16"/>
    </w:rPr>
  </w:style>
  <w:style w:type="paragraph" w:styleId="CommentText">
    <w:name w:val="annotation text"/>
    <w:basedOn w:val="Normal"/>
    <w:link w:val="CommentTextChar"/>
    <w:uiPriority w:val="99"/>
    <w:semiHidden/>
    <w:unhideWhenUsed/>
    <w:rsid w:val="001C6E6D"/>
    <w:pPr>
      <w:spacing w:line="240" w:lineRule="auto"/>
    </w:pPr>
    <w:rPr>
      <w:sz w:val="20"/>
      <w:szCs w:val="20"/>
    </w:rPr>
  </w:style>
  <w:style w:type="character" w:customStyle="1" w:styleId="CommentTextChar">
    <w:name w:val="Comment Text Char"/>
    <w:basedOn w:val="DefaultParagraphFont"/>
    <w:link w:val="CommentText"/>
    <w:uiPriority w:val="99"/>
    <w:semiHidden/>
    <w:rsid w:val="001C6E6D"/>
    <w:rPr>
      <w:sz w:val="20"/>
      <w:szCs w:val="20"/>
    </w:rPr>
  </w:style>
  <w:style w:type="paragraph" w:styleId="CommentSubject">
    <w:name w:val="annotation subject"/>
    <w:basedOn w:val="CommentText"/>
    <w:next w:val="CommentText"/>
    <w:link w:val="CommentSubjectChar"/>
    <w:uiPriority w:val="99"/>
    <w:semiHidden/>
    <w:unhideWhenUsed/>
    <w:rsid w:val="001C6E6D"/>
    <w:rPr>
      <w:b/>
      <w:bCs/>
    </w:rPr>
  </w:style>
  <w:style w:type="character" w:customStyle="1" w:styleId="CommentSubjectChar">
    <w:name w:val="Comment Subject Char"/>
    <w:basedOn w:val="CommentTextChar"/>
    <w:link w:val="CommentSubject"/>
    <w:uiPriority w:val="99"/>
    <w:semiHidden/>
    <w:rsid w:val="001C6E6D"/>
    <w:rPr>
      <w:b/>
      <w:bCs/>
      <w:sz w:val="20"/>
      <w:szCs w:val="20"/>
    </w:rPr>
  </w:style>
  <w:style w:type="paragraph" w:styleId="BalloonText">
    <w:name w:val="Balloon Text"/>
    <w:basedOn w:val="Normal"/>
    <w:link w:val="BalloonTextChar"/>
    <w:uiPriority w:val="99"/>
    <w:semiHidden/>
    <w:unhideWhenUsed/>
    <w:rsid w:val="001C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6D"/>
    <w:rPr>
      <w:rFonts w:ascii="Segoe UI" w:hAnsi="Segoe UI" w:cs="Segoe UI"/>
      <w:sz w:val="18"/>
      <w:szCs w:val="18"/>
    </w:rPr>
  </w:style>
  <w:style w:type="paragraph" w:styleId="Revision">
    <w:name w:val="Revision"/>
    <w:hidden/>
    <w:uiPriority w:val="99"/>
    <w:semiHidden/>
    <w:rsid w:val="00B13739"/>
    <w:pPr>
      <w:spacing w:after="0" w:line="240" w:lineRule="auto"/>
    </w:pPr>
  </w:style>
  <w:style w:type="character" w:styleId="Hyperlink">
    <w:name w:val="Hyperlink"/>
    <w:basedOn w:val="DefaultParagraphFont"/>
    <w:uiPriority w:val="99"/>
    <w:unhideWhenUsed/>
    <w:rsid w:val="00796C83"/>
    <w:rPr>
      <w:color w:val="0563C1" w:themeColor="hyperlink"/>
      <w:u w:val="single"/>
    </w:rPr>
  </w:style>
  <w:style w:type="character" w:customStyle="1" w:styleId="UnresolvedMention1">
    <w:name w:val="Unresolved Mention1"/>
    <w:basedOn w:val="DefaultParagraphFont"/>
    <w:uiPriority w:val="99"/>
    <w:semiHidden/>
    <w:unhideWhenUsed/>
    <w:rsid w:val="00796C83"/>
    <w:rPr>
      <w:color w:val="605E5C"/>
      <w:shd w:val="clear" w:color="auto" w:fill="E1DFDD"/>
    </w:rPr>
  </w:style>
  <w:style w:type="character" w:customStyle="1" w:styleId="Heading2Char">
    <w:name w:val="Heading 2 Char"/>
    <w:basedOn w:val="DefaultParagraphFont"/>
    <w:link w:val="Heading2"/>
    <w:uiPriority w:val="9"/>
    <w:rsid w:val="00711CC6"/>
    <w:rPr>
      <w:rFonts w:ascii="Times New Roman" w:eastAsia="Times New Roman" w:hAnsi="Times New Roman" w:cs="Times New Roman"/>
      <w:b/>
      <w:bCs/>
      <w:sz w:val="36"/>
      <w:szCs w:val="36"/>
      <w:lang w:eastAsia="en-US"/>
    </w:rPr>
  </w:style>
  <w:style w:type="character" w:customStyle="1" w:styleId="UnresolvedMention2">
    <w:name w:val="Unresolved Mention2"/>
    <w:basedOn w:val="DefaultParagraphFont"/>
    <w:uiPriority w:val="99"/>
    <w:semiHidden/>
    <w:unhideWhenUsed/>
    <w:rsid w:val="00AA6A1F"/>
    <w:rPr>
      <w:color w:val="605E5C"/>
      <w:shd w:val="clear" w:color="auto" w:fill="E1DFDD"/>
    </w:rPr>
  </w:style>
  <w:style w:type="paragraph" w:styleId="Header">
    <w:name w:val="header"/>
    <w:basedOn w:val="Normal"/>
    <w:link w:val="HeaderChar"/>
    <w:uiPriority w:val="99"/>
    <w:unhideWhenUsed/>
    <w:rsid w:val="002F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A3"/>
  </w:style>
  <w:style w:type="paragraph" w:styleId="Footer">
    <w:name w:val="footer"/>
    <w:basedOn w:val="Normal"/>
    <w:link w:val="FooterChar"/>
    <w:uiPriority w:val="99"/>
    <w:unhideWhenUsed/>
    <w:rsid w:val="002F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A3"/>
  </w:style>
  <w:style w:type="character" w:styleId="LineNumber">
    <w:name w:val="line number"/>
    <w:basedOn w:val="DefaultParagraphFont"/>
    <w:uiPriority w:val="99"/>
    <w:semiHidden/>
    <w:unhideWhenUsed/>
    <w:rsid w:val="002F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103">
      <w:bodyDiv w:val="1"/>
      <w:marLeft w:val="0"/>
      <w:marRight w:val="0"/>
      <w:marTop w:val="0"/>
      <w:marBottom w:val="0"/>
      <w:divBdr>
        <w:top w:val="none" w:sz="0" w:space="0" w:color="auto"/>
        <w:left w:val="none" w:sz="0" w:space="0" w:color="auto"/>
        <w:bottom w:val="none" w:sz="0" w:space="0" w:color="auto"/>
        <w:right w:val="none" w:sz="0" w:space="0" w:color="auto"/>
      </w:divBdr>
    </w:div>
    <w:div w:id="27604307">
      <w:bodyDiv w:val="1"/>
      <w:marLeft w:val="0"/>
      <w:marRight w:val="0"/>
      <w:marTop w:val="0"/>
      <w:marBottom w:val="0"/>
      <w:divBdr>
        <w:top w:val="none" w:sz="0" w:space="0" w:color="auto"/>
        <w:left w:val="none" w:sz="0" w:space="0" w:color="auto"/>
        <w:bottom w:val="none" w:sz="0" w:space="0" w:color="auto"/>
        <w:right w:val="none" w:sz="0" w:space="0" w:color="auto"/>
      </w:divBdr>
    </w:div>
    <w:div w:id="45375934">
      <w:bodyDiv w:val="1"/>
      <w:marLeft w:val="0"/>
      <w:marRight w:val="0"/>
      <w:marTop w:val="0"/>
      <w:marBottom w:val="0"/>
      <w:divBdr>
        <w:top w:val="none" w:sz="0" w:space="0" w:color="auto"/>
        <w:left w:val="none" w:sz="0" w:space="0" w:color="auto"/>
        <w:bottom w:val="none" w:sz="0" w:space="0" w:color="auto"/>
        <w:right w:val="none" w:sz="0" w:space="0" w:color="auto"/>
      </w:divBdr>
      <w:divsChild>
        <w:div w:id="2112313534">
          <w:marLeft w:val="0"/>
          <w:marRight w:val="0"/>
          <w:marTop w:val="0"/>
          <w:marBottom w:val="0"/>
          <w:divBdr>
            <w:top w:val="none" w:sz="0" w:space="0" w:color="auto"/>
            <w:left w:val="none" w:sz="0" w:space="0" w:color="auto"/>
            <w:bottom w:val="none" w:sz="0" w:space="0" w:color="auto"/>
            <w:right w:val="none" w:sz="0" w:space="0" w:color="auto"/>
          </w:divBdr>
        </w:div>
      </w:divsChild>
    </w:div>
    <w:div w:id="61024112">
      <w:bodyDiv w:val="1"/>
      <w:marLeft w:val="0"/>
      <w:marRight w:val="0"/>
      <w:marTop w:val="0"/>
      <w:marBottom w:val="0"/>
      <w:divBdr>
        <w:top w:val="none" w:sz="0" w:space="0" w:color="auto"/>
        <w:left w:val="none" w:sz="0" w:space="0" w:color="auto"/>
        <w:bottom w:val="none" w:sz="0" w:space="0" w:color="auto"/>
        <w:right w:val="none" w:sz="0" w:space="0" w:color="auto"/>
      </w:divBdr>
    </w:div>
    <w:div w:id="71657749">
      <w:bodyDiv w:val="1"/>
      <w:marLeft w:val="0"/>
      <w:marRight w:val="0"/>
      <w:marTop w:val="0"/>
      <w:marBottom w:val="0"/>
      <w:divBdr>
        <w:top w:val="none" w:sz="0" w:space="0" w:color="auto"/>
        <w:left w:val="none" w:sz="0" w:space="0" w:color="auto"/>
        <w:bottom w:val="none" w:sz="0" w:space="0" w:color="auto"/>
        <w:right w:val="none" w:sz="0" w:space="0" w:color="auto"/>
      </w:divBdr>
    </w:div>
    <w:div w:id="130484888">
      <w:bodyDiv w:val="1"/>
      <w:marLeft w:val="0"/>
      <w:marRight w:val="0"/>
      <w:marTop w:val="0"/>
      <w:marBottom w:val="0"/>
      <w:divBdr>
        <w:top w:val="none" w:sz="0" w:space="0" w:color="auto"/>
        <w:left w:val="none" w:sz="0" w:space="0" w:color="auto"/>
        <w:bottom w:val="none" w:sz="0" w:space="0" w:color="auto"/>
        <w:right w:val="none" w:sz="0" w:space="0" w:color="auto"/>
      </w:divBdr>
      <w:divsChild>
        <w:div w:id="1537157446">
          <w:marLeft w:val="0"/>
          <w:marRight w:val="0"/>
          <w:marTop w:val="0"/>
          <w:marBottom w:val="0"/>
          <w:divBdr>
            <w:top w:val="none" w:sz="0" w:space="0" w:color="auto"/>
            <w:left w:val="none" w:sz="0" w:space="0" w:color="auto"/>
            <w:bottom w:val="none" w:sz="0" w:space="0" w:color="auto"/>
            <w:right w:val="none" w:sz="0" w:space="0" w:color="auto"/>
          </w:divBdr>
        </w:div>
      </w:divsChild>
    </w:div>
    <w:div w:id="166293731">
      <w:bodyDiv w:val="1"/>
      <w:marLeft w:val="0"/>
      <w:marRight w:val="0"/>
      <w:marTop w:val="0"/>
      <w:marBottom w:val="0"/>
      <w:divBdr>
        <w:top w:val="none" w:sz="0" w:space="0" w:color="auto"/>
        <w:left w:val="none" w:sz="0" w:space="0" w:color="auto"/>
        <w:bottom w:val="none" w:sz="0" w:space="0" w:color="auto"/>
        <w:right w:val="none" w:sz="0" w:space="0" w:color="auto"/>
      </w:divBdr>
    </w:div>
    <w:div w:id="247617695">
      <w:bodyDiv w:val="1"/>
      <w:marLeft w:val="0"/>
      <w:marRight w:val="0"/>
      <w:marTop w:val="0"/>
      <w:marBottom w:val="0"/>
      <w:divBdr>
        <w:top w:val="none" w:sz="0" w:space="0" w:color="auto"/>
        <w:left w:val="none" w:sz="0" w:space="0" w:color="auto"/>
        <w:bottom w:val="none" w:sz="0" w:space="0" w:color="auto"/>
        <w:right w:val="none" w:sz="0" w:space="0" w:color="auto"/>
      </w:divBdr>
      <w:divsChild>
        <w:div w:id="1262644629">
          <w:marLeft w:val="0"/>
          <w:marRight w:val="0"/>
          <w:marTop w:val="0"/>
          <w:marBottom w:val="0"/>
          <w:divBdr>
            <w:top w:val="none" w:sz="0" w:space="0" w:color="auto"/>
            <w:left w:val="none" w:sz="0" w:space="0" w:color="auto"/>
            <w:bottom w:val="none" w:sz="0" w:space="0" w:color="auto"/>
            <w:right w:val="none" w:sz="0" w:space="0" w:color="auto"/>
          </w:divBdr>
        </w:div>
      </w:divsChild>
    </w:div>
    <w:div w:id="307828139">
      <w:bodyDiv w:val="1"/>
      <w:marLeft w:val="0"/>
      <w:marRight w:val="0"/>
      <w:marTop w:val="0"/>
      <w:marBottom w:val="0"/>
      <w:divBdr>
        <w:top w:val="none" w:sz="0" w:space="0" w:color="auto"/>
        <w:left w:val="none" w:sz="0" w:space="0" w:color="auto"/>
        <w:bottom w:val="none" w:sz="0" w:space="0" w:color="auto"/>
        <w:right w:val="none" w:sz="0" w:space="0" w:color="auto"/>
      </w:divBdr>
      <w:divsChild>
        <w:div w:id="736170846">
          <w:marLeft w:val="0"/>
          <w:marRight w:val="0"/>
          <w:marTop w:val="0"/>
          <w:marBottom w:val="0"/>
          <w:divBdr>
            <w:top w:val="none" w:sz="0" w:space="0" w:color="auto"/>
            <w:left w:val="none" w:sz="0" w:space="0" w:color="auto"/>
            <w:bottom w:val="none" w:sz="0" w:space="0" w:color="auto"/>
            <w:right w:val="none" w:sz="0" w:space="0" w:color="auto"/>
          </w:divBdr>
        </w:div>
      </w:divsChild>
    </w:div>
    <w:div w:id="335426568">
      <w:bodyDiv w:val="1"/>
      <w:marLeft w:val="0"/>
      <w:marRight w:val="0"/>
      <w:marTop w:val="0"/>
      <w:marBottom w:val="0"/>
      <w:divBdr>
        <w:top w:val="none" w:sz="0" w:space="0" w:color="auto"/>
        <w:left w:val="none" w:sz="0" w:space="0" w:color="auto"/>
        <w:bottom w:val="none" w:sz="0" w:space="0" w:color="auto"/>
        <w:right w:val="none" w:sz="0" w:space="0" w:color="auto"/>
      </w:divBdr>
    </w:div>
    <w:div w:id="390538253">
      <w:bodyDiv w:val="1"/>
      <w:marLeft w:val="0"/>
      <w:marRight w:val="0"/>
      <w:marTop w:val="0"/>
      <w:marBottom w:val="0"/>
      <w:divBdr>
        <w:top w:val="none" w:sz="0" w:space="0" w:color="auto"/>
        <w:left w:val="none" w:sz="0" w:space="0" w:color="auto"/>
        <w:bottom w:val="none" w:sz="0" w:space="0" w:color="auto"/>
        <w:right w:val="none" w:sz="0" w:space="0" w:color="auto"/>
      </w:divBdr>
    </w:div>
    <w:div w:id="479884403">
      <w:bodyDiv w:val="1"/>
      <w:marLeft w:val="0"/>
      <w:marRight w:val="0"/>
      <w:marTop w:val="0"/>
      <w:marBottom w:val="0"/>
      <w:divBdr>
        <w:top w:val="none" w:sz="0" w:space="0" w:color="auto"/>
        <w:left w:val="none" w:sz="0" w:space="0" w:color="auto"/>
        <w:bottom w:val="none" w:sz="0" w:space="0" w:color="auto"/>
        <w:right w:val="none" w:sz="0" w:space="0" w:color="auto"/>
      </w:divBdr>
    </w:div>
    <w:div w:id="541984244">
      <w:bodyDiv w:val="1"/>
      <w:marLeft w:val="0"/>
      <w:marRight w:val="0"/>
      <w:marTop w:val="0"/>
      <w:marBottom w:val="0"/>
      <w:divBdr>
        <w:top w:val="none" w:sz="0" w:space="0" w:color="auto"/>
        <w:left w:val="none" w:sz="0" w:space="0" w:color="auto"/>
        <w:bottom w:val="none" w:sz="0" w:space="0" w:color="auto"/>
        <w:right w:val="none" w:sz="0" w:space="0" w:color="auto"/>
      </w:divBdr>
    </w:div>
    <w:div w:id="551307084">
      <w:bodyDiv w:val="1"/>
      <w:marLeft w:val="0"/>
      <w:marRight w:val="0"/>
      <w:marTop w:val="0"/>
      <w:marBottom w:val="0"/>
      <w:divBdr>
        <w:top w:val="none" w:sz="0" w:space="0" w:color="auto"/>
        <w:left w:val="none" w:sz="0" w:space="0" w:color="auto"/>
        <w:bottom w:val="none" w:sz="0" w:space="0" w:color="auto"/>
        <w:right w:val="none" w:sz="0" w:space="0" w:color="auto"/>
      </w:divBdr>
      <w:divsChild>
        <w:div w:id="1749114160">
          <w:marLeft w:val="0"/>
          <w:marRight w:val="0"/>
          <w:marTop w:val="0"/>
          <w:marBottom w:val="0"/>
          <w:divBdr>
            <w:top w:val="none" w:sz="0" w:space="0" w:color="auto"/>
            <w:left w:val="none" w:sz="0" w:space="0" w:color="auto"/>
            <w:bottom w:val="none" w:sz="0" w:space="0" w:color="auto"/>
            <w:right w:val="none" w:sz="0" w:space="0" w:color="auto"/>
          </w:divBdr>
        </w:div>
      </w:divsChild>
    </w:div>
    <w:div w:id="635136652">
      <w:bodyDiv w:val="1"/>
      <w:marLeft w:val="0"/>
      <w:marRight w:val="0"/>
      <w:marTop w:val="0"/>
      <w:marBottom w:val="0"/>
      <w:divBdr>
        <w:top w:val="none" w:sz="0" w:space="0" w:color="auto"/>
        <w:left w:val="none" w:sz="0" w:space="0" w:color="auto"/>
        <w:bottom w:val="none" w:sz="0" w:space="0" w:color="auto"/>
        <w:right w:val="none" w:sz="0" w:space="0" w:color="auto"/>
      </w:divBdr>
      <w:divsChild>
        <w:div w:id="1320882218">
          <w:marLeft w:val="0"/>
          <w:marRight w:val="0"/>
          <w:marTop w:val="0"/>
          <w:marBottom w:val="0"/>
          <w:divBdr>
            <w:top w:val="none" w:sz="0" w:space="0" w:color="auto"/>
            <w:left w:val="none" w:sz="0" w:space="0" w:color="auto"/>
            <w:bottom w:val="none" w:sz="0" w:space="0" w:color="auto"/>
            <w:right w:val="none" w:sz="0" w:space="0" w:color="auto"/>
          </w:divBdr>
        </w:div>
      </w:divsChild>
    </w:div>
    <w:div w:id="726684323">
      <w:bodyDiv w:val="1"/>
      <w:marLeft w:val="0"/>
      <w:marRight w:val="0"/>
      <w:marTop w:val="0"/>
      <w:marBottom w:val="0"/>
      <w:divBdr>
        <w:top w:val="none" w:sz="0" w:space="0" w:color="auto"/>
        <w:left w:val="none" w:sz="0" w:space="0" w:color="auto"/>
        <w:bottom w:val="none" w:sz="0" w:space="0" w:color="auto"/>
        <w:right w:val="none" w:sz="0" w:space="0" w:color="auto"/>
      </w:divBdr>
    </w:div>
    <w:div w:id="739403204">
      <w:bodyDiv w:val="1"/>
      <w:marLeft w:val="0"/>
      <w:marRight w:val="0"/>
      <w:marTop w:val="0"/>
      <w:marBottom w:val="0"/>
      <w:divBdr>
        <w:top w:val="none" w:sz="0" w:space="0" w:color="auto"/>
        <w:left w:val="none" w:sz="0" w:space="0" w:color="auto"/>
        <w:bottom w:val="none" w:sz="0" w:space="0" w:color="auto"/>
        <w:right w:val="none" w:sz="0" w:space="0" w:color="auto"/>
      </w:divBdr>
      <w:divsChild>
        <w:div w:id="1262834605">
          <w:marLeft w:val="0"/>
          <w:marRight w:val="0"/>
          <w:marTop w:val="0"/>
          <w:marBottom w:val="0"/>
          <w:divBdr>
            <w:top w:val="none" w:sz="0" w:space="0" w:color="auto"/>
            <w:left w:val="none" w:sz="0" w:space="0" w:color="auto"/>
            <w:bottom w:val="none" w:sz="0" w:space="0" w:color="auto"/>
            <w:right w:val="none" w:sz="0" w:space="0" w:color="auto"/>
          </w:divBdr>
        </w:div>
      </w:divsChild>
    </w:div>
    <w:div w:id="807749917">
      <w:bodyDiv w:val="1"/>
      <w:marLeft w:val="0"/>
      <w:marRight w:val="0"/>
      <w:marTop w:val="0"/>
      <w:marBottom w:val="0"/>
      <w:divBdr>
        <w:top w:val="none" w:sz="0" w:space="0" w:color="auto"/>
        <w:left w:val="none" w:sz="0" w:space="0" w:color="auto"/>
        <w:bottom w:val="none" w:sz="0" w:space="0" w:color="auto"/>
        <w:right w:val="none" w:sz="0" w:space="0" w:color="auto"/>
      </w:divBdr>
    </w:div>
    <w:div w:id="953946555">
      <w:bodyDiv w:val="1"/>
      <w:marLeft w:val="0"/>
      <w:marRight w:val="0"/>
      <w:marTop w:val="0"/>
      <w:marBottom w:val="0"/>
      <w:divBdr>
        <w:top w:val="none" w:sz="0" w:space="0" w:color="auto"/>
        <w:left w:val="none" w:sz="0" w:space="0" w:color="auto"/>
        <w:bottom w:val="none" w:sz="0" w:space="0" w:color="auto"/>
        <w:right w:val="none" w:sz="0" w:space="0" w:color="auto"/>
      </w:divBdr>
    </w:div>
    <w:div w:id="1016228101">
      <w:bodyDiv w:val="1"/>
      <w:marLeft w:val="0"/>
      <w:marRight w:val="0"/>
      <w:marTop w:val="0"/>
      <w:marBottom w:val="0"/>
      <w:divBdr>
        <w:top w:val="none" w:sz="0" w:space="0" w:color="auto"/>
        <w:left w:val="none" w:sz="0" w:space="0" w:color="auto"/>
        <w:bottom w:val="none" w:sz="0" w:space="0" w:color="auto"/>
        <w:right w:val="none" w:sz="0" w:space="0" w:color="auto"/>
      </w:divBdr>
      <w:divsChild>
        <w:div w:id="169878645">
          <w:marLeft w:val="0"/>
          <w:marRight w:val="0"/>
          <w:marTop w:val="0"/>
          <w:marBottom w:val="0"/>
          <w:divBdr>
            <w:top w:val="none" w:sz="0" w:space="0" w:color="auto"/>
            <w:left w:val="none" w:sz="0" w:space="0" w:color="auto"/>
            <w:bottom w:val="none" w:sz="0" w:space="0" w:color="auto"/>
            <w:right w:val="none" w:sz="0" w:space="0" w:color="auto"/>
          </w:divBdr>
        </w:div>
      </w:divsChild>
    </w:div>
    <w:div w:id="1052271062">
      <w:bodyDiv w:val="1"/>
      <w:marLeft w:val="0"/>
      <w:marRight w:val="0"/>
      <w:marTop w:val="0"/>
      <w:marBottom w:val="0"/>
      <w:divBdr>
        <w:top w:val="none" w:sz="0" w:space="0" w:color="auto"/>
        <w:left w:val="none" w:sz="0" w:space="0" w:color="auto"/>
        <w:bottom w:val="none" w:sz="0" w:space="0" w:color="auto"/>
        <w:right w:val="none" w:sz="0" w:space="0" w:color="auto"/>
      </w:divBdr>
    </w:div>
    <w:div w:id="1152523809">
      <w:bodyDiv w:val="1"/>
      <w:marLeft w:val="0"/>
      <w:marRight w:val="0"/>
      <w:marTop w:val="0"/>
      <w:marBottom w:val="0"/>
      <w:divBdr>
        <w:top w:val="none" w:sz="0" w:space="0" w:color="auto"/>
        <w:left w:val="none" w:sz="0" w:space="0" w:color="auto"/>
        <w:bottom w:val="none" w:sz="0" w:space="0" w:color="auto"/>
        <w:right w:val="none" w:sz="0" w:space="0" w:color="auto"/>
      </w:divBdr>
      <w:divsChild>
        <w:div w:id="1927301701">
          <w:marLeft w:val="0"/>
          <w:marRight w:val="0"/>
          <w:marTop w:val="0"/>
          <w:marBottom w:val="0"/>
          <w:divBdr>
            <w:top w:val="none" w:sz="0" w:space="0" w:color="auto"/>
            <w:left w:val="none" w:sz="0" w:space="0" w:color="auto"/>
            <w:bottom w:val="none" w:sz="0" w:space="0" w:color="auto"/>
            <w:right w:val="none" w:sz="0" w:space="0" w:color="auto"/>
          </w:divBdr>
        </w:div>
      </w:divsChild>
    </w:div>
    <w:div w:id="1524594963">
      <w:bodyDiv w:val="1"/>
      <w:marLeft w:val="0"/>
      <w:marRight w:val="0"/>
      <w:marTop w:val="0"/>
      <w:marBottom w:val="0"/>
      <w:divBdr>
        <w:top w:val="none" w:sz="0" w:space="0" w:color="auto"/>
        <w:left w:val="none" w:sz="0" w:space="0" w:color="auto"/>
        <w:bottom w:val="none" w:sz="0" w:space="0" w:color="auto"/>
        <w:right w:val="none" w:sz="0" w:space="0" w:color="auto"/>
      </w:divBdr>
    </w:div>
    <w:div w:id="1555699999">
      <w:bodyDiv w:val="1"/>
      <w:marLeft w:val="0"/>
      <w:marRight w:val="0"/>
      <w:marTop w:val="0"/>
      <w:marBottom w:val="0"/>
      <w:divBdr>
        <w:top w:val="none" w:sz="0" w:space="0" w:color="auto"/>
        <w:left w:val="none" w:sz="0" w:space="0" w:color="auto"/>
        <w:bottom w:val="none" w:sz="0" w:space="0" w:color="auto"/>
        <w:right w:val="none" w:sz="0" w:space="0" w:color="auto"/>
      </w:divBdr>
      <w:divsChild>
        <w:div w:id="1542133904">
          <w:marLeft w:val="0"/>
          <w:marRight w:val="0"/>
          <w:marTop w:val="0"/>
          <w:marBottom w:val="0"/>
          <w:divBdr>
            <w:top w:val="none" w:sz="0" w:space="0" w:color="auto"/>
            <w:left w:val="none" w:sz="0" w:space="0" w:color="auto"/>
            <w:bottom w:val="none" w:sz="0" w:space="0" w:color="auto"/>
            <w:right w:val="none" w:sz="0" w:space="0" w:color="auto"/>
          </w:divBdr>
        </w:div>
      </w:divsChild>
    </w:div>
    <w:div w:id="1698002612">
      <w:bodyDiv w:val="1"/>
      <w:marLeft w:val="0"/>
      <w:marRight w:val="0"/>
      <w:marTop w:val="0"/>
      <w:marBottom w:val="0"/>
      <w:divBdr>
        <w:top w:val="none" w:sz="0" w:space="0" w:color="auto"/>
        <w:left w:val="none" w:sz="0" w:space="0" w:color="auto"/>
        <w:bottom w:val="none" w:sz="0" w:space="0" w:color="auto"/>
        <w:right w:val="none" w:sz="0" w:space="0" w:color="auto"/>
      </w:divBdr>
    </w:div>
    <w:div w:id="1702969485">
      <w:bodyDiv w:val="1"/>
      <w:marLeft w:val="0"/>
      <w:marRight w:val="0"/>
      <w:marTop w:val="0"/>
      <w:marBottom w:val="0"/>
      <w:divBdr>
        <w:top w:val="none" w:sz="0" w:space="0" w:color="auto"/>
        <w:left w:val="none" w:sz="0" w:space="0" w:color="auto"/>
        <w:bottom w:val="none" w:sz="0" w:space="0" w:color="auto"/>
        <w:right w:val="none" w:sz="0" w:space="0" w:color="auto"/>
      </w:divBdr>
    </w:div>
    <w:div w:id="1804616416">
      <w:bodyDiv w:val="1"/>
      <w:marLeft w:val="0"/>
      <w:marRight w:val="0"/>
      <w:marTop w:val="0"/>
      <w:marBottom w:val="0"/>
      <w:divBdr>
        <w:top w:val="none" w:sz="0" w:space="0" w:color="auto"/>
        <w:left w:val="none" w:sz="0" w:space="0" w:color="auto"/>
        <w:bottom w:val="none" w:sz="0" w:space="0" w:color="auto"/>
        <w:right w:val="none" w:sz="0" w:space="0" w:color="auto"/>
      </w:divBdr>
    </w:div>
    <w:div w:id="1868521248">
      <w:bodyDiv w:val="1"/>
      <w:marLeft w:val="0"/>
      <w:marRight w:val="0"/>
      <w:marTop w:val="0"/>
      <w:marBottom w:val="0"/>
      <w:divBdr>
        <w:top w:val="none" w:sz="0" w:space="0" w:color="auto"/>
        <w:left w:val="none" w:sz="0" w:space="0" w:color="auto"/>
        <w:bottom w:val="none" w:sz="0" w:space="0" w:color="auto"/>
        <w:right w:val="none" w:sz="0" w:space="0" w:color="auto"/>
      </w:divBdr>
    </w:div>
    <w:div w:id="1904755852">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4292388">
      <w:bodyDiv w:val="1"/>
      <w:marLeft w:val="0"/>
      <w:marRight w:val="0"/>
      <w:marTop w:val="0"/>
      <w:marBottom w:val="0"/>
      <w:divBdr>
        <w:top w:val="none" w:sz="0" w:space="0" w:color="auto"/>
        <w:left w:val="none" w:sz="0" w:space="0" w:color="auto"/>
        <w:bottom w:val="none" w:sz="0" w:space="0" w:color="auto"/>
        <w:right w:val="none" w:sz="0" w:space="0" w:color="auto"/>
      </w:divBdr>
      <w:divsChild>
        <w:div w:id="1632009668">
          <w:marLeft w:val="0"/>
          <w:marRight w:val="0"/>
          <w:marTop w:val="0"/>
          <w:marBottom w:val="0"/>
          <w:divBdr>
            <w:top w:val="none" w:sz="0" w:space="0" w:color="auto"/>
            <w:left w:val="none" w:sz="0" w:space="0" w:color="auto"/>
            <w:bottom w:val="none" w:sz="0" w:space="0" w:color="auto"/>
            <w:right w:val="none" w:sz="0" w:space="0" w:color="auto"/>
          </w:divBdr>
        </w:div>
      </w:divsChild>
    </w:div>
    <w:div w:id="1997148000">
      <w:bodyDiv w:val="1"/>
      <w:marLeft w:val="0"/>
      <w:marRight w:val="0"/>
      <w:marTop w:val="0"/>
      <w:marBottom w:val="0"/>
      <w:divBdr>
        <w:top w:val="none" w:sz="0" w:space="0" w:color="auto"/>
        <w:left w:val="none" w:sz="0" w:space="0" w:color="auto"/>
        <w:bottom w:val="none" w:sz="0" w:space="0" w:color="auto"/>
        <w:right w:val="none" w:sz="0" w:space="0" w:color="auto"/>
      </w:divBdr>
      <w:divsChild>
        <w:div w:id="355156906">
          <w:marLeft w:val="0"/>
          <w:marRight w:val="0"/>
          <w:marTop w:val="0"/>
          <w:marBottom w:val="0"/>
          <w:divBdr>
            <w:top w:val="none" w:sz="0" w:space="0" w:color="auto"/>
            <w:left w:val="none" w:sz="0" w:space="0" w:color="auto"/>
            <w:bottom w:val="none" w:sz="0" w:space="0" w:color="auto"/>
            <w:right w:val="none" w:sz="0" w:space="0" w:color="auto"/>
          </w:divBdr>
        </w:div>
      </w:divsChild>
    </w:div>
    <w:div w:id="206100700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sChild>
        <w:div w:id="136944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9B25-C380-4EED-9F0F-E1D0B3B0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Kumi</dc:creator>
  <cp:lastModifiedBy>Jeanne Moncada</cp:lastModifiedBy>
  <cp:revision>2</cp:revision>
  <cp:lastPrinted>2018-09-12T15:00:00Z</cp:lastPrinted>
  <dcterms:created xsi:type="dcterms:W3CDTF">2020-05-27T19:53:00Z</dcterms:created>
  <dcterms:modified xsi:type="dcterms:W3CDTF">2020-05-27T19:53:00Z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http://www.zotero.org/styles/journal-of-the-international-aids-society</vt:lpwstr>
  </property>
  <property fmtid="{D5CDD505-2E9C-101B-9397-08002B2CF9AE}" pid="17" name="Mendeley Recent Style Name 6_1">
    <vt:lpwstr>Journal of the International AIDS Society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0d1131cb-085b-3413-b81b-96a700a418ba</vt:lpwstr>
  </property>
</Properties>
</file>