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37" w:rsidRDefault="00563537" w:rsidP="0056353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11726">
        <w:rPr>
          <w:rFonts w:ascii="Times New Roman" w:hAnsi="Times New Roman" w:cs="Times New Roman"/>
          <w:sz w:val="28"/>
          <w:szCs w:val="28"/>
          <w:lang w:val="en-GB"/>
        </w:rPr>
        <w:t xml:space="preserve">Supplementary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files </w:t>
      </w:r>
    </w:p>
    <w:p w:rsidR="00563537" w:rsidRPr="00711726" w:rsidRDefault="00563537" w:rsidP="0056353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63537" w:rsidRDefault="00563537" w:rsidP="005635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Supplementary table I. </w:t>
      </w:r>
      <w:r w:rsidRPr="00471B71">
        <w:rPr>
          <w:rFonts w:ascii="Times New Roman" w:hAnsi="Times New Roman" w:cs="Times New Roman"/>
          <w:lang w:val="en-GB"/>
        </w:rPr>
        <w:t>Differences in pregnancy rate since sexual debut and time to pregnancy between chlamydia negative, positive and positive only by serology women</w:t>
      </w:r>
      <w:r>
        <w:rPr>
          <w:rFonts w:ascii="Times New Roman" w:hAnsi="Times New Roman" w:cs="Times New Roman"/>
          <w:lang w:val="en-GB"/>
        </w:rPr>
        <w:t>.</w:t>
      </w:r>
    </w:p>
    <w:p w:rsidR="00B26BD6" w:rsidRPr="003C1A97" w:rsidRDefault="00B26BD6" w:rsidP="003C1A9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en-GB"/>
        </w:rPr>
      </w:pPr>
      <w:r w:rsidRPr="0076141E">
        <w:rPr>
          <w:rFonts w:ascii="Times New Roman" w:hAnsi="Times New Roman" w:cs="Times New Roman"/>
          <w:lang w:val="en-GB"/>
        </w:rPr>
        <w:t>Supplementary Table 2. Differences in pregnancy rate since sexual debut and time to pregnancy between chlamydia negative, positive by CSI-NAAT, positive by chlamydia IgG presences or positive by self-reported infection.</w:t>
      </w:r>
    </w:p>
    <w:p w:rsidR="00563537" w:rsidRPr="00F236F2" w:rsidRDefault="00563537" w:rsidP="0056353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 f</w:t>
      </w:r>
      <w:r w:rsidRPr="00F236F2">
        <w:rPr>
          <w:rFonts w:ascii="Times New Roman" w:hAnsi="Times New Roman" w:cs="Times New Roman"/>
          <w:lang w:val="en-GB"/>
        </w:rPr>
        <w:t xml:space="preserve">igure 1. Forest plot of various sensitivity analyses of the risk for pregnancy following sexual debut between chlamydia positive and chlamydia negative women in hazard ratio’s and 95%CI. Diamond shape = overall </w:t>
      </w:r>
      <w:proofErr w:type="spellStart"/>
      <w:r w:rsidRPr="00F236F2">
        <w:rPr>
          <w:rFonts w:ascii="Times New Roman" w:hAnsi="Times New Roman" w:cs="Times New Roman"/>
          <w:lang w:val="en-GB"/>
        </w:rPr>
        <w:t>aHR</w:t>
      </w:r>
      <w:proofErr w:type="spellEnd"/>
      <w:r w:rsidRPr="00F236F2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F236F2">
        <w:rPr>
          <w:rFonts w:ascii="Times New Roman" w:hAnsi="Times New Roman" w:cs="Times New Roman"/>
          <w:lang w:val="en-GB"/>
        </w:rPr>
        <w:t>aHR</w:t>
      </w:r>
      <w:proofErr w:type="spellEnd"/>
      <w:r w:rsidRPr="00F236F2">
        <w:rPr>
          <w:rFonts w:ascii="Times New Roman" w:hAnsi="Times New Roman" w:cs="Times New Roman"/>
          <w:lang w:val="en-GB"/>
        </w:rPr>
        <w:t xml:space="preserve"> = adjusted hazard ratio. CI = confidence interval.</w:t>
      </w:r>
    </w:p>
    <w:p w:rsidR="00563537" w:rsidRPr="00FC0475" w:rsidRDefault="00563537" w:rsidP="0056353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 f</w:t>
      </w:r>
      <w:r w:rsidRPr="00F236F2">
        <w:rPr>
          <w:rFonts w:ascii="Times New Roman" w:hAnsi="Times New Roman" w:cs="Times New Roman"/>
          <w:lang w:val="en-GB"/>
        </w:rPr>
        <w:t xml:space="preserve">igure 2 Forest plot of various sensitivity analyses of the chance for a pregnancy between chlamydia positive and chlamydia negative women with a pregnancy wish in hazard ratio’s and 95%CI. Diamond shape = overall </w:t>
      </w:r>
      <w:proofErr w:type="spellStart"/>
      <w:r w:rsidRPr="00F236F2">
        <w:rPr>
          <w:rFonts w:ascii="Times New Roman" w:hAnsi="Times New Roman" w:cs="Times New Roman"/>
          <w:lang w:val="en-GB"/>
        </w:rPr>
        <w:t>aHR</w:t>
      </w:r>
      <w:proofErr w:type="spellEnd"/>
      <w:r w:rsidRPr="00F236F2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F236F2">
        <w:rPr>
          <w:rFonts w:ascii="Times New Roman" w:hAnsi="Times New Roman" w:cs="Times New Roman"/>
          <w:lang w:val="en-GB"/>
        </w:rPr>
        <w:t>aHR</w:t>
      </w:r>
      <w:proofErr w:type="spellEnd"/>
      <w:r w:rsidRPr="00F236F2">
        <w:rPr>
          <w:rFonts w:ascii="Times New Roman" w:hAnsi="Times New Roman" w:cs="Times New Roman"/>
          <w:lang w:val="en-GB"/>
        </w:rPr>
        <w:t xml:space="preserve"> = hazard ratio. CI = confidence interval.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04CC" wp14:editId="2C23D4A3">
                <wp:simplePos x="0" y="0"/>
                <wp:positionH relativeFrom="column">
                  <wp:posOffset>1949570</wp:posOffset>
                </wp:positionH>
                <wp:positionV relativeFrom="paragraph">
                  <wp:posOffset>1380226</wp:posOffset>
                </wp:positionV>
                <wp:extent cx="293298" cy="146649"/>
                <wp:effectExtent l="0" t="0" r="1206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466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90B1C" id="Rectangle 7" o:spid="_x0000_s1026" style="position:absolute;margin-left:153.5pt;margin-top:108.7pt;width:23.1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POdQIAAEkFAAAOAAAAZHJzL2Uyb0RvYy54bWysVE1vGyEQvVfqf0Dcm/W6bhJbWUdWolSV&#10;osRKUuWMWbBRgaGAvXZ/fQf2w1Ya9VD1wjI7780wwxuurvdGk53wQYGtaHk2okRYDrWy64p+f7n7&#10;dElJiMzWTIMVFT2IQK/nHz9cNW4mxrABXQtPMIgNs8ZVdBOjmxVF4BthWDgDJyw6JXjDIpp+XdSe&#10;NRjd6GI8Gp0XDfjaeeAiBPx72zrpPMeXUvD4KGUQkeiK4tliXn1eV2kt5ldstvbMbRTvjsH+4RSG&#10;KYtJh1C3LDKy9eqPUEZxDwFkPONgCpBScZFrwGrK0ZtqnjfMiVwLNie4oU3h/4XlD7ulJ6qu6AUl&#10;lhm8oidsGrNrLchFak/jwgxRz27pOyvgNtW6l96kL1ZB9rmlh6GlYh8Jx5/j6efxFDXA0VVOzs8n&#10;0xSzOJKdD/GrAEPSpqIek+dGst19iC20h6Rc2qY1gFb1ndI6G0kr4kZ7smN4y6t12aU4QWHCxCxS&#10;Me3x8y4etGijPgmJXUgHztmz/o4x6x99TG0RmSgSsw+k8j2Sjj2pwyaayJociKP3iMdsAzpnBBsH&#10;olEW/N/JssX3Vbe1prJXUB/w0j200xAcv1PY/HsW4pJ5lD8OCo50fMRFamgqCt2Okg34X+/9T3hU&#10;JXopaXCcKhp+bpkXlOhvFvU6LSeTNH/ZmHy5GKPhTz2rU4/dmhvAuyzx8XA8bxM+6n4rPZhXnPxF&#10;yoouZjnmriiPvjduYjvm+HZwsVhkGM6cY/HePjuegqeuJnG97F+Zd50CI0r3AfrRY7M3QmyxiWlh&#10;sY0gVVbpsa9dv3Fes867tyU9CKd2Rh1fwPlvAAAA//8DAFBLAwQUAAYACAAAACEAR1Ha8d4AAAAL&#10;AQAADwAAAGRycy9kb3ducmV2LnhtbEyPwU7DMBBE70j8g7VI3Kgdp6UoxKkiEBLXFC7c3NgkEfY6&#10;td02/D3LCY6zM5p9U+8W79jZxjQFVFCsBDCLfTATDgre317uHoClrNFoF9Aq+LYJds31Va0rEy7Y&#10;2fM+D4xKMFVawZjzXHGe+tF6nVZhtkjeZ4heZ5Jx4CbqC5V7x6UQ99zrCenDqGf7NNr+a3/yCp5d&#10;W3yEI7b6NXfHYYqyW6JU6vZmaR+BZbvkvzD84hM6NMR0CCc0iTkFpdjSlqxAFts1MEqUm1ICO9Bl&#10;LTbAm5r/39D8AAAA//8DAFBLAQItABQABgAIAAAAIQC2gziS/gAAAOEBAAATAAAAAAAAAAAAAAAA&#10;AAAAAABbQ29udGVudF9UeXBlc10ueG1sUEsBAi0AFAAGAAgAAAAhADj9If/WAAAAlAEAAAsAAAAA&#10;AAAAAAAAAAAALwEAAF9yZWxzLy5yZWxzUEsBAi0AFAAGAAgAAAAhAEWVA851AgAASQUAAA4AAAAA&#10;AAAAAAAAAAAALgIAAGRycy9lMm9Eb2MueG1sUEsBAi0AFAAGAAgAAAAhAEdR2vHeAAAACwEAAA8A&#10;AAAAAAAAAAAAAAAAzwQAAGRycy9kb3ducmV2LnhtbFBLBQYAAAAABAAEAPMAAADaBQAAAAA=&#10;" fillcolor="white [3201]" strokecolor="white [3212]" strokeweight="1pt"/>
            </w:pict>
          </mc:Fallback>
        </mc:AlternateContent>
      </w:r>
      <w:r w:rsidRPr="00FC047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563537" w:rsidRPr="00D82A29" w:rsidRDefault="00563537" w:rsidP="00D82A29">
      <w:pPr>
        <w:spacing w:after="0" w:line="480" w:lineRule="auto"/>
        <w:ind w:left="360"/>
        <w:jc w:val="both"/>
        <w:rPr>
          <w:rFonts w:ascii="Times New Roman" w:hAnsi="Times New Roman" w:cs="Times New Roman"/>
          <w:lang w:val="en-GB"/>
        </w:rPr>
      </w:pPr>
    </w:p>
    <w:p w:rsidR="00563537" w:rsidRDefault="00563537" w:rsidP="00563537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563537" w:rsidRPr="00044B93" w:rsidRDefault="00563537" w:rsidP="00563537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Table 1</w:t>
      </w:r>
      <w:r w:rsidRPr="00044B93">
        <w:rPr>
          <w:rFonts w:ascii="Times New Roman" w:hAnsi="Times New Roman" w:cs="Times New Roman"/>
          <w:b/>
          <w:lang w:val="en-GB"/>
        </w:rPr>
        <w:t xml:space="preserve">. </w:t>
      </w:r>
      <w:r>
        <w:rPr>
          <w:rFonts w:ascii="Times New Roman" w:hAnsi="Times New Roman" w:cs="Times New Roman"/>
          <w:b/>
          <w:lang w:val="en-GB"/>
        </w:rPr>
        <w:t>Differences in pregnancy rate since sexual debut and t</w:t>
      </w:r>
      <w:r w:rsidRPr="00044B93">
        <w:rPr>
          <w:rFonts w:ascii="Times New Roman" w:hAnsi="Times New Roman" w:cs="Times New Roman"/>
          <w:b/>
          <w:lang w:val="en-GB"/>
        </w:rPr>
        <w:t>ime to pregnancy between chlamydia negative</w:t>
      </w:r>
      <w:r>
        <w:rPr>
          <w:rFonts w:ascii="Times New Roman" w:hAnsi="Times New Roman" w:cs="Times New Roman"/>
          <w:b/>
          <w:lang w:val="en-GB"/>
        </w:rPr>
        <w:t>, positive and positive only by serology</w:t>
      </w:r>
      <w:r w:rsidRPr="00044B93">
        <w:rPr>
          <w:rFonts w:ascii="Times New Roman" w:hAnsi="Times New Roman" w:cs="Times New Roman"/>
          <w:b/>
          <w:lang w:val="en-GB"/>
        </w:rPr>
        <w:t xml:space="preserve"> women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00"/>
        <w:gridCol w:w="2036"/>
        <w:gridCol w:w="1828"/>
        <w:gridCol w:w="1880"/>
        <w:gridCol w:w="1870"/>
      </w:tblGrid>
      <w:tr w:rsidR="00563537" w:rsidRPr="009724F9" w:rsidTr="0076141E">
        <w:tc>
          <w:tcPr>
            <w:tcW w:w="1736" w:type="dxa"/>
            <w:gridSpan w:val="2"/>
            <w:tcBorders>
              <w:top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Hlk37922855"/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78" w:type="dxa"/>
            <w:gridSpan w:val="3"/>
            <w:tcBorders>
              <w:top w:val="single" w:sz="4" w:space="0" w:color="auto"/>
            </w:tcBorders>
            <w:vAlign w:val="center"/>
          </w:tcPr>
          <w:p w:rsidR="00563537" w:rsidRPr="009724F9" w:rsidRDefault="00563537" w:rsidP="007614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Hazard Ratio</w:t>
            </w:r>
          </w:p>
        </w:tc>
      </w:tr>
      <w:tr w:rsidR="00563537" w:rsidRPr="009724F9" w:rsidTr="0076141E">
        <w:tc>
          <w:tcPr>
            <w:tcW w:w="3772" w:type="dxa"/>
            <w:gridSpan w:val="3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Pregnancies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724F9">
              <w:rPr>
                <w:rFonts w:ascii="Times New Roman" w:hAnsi="Times New Roman" w:cs="Times New Roman"/>
                <w:sz w:val="18"/>
                <w:szCs w:val="18"/>
              </w:rPr>
              <w:t>aHR</w:t>
            </w:r>
            <w:proofErr w:type="spellEnd"/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</w:rPr>
              <w:t>95%CI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</w:rPr>
              <w:t xml:space="preserve">p-value </w:t>
            </w:r>
          </w:p>
        </w:tc>
      </w:tr>
      <w:bookmarkEnd w:id="0"/>
      <w:tr w:rsidR="00563537" w:rsidRPr="009724F9" w:rsidTr="0076141E">
        <w:tc>
          <w:tcPr>
            <w:tcW w:w="3772" w:type="dxa"/>
            <w:gridSpan w:val="3"/>
            <w:tcBorders>
              <w:top w:val="single" w:sz="4" w:space="0" w:color="auto"/>
            </w:tcBorders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21908">
              <w:rPr>
                <w:rFonts w:ascii="Times New Roman" w:hAnsi="Times New Roman"/>
                <w:b/>
                <w:sz w:val="18"/>
              </w:rPr>
              <w:t>Years</w:t>
            </w:r>
            <w:proofErr w:type="spellEnd"/>
            <w:r w:rsidRPr="00F21908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21908">
              <w:rPr>
                <w:rFonts w:ascii="Times New Roman" w:hAnsi="Times New Roman"/>
                <w:b/>
                <w:sz w:val="18"/>
              </w:rPr>
              <w:t>following</w:t>
            </w:r>
            <w:proofErr w:type="spellEnd"/>
            <w:r w:rsidRPr="00F21908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21908">
              <w:rPr>
                <w:rFonts w:ascii="Times New Roman" w:hAnsi="Times New Roman"/>
                <w:b/>
                <w:sz w:val="18"/>
              </w:rPr>
              <w:t>sexual</w:t>
            </w:r>
            <w:proofErr w:type="spellEnd"/>
            <w:r w:rsidRPr="00F21908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F21908">
              <w:rPr>
                <w:rFonts w:ascii="Times New Roman" w:hAnsi="Times New Roman"/>
                <w:b/>
                <w:sz w:val="18"/>
              </w:rPr>
              <w:t>debut</w:t>
            </w:r>
            <w:proofErr w:type="spellEnd"/>
            <w:r w:rsidRPr="00F21908">
              <w:rPr>
                <w:rFonts w:ascii="Times New Roman" w:hAnsi="Times New Roman"/>
                <w:b/>
                <w:sz w:val="18"/>
              </w:rPr>
              <w:t xml:space="preserve"> 0-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  <w:r w:rsidRPr="00F219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3.85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following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sexual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debut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-10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following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sexual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debut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0.95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following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sexual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debut</w:t>
            </w:r>
            <w:proofErr w:type="spellEnd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-23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1.02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.88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3537" w:rsidRPr="009724F9" w:rsidRDefault="00563537" w:rsidP="00761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Time to pregnancy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3772" w:type="dxa"/>
            <w:gridSpan w:val="3"/>
            <w:vAlign w:val="center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Age 16-29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0.91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1.94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Age 30-32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563537" w:rsidRPr="009724F9" w:rsidTr="0076141E">
        <w:tc>
          <w:tcPr>
            <w:tcW w:w="3772" w:type="dxa"/>
            <w:gridSpan w:val="3"/>
          </w:tcPr>
          <w:p w:rsidR="00563537" w:rsidRPr="009724F9" w:rsidRDefault="00563537" w:rsidP="0056353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Age 33-39 </w:t>
            </w:r>
            <w:proofErr w:type="spellStart"/>
            <w:r w:rsidRPr="009724F9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63537" w:rsidRPr="009724F9" w:rsidTr="0076141E">
        <w:tc>
          <w:tcPr>
            <w:tcW w:w="236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1828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8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70" w:type="dxa"/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</w:tr>
      <w:tr w:rsidR="00563537" w:rsidRPr="009724F9" w:rsidTr="0076141E">
        <w:tc>
          <w:tcPr>
            <w:tcW w:w="236" w:type="dxa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seropositive only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63537" w:rsidRPr="009724F9" w:rsidRDefault="00563537" w:rsidP="0076141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724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</w:tr>
    </w:tbl>
    <w:p w:rsidR="00563537" w:rsidRDefault="00563537" w:rsidP="00563537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B3118B">
        <w:rPr>
          <w:rFonts w:ascii="Times New Roman" w:hAnsi="Times New Roman" w:cs="Times New Roman"/>
          <w:sz w:val="18"/>
          <w:szCs w:val="18"/>
          <w:lang w:val="en-GB"/>
        </w:rPr>
        <w:t xml:space="preserve">Chlamydia positive was defined as </w:t>
      </w:r>
      <w:r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a positive 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>NAAT</w:t>
      </w:r>
      <w:r w:rsidRPr="00B3118B">
        <w:rPr>
          <w:rFonts w:ascii="Times New Roman" w:hAnsi="Times New Roman" w:cs="Times New Roman"/>
          <w:iCs/>
          <w:sz w:val="18"/>
          <w:szCs w:val="18"/>
          <w:lang w:val="en-GB"/>
        </w:rPr>
        <w:t>-test outcome in the CSI study (CSI-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>NAAT</w:t>
      </w:r>
      <w:r w:rsidRPr="00B3118B">
        <w:rPr>
          <w:rFonts w:ascii="Times New Roman" w:hAnsi="Times New Roman" w:cs="Times New Roman"/>
          <w:iCs/>
          <w:sz w:val="18"/>
          <w:szCs w:val="18"/>
          <w:lang w:val="en-GB"/>
        </w:rPr>
        <w:t>), the presence of chlamydia IgG or a self-reported chlamydia infection.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Chlamydia seropositive only was defined as being positive for chlamydia IgG, but not by self-report or by NAAT test outcome in the CSI study. </w:t>
      </w:r>
      <w:r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For these analyses, multiple imputations were used to estimate time of first chlamydia infection in women without a known first year of chlamydia infection.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Models 1-4 were adjusted for age, education level, migration background and number of lifetime partners. Models 5-7 were adjusted for age at first planned pregnancy/age at trying to become pregnant and migration background. </w:t>
      </w:r>
      <w:r w:rsidRPr="00B3118B">
        <w:rPr>
          <w:rFonts w:ascii="Times New Roman" w:hAnsi="Times New Roman" w:cs="Times New Roman"/>
          <w:sz w:val="18"/>
          <w:szCs w:val="18"/>
          <w:lang w:val="en-GB"/>
        </w:rPr>
        <w:t>HR = Hazard Ratio. CI = Confidence Interval.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aHR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 = adjusted Hazard Ratio.</w:t>
      </w:r>
    </w:p>
    <w:p w:rsidR="00563537" w:rsidRDefault="00563537" w:rsidP="0056353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63537" w:rsidRPr="009B081A" w:rsidRDefault="00563537" w:rsidP="00563537">
      <w:pPr>
        <w:pStyle w:val="ListParagraph"/>
        <w:rPr>
          <w:rFonts w:ascii="Times New Roman" w:hAnsi="Times New Roman" w:cs="Times New Roman"/>
          <w:lang w:val="en-GB"/>
        </w:rPr>
      </w:pPr>
    </w:p>
    <w:p w:rsidR="007617D8" w:rsidRDefault="007617D8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B26BD6" w:rsidRDefault="00B26BD6" w:rsidP="00B26BD6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Supplementary Table 2</w:t>
      </w:r>
      <w:r w:rsidRPr="00044B93">
        <w:rPr>
          <w:rFonts w:ascii="Times New Roman" w:hAnsi="Times New Roman" w:cs="Times New Roman"/>
          <w:b/>
          <w:lang w:val="en-GB"/>
        </w:rPr>
        <w:t xml:space="preserve">. </w:t>
      </w:r>
      <w:r>
        <w:rPr>
          <w:rFonts w:ascii="Times New Roman" w:hAnsi="Times New Roman" w:cs="Times New Roman"/>
          <w:b/>
          <w:lang w:val="en-GB"/>
        </w:rPr>
        <w:t>Differences in pregnancy rate since sexual debut and t</w:t>
      </w:r>
      <w:r w:rsidRPr="00044B93">
        <w:rPr>
          <w:rFonts w:ascii="Times New Roman" w:hAnsi="Times New Roman" w:cs="Times New Roman"/>
          <w:b/>
          <w:lang w:val="en-GB"/>
        </w:rPr>
        <w:t>ime to pregnancy between chlamydia negative</w:t>
      </w:r>
      <w:r>
        <w:rPr>
          <w:rFonts w:ascii="Times New Roman" w:hAnsi="Times New Roman" w:cs="Times New Roman"/>
          <w:b/>
          <w:lang w:val="en-GB"/>
        </w:rPr>
        <w:t>, positive by CSI-NAAT, positive by chlamydia IgG presences or positive by self-reported infection.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2555"/>
        <w:gridCol w:w="546"/>
        <w:gridCol w:w="906"/>
        <w:gridCol w:w="766"/>
        <w:gridCol w:w="222"/>
        <w:gridCol w:w="1661"/>
        <w:gridCol w:w="546"/>
        <w:gridCol w:w="906"/>
        <w:gridCol w:w="766"/>
      </w:tblGrid>
      <w:tr w:rsidR="00B26BD6" w:rsidTr="00E0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  <w:bottom w:val="none" w:sz="0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one" w:sz="0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Hazard Ratio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one" w:sz="0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one" w:sz="0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Hazard Ratio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Pregnancies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aHR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aHR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95%CI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</w:tcPr>
          <w:p w:rsidR="00B26BD6" w:rsidRPr="003C1A97" w:rsidRDefault="00B26BD6" w:rsidP="00C774C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1A97">
              <w:rPr>
                <w:rFonts w:ascii="Times New Roman" w:hAnsi="Times New Roman" w:cs="Times New Roman"/>
                <w:sz w:val="18"/>
                <w:szCs w:val="18"/>
              </w:rPr>
              <w:t>Years following sexual debut 0-6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-1.8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1.36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0.99-1.87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0.06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1.90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1.23-2.93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1.50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1.17-1.91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C774C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1A97">
              <w:rPr>
                <w:rFonts w:ascii="Times New Roman" w:hAnsi="Times New Roman" w:cs="Times New Roman"/>
                <w:sz w:val="18"/>
                <w:szCs w:val="18"/>
              </w:rPr>
              <w:t>Years following sexual debut 7-10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0.92-1.60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0.18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1.44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1.10-1.90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1.52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1.26-1.84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C774C2" w:rsidRDefault="00B26BD6" w:rsidP="00C774C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4C2">
              <w:rPr>
                <w:rFonts w:ascii="Times New Roman" w:hAnsi="Times New Roman" w:cs="Times New Roman"/>
                <w:sz w:val="18"/>
                <w:szCs w:val="18"/>
              </w:rPr>
              <w:t>Years following sexual debut 11-13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bookmarkStart w:id="1" w:name="_Hlk37922751"/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bookmarkEnd w:id="1"/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-1.0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6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0.76-1.29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0.94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0.69-1.13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0.32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0.77-1.13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0.48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C774C2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" w:name="_Hlk37925376"/>
            <w:r w:rsidRPr="00C774C2">
              <w:rPr>
                <w:rFonts w:ascii="Times New Roman" w:hAnsi="Times New Roman" w:cs="Times New Roman"/>
                <w:sz w:val="18"/>
                <w:szCs w:val="18"/>
              </w:rPr>
              <w:t>Years following sexual debut 13-23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0.89-1.10</w:t>
            </w: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0.95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0.76-1.18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0.64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0.68-0.96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</w:t>
            </w:r>
          </w:p>
        </w:tc>
      </w:tr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1.00-1.28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0.05</w:t>
            </w:r>
          </w:p>
        </w:tc>
      </w:tr>
      <w:bookmarkEnd w:id="2"/>
      <w:tr w:rsidR="00B26BD6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</w:tcPr>
          <w:p w:rsidR="00B26BD6" w:rsidRPr="003C1A97" w:rsidRDefault="00B26BD6" w:rsidP="00E07D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BD6" w:rsidRPr="003C1A97" w:rsidRDefault="00B26BD6" w:rsidP="00E0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C2">
              <w:rPr>
                <w:rFonts w:ascii="Times New Roman" w:hAnsi="Times New Roman" w:cs="Times New Roman"/>
                <w:sz w:val="18"/>
                <w:szCs w:val="18"/>
              </w:rPr>
              <w:t>Time to pregnancy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B26BD6" w:rsidRPr="00C774C2" w:rsidRDefault="00B26BD6" w:rsidP="00E07D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4C2">
              <w:rPr>
                <w:rFonts w:ascii="Times New Roman" w:hAnsi="Times New Roman" w:cs="Times New Roman"/>
                <w:sz w:val="18"/>
                <w:szCs w:val="18"/>
              </w:rPr>
              <w:t>Age 16-29 years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  <w:vAlign w:val="center"/>
          </w:tcPr>
          <w:p w:rsidR="00B26BD6" w:rsidRPr="00BC1874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0.79</w:t>
            </w:r>
          </w:p>
        </w:tc>
        <w:tc>
          <w:tcPr>
            <w:tcW w:w="0" w:type="auto"/>
            <w:vAlign w:val="center"/>
          </w:tcPr>
          <w:p w:rsidR="00B26BD6" w:rsidRPr="00BC1874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0.67-0.94</w:t>
            </w:r>
          </w:p>
        </w:tc>
        <w:tc>
          <w:tcPr>
            <w:tcW w:w="0" w:type="auto"/>
            <w:vAlign w:val="center"/>
          </w:tcPr>
          <w:p w:rsidR="00B26BD6" w:rsidRPr="00BC1874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0.64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0.47-0.88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&lt;0.01</w:t>
            </w:r>
          </w:p>
        </w:tc>
      </w:tr>
      <w:tr w:rsidR="00B26BD6" w:rsidRPr="004C64E9" w:rsidTr="00E07D9E">
        <w:tc>
          <w:tcPr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0.61-1.11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0.87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0.70-1.08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0.21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B26BD6" w:rsidRPr="0047303C" w:rsidRDefault="00B26BD6" w:rsidP="00E07D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774C2">
              <w:rPr>
                <w:rFonts w:ascii="Times New Roman" w:hAnsi="Times New Roman" w:cs="Times New Roman"/>
                <w:sz w:val="18"/>
                <w:szCs w:val="18"/>
              </w:rPr>
              <w:t>Age 30-32 yea</w:t>
            </w:r>
            <w:r w:rsidRPr="0047303C"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-0.9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</w:t>
            </w: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0.86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0.55-1.35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0.51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0.48-1.04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0.08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0.73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0.55-0.95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3C1A97" w:rsidRDefault="00B26BD6" w:rsidP="00C774C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1A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Age 33-39 </w:t>
            </w:r>
            <w:r w:rsidRPr="003C1A97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negative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23AF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6BD6" w:rsidRPr="003C1A97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223AF6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23A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Chlamydia positive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B26BD6" w:rsidRPr="00D326D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326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CSI-NAAT+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0.82-2.12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0.26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850D6D" w:rsidRDefault="00B26BD6" w:rsidP="00E07D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Ct IgG +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0.64-1.22</w:t>
            </w:r>
          </w:p>
        </w:tc>
        <w:tc>
          <w:tcPr>
            <w:tcW w:w="0" w:type="auto"/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0.45</w:t>
            </w:r>
          </w:p>
        </w:tc>
      </w:tr>
      <w:tr w:rsidR="00B26BD6" w:rsidRPr="004C64E9" w:rsidTr="00E07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C64E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Self-reported +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0.91-1.42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26BD6" w:rsidRPr="004C64E9" w:rsidRDefault="00B26BD6" w:rsidP="00E07D9E">
            <w:pPr>
              <w:spacing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0.27</w:t>
            </w:r>
          </w:p>
        </w:tc>
      </w:tr>
    </w:tbl>
    <w:p w:rsidR="00B26BD6" w:rsidRDefault="008156F2" w:rsidP="00B26BD6">
      <w:pPr>
        <w:spacing w:after="0"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CSI-NAAT</w:t>
      </w:r>
      <w:r w:rsidR="000F1C8B">
        <w:rPr>
          <w:rFonts w:ascii="Times New Roman" w:hAnsi="Times New Roman" w:cs="Times New Roman"/>
          <w:sz w:val="18"/>
          <w:szCs w:val="18"/>
          <w:lang w:val="en-GB"/>
        </w:rPr>
        <w:t>+ (positive)</w:t>
      </w:r>
      <w:r w:rsidR="00B26BD6" w:rsidRPr="00B3118B">
        <w:rPr>
          <w:rFonts w:ascii="Times New Roman" w:hAnsi="Times New Roman" w:cs="Times New Roman"/>
          <w:sz w:val="18"/>
          <w:szCs w:val="18"/>
          <w:lang w:val="en-GB"/>
        </w:rPr>
        <w:t xml:space="preserve"> was defined as 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a positive </w:t>
      </w:r>
      <w:r w:rsidR="00B26BD6">
        <w:rPr>
          <w:rFonts w:ascii="Times New Roman" w:hAnsi="Times New Roman" w:cs="Times New Roman"/>
          <w:iCs/>
          <w:sz w:val="18"/>
          <w:szCs w:val="18"/>
          <w:lang w:val="en-GB"/>
        </w:rPr>
        <w:t>NAAT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>-test outcome in the CSI study (CSI-</w:t>
      </w:r>
      <w:r w:rsidR="00B26BD6">
        <w:rPr>
          <w:rFonts w:ascii="Times New Roman" w:hAnsi="Times New Roman" w:cs="Times New Roman"/>
          <w:iCs/>
          <w:sz w:val="18"/>
          <w:szCs w:val="18"/>
          <w:lang w:val="en-GB"/>
        </w:rPr>
        <w:t>NAAT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>)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irrespectively o</w:t>
      </w:r>
      <w:r w:rsidR="000F1C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f other positive chlamydia outcomes. Ct IgG+ (Chlamydia trachomatis – </w:t>
      </w:r>
      <w:r w:rsidR="00EB7886">
        <w:rPr>
          <w:rFonts w:ascii="Times New Roman" w:hAnsi="Times New Roman" w:cs="Times New Roman"/>
          <w:iCs/>
          <w:sz w:val="18"/>
          <w:szCs w:val="18"/>
          <w:lang w:val="en-GB"/>
        </w:rPr>
        <w:t>Immunoglobulin</w:t>
      </w:r>
      <w:r w:rsidR="000F1C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G positive) was defined as 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>the presence of chlamydia IgG</w:t>
      </w:r>
      <w:r w:rsidR="000F1C8B">
        <w:rPr>
          <w:rFonts w:ascii="Times New Roman" w:hAnsi="Times New Roman" w:cs="Times New Roman"/>
          <w:iCs/>
          <w:sz w:val="18"/>
          <w:szCs w:val="18"/>
          <w:lang w:val="en-GB"/>
        </w:rPr>
        <w:t>,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</w:t>
      </w:r>
      <w:r w:rsidR="000F1C8B">
        <w:rPr>
          <w:rFonts w:ascii="Times New Roman" w:hAnsi="Times New Roman" w:cs="Times New Roman"/>
          <w:iCs/>
          <w:sz w:val="18"/>
          <w:szCs w:val="18"/>
          <w:lang w:val="en-GB"/>
        </w:rPr>
        <w:t>unless a participant was already positive by CSI-NAAT. S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elf-reported chlamydia </w:t>
      </w:r>
      <w:r w:rsidR="000F1C8B">
        <w:rPr>
          <w:rFonts w:ascii="Times New Roman" w:hAnsi="Times New Roman" w:cs="Times New Roman"/>
          <w:iCs/>
          <w:sz w:val="18"/>
          <w:szCs w:val="18"/>
          <w:lang w:val="en-GB"/>
        </w:rPr>
        <w:t>positive was defined as a self-reported infection without a positive CSI-NAAT or presence of chlamydia IgG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>.</w:t>
      </w:r>
      <w:r w:rsidR="00B26BD6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</w:t>
      </w:r>
      <w:r w:rsidR="00B26BD6" w:rsidRPr="00B3118B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For these analyses, multiple imputations were used to estimate time of first chlamydia infection in women without a known first year of chlamydia infection. </w:t>
      </w:r>
      <w:r w:rsidR="0047303C">
        <w:rPr>
          <w:rFonts w:ascii="Times New Roman" w:hAnsi="Times New Roman" w:cs="Times New Roman"/>
          <w:sz w:val="18"/>
          <w:szCs w:val="18"/>
          <w:lang w:val="en-GB"/>
        </w:rPr>
        <w:t>Pregnancy models (first four)</w:t>
      </w:r>
      <w:r w:rsidR="00B26BD6">
        <w:rPr>
          <w:rFonts w:ascii="Times New Roman" w:hAnsi="Times New Roman" w:cs="Times New Roman"/>
          <w:sz w:val="18"/>
          <w:szCs w:val="18"/>
          <w:lang w:val="en-GB"/>
        </w:rPr>
        <w:t xml:space="preserve"> were adjusted for age, education level, migration background and number of lifetime partners. </w:t>
      </w:r>
      <w:r w:rsidR="0047303C">
        <w:rPr>
          <w:rFonts w:ascii="Times New Roman" w:hAnsi="Times New Roman" w:cs="Times New Roman"/>
          <w:sz w:val="18"/>
          <w:szCs w:val="18"/>
          <w:lang w:val="en-GB"/>
        </w:rPr>
        <w:t>Time to pregnancy models (last three)</w:t>
      </w:r>
      <w:r w:rsidR="00B26BD6">
        <w:rPr>
          <w:rFonts w:ascii="Times New Roman" w:hAnsi="Times New Roman" w:cs="Times New Roman"/>
          <w:sz w:val="18"/>
          <w:szCs w:val="18"/>
          <w:lang w:val="en-GB"/>
        </w:rPr>
        <w:t xml:space="preserve"> were adjusted for age at first planned pregnancy/age at trying to become pregnant and migration background. </w:t>
      </w:r>
      <w:r w:rsidR="00B26BD6" w:rsidRPr="00B3118B">
        <w:rPr>
          <w:rFonts w:ascii="Times New Roman" w:hAnsi="Times New Roman" w:cs="Times New Roman"/>
          <w:sz w:val="18"/>
          <w:szCs w:val="18"/>
          <w:lang w:val="en-GB"/>
        </w:rPr>
        <w:t>HR = Hazard Ratio. CI = Confidence Interval.</w:t>
      </w:r>
      <w:r w:rsidR="00B26BD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26BD6">
        <w:rPr>
          <w:rFonts w:ascii="Times New Roman" w:hAnsi="Times New Roman" w:cs="Times New Roman"/>
          <w:sz w:val="18"/>
          <w:szCs w:val="18"/>
          <w:lang w:val="en-GB"/>
        </w:rPr>
        <w:t>aHR</w:t>
      </w:r>
      <w:proofErr w:type="spellEnd"/>
      <w:r w:rsidR="00B26BD6">
        <w:rPr>
          <w:rFonts w:ascii="Times New Roman" w:hAnsi="Times New Roman" w:cs="Times New Roman"/>
          <w:sz w:val="18"/>
          <w:szCs w:val="18"/>
          <w:lang w:val="en-GB"/>
        </w:rPr>
        <w:t xml:space="preserve"> = adjusted Hazard Ratio.</w:t>
      </w:r>
    </w:p>
    <w:p w:rsidR="0076141E" w:rsidRPr="00563537" w:rsidRDefault="0076141E">
      <w:pPr>
        <w:rPr>
          <w:lang w:val="en-GB"/>
        </w:rPr>
      </w:pPr>
    </w:p>
    <w:sectPr w:rsidR="0076141E" w:rsidRPr="00563537" w:rsidSect="0076141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1E" w:rsidRDefault="0076141E">
      <w:pPr>
        <w:spacing w:after="0" w:line="240" w:lineRule="auto"/>
      </w:pPr>
      <w:r>
        <w:separator/>
      </w:r>
    </w:p>
  </w:endnote>
  <w:endnote w:type="continuationSeparator" w:id="0">
    <w:p w:rsidR="0076141E" w:rsidRDefault="0076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1E" w:rsidRDefault="0076141E">
    <w:pPr>
      <w:pStyle w:val="Footer"/>
      <w:jc w:val="right"/>
    </w:pPr>
  </w:p>
  <w:p w:rsidR="0076141E" w:rsidRDefault="0076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1E" w:rsidRDefault="0076141E">
      <w:pPr>
        <w:spacing w:after="0" w:line="240" w:lineRule="auto"/>
      </w:pPr>
      <w:r>
        <w:separator/>
      </w:r>
    </w:p>
  </w:footnote>
  <w:footnote w:type="continuationSeparator" w:id="0">
    <w:p w:rsidR="0076141E" w:rsidRDefault="0076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1E" w:rsidRDefault="0076141E">
    <w:pPr>
      <w:pStyle w:val="Header"/>
      <w:jc w:val="right"/>
    </w:pPr>
  </w:p>
  <w:p w:rsidR="0076141E" w:rsidRDefault="0076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E8D"/>
    <w:multiLevelType w:val="hybridMultilevel"/>
    <w:tmpl w:val="22B04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56DE9"/>
    <w:multiLevelType w:val="hybridMultilevel"/>
    <w:tmpl w:val="8AB48046"/>
    <w:lvl w:ilvl="0" w:tplc="A45A9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EE3"/>
    <w:multiLevelType w:val="hybridMultilevel"/>
    <w:tmpl w:val="DD8863D4"/>
    <w:lvl w:ilvl="0" w:tplc="CC9AD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37"/>
    <w:rsid w:val="000036DE"/>
    <w:rsid w:val="000C647F"/>
    <w:rsid w:val="000F1C8B"/>
    <w:rsid w:val="001867B1"/>
    <w:rsid w:val="00216EE5"/>
    <w:rsid w:val="00223AF6"/>
    <w:rsid w:val="00292D3A"/>
    <w:rsid w:val="002973AD"/>
    <w:rsid w:val="00324432"/>
    <w:rsid w:val="003B314F"/>
    <w:rsid w:val="003C1A97"/>
    <w:rsid w:val="003D0852"/>
    <w:rsid w:val="004514EE"/>
    <w:rsid w:val="0047303C"/>
    <w:rsid w:val="004C64E9"/>
    <w:rsid w:val="004E4347"/>
    <w:rsid w:val="0052613E"/>
    <w:rsid w:val="00563537"/>
    <w:rsid w:val="00587612"/>
    <w:rsid w:val="00664009"/>
    <w:rsid w:val="006C7EA9"/>
    <w:rsid w:val="006F607C"/>
    <w:rsid w:val="00703A73"/>
    <w:rsid w:val="0076141E"/>
    <w:rsid w:val="007617D8"/>
    <w:rsid w:val="0078328A"/>
    <w:rsid w:val="007B4A17"/>
    <w:rsid w:val="008156F2"/>
    <w:rsid w:val="008E5D95"/>
    <w:rsid w:val="00933614"/>
    <w:rsid w:val="00B26BD6"/>
    <w:rsid w:val="00B65B17"/>
    <w:rsid w:val="00BA2054"/>
    <w:rsid w:val="00BC5B10"/>
    <w:rsid w:val="00BC7067"/>
    <w:rsid w:val="00C774C2"/>
    <w:rsid w:val="00CC52B3"/>
    <w:rsid w:val="00D65A05"/>
    <w:rsid w:val="00D75DF9"/>
    <w:rsid w:val="00D82A29"/>
    <w:rsid w:val="00EB7886"/>
    <w:rsid w:val="00EF6ABB"/>
    <w:rsid w:val="00F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F3D4"/>
  <w15:chartTrackingRefBased/>
  <w15:docId w15:val="{20BF7D17-4FE6-4A9D-BEFE-6A4D444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5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37"/>
    <w:pPr>
      <w:ind w:left="720"/>
      <w:contextualSpacing/>
    </w:pPr>
    <w:rPr>
      <w:lang w:val="nl-NL"/>
    </w:rPr>
  </w:style>
  <w:style w:type="table" w:styleId="TableGrid">
    <w:name w:val="Table Grid"/>
    <w:basedOn w:val="TableNormal"/>
    <w:uiPriority w:val="59"/>
    <w:rsid w:val="005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37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63537"/>
  </w:style>
  <w:style w:type="paragraph" w:styleId="BalloonText">
    <w:name w:val="Balloon Text"/>
    <w:basedOn w:val="Normal"/>
    <w:link w:val="BalloonTextChar"/>
    <w:uiPriority w:val="99"/>
    <w:semiHidden/>
    <w:unhideWhenUsed/>
    <w:rsid w:val="0076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D8"/>
    <w:rPr>
      <w:rFonts w:ascii="Segoe UI" w:hAnsi="Segoe UI" w:cs="Segoe UI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6F60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41D0CEF9</Template>
  <TotalTime>1</TotalTime>
  <Pages>5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Hoenderboom</dc:creator>
  <cp:keywords/>
  <dc:description/>
  <cp:lastModifiedBy>Bernice Hoenderboom</cp:lastModifiedBy>
  <cp:revision>2</cp:revision>
  <dcterms:created xsi:type="dcterms:W3CDTF">2020-04-21T12:22:00Z</dcterms:created>
  <dcterms:modified xsi:type="dcterms:W3CDTF">2020-04-21T12:22:00Z</dcterms:modified>
</cp:coreProperties>
</file>