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4AF8" w14:textId="196EDD10" w:rsidR="001218D2" w:rsidRPr="00735259" w:rsidRDefault="001218D2" w:rsidP="001218D2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31s. </w:t>
      </w:r>
      <w:r>
        <w:rPr>
          <w:noProof/>
        </w:rPr>
        <w:tab/>
      </w:r>
      <w:r w:rsidRPr="00735259">
        <w:rPr>
          <w:noProof/>
        </w:rPr>
        <w:t>Yeganeh N, Kreitchmann R, Klausner JD, Leng M, Gorbach P, Nielsen-Saines K</w:t>
      </w:r>
      <w:r w:rsidRPr="00735259">
        <w:rPr>
          <w:b/>
          <w:noProof/>
        </w:rPr>
        <w:t>.</w:t>
      </w:r>
      <w:r w:rsidRPr="00735259">
        <w:rPr>
          <w:noProof/>
        </w:rPr>
        <w:t xml:space="preserve"> Prevalence of sexually transmitted infections in pregnant women and their partners in Porto Alegre, Brazil. IAS Conference on HIV Science. Mexico City, Mexico; 2019.</w:t>
      </w:r>
    </w:p>
    <w:p w14:paraId="7BE3D200" w14:textId="25CAD946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32</w:t>
      </w:r>
      <w:r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 xml:space="preserve">Dionne-Odom J 2018;Pages. Accessed at </w:t>
      </w:r>
      <w:r w:rsidRPr="00F34D72">
        <w:rPr>
          <w:noProof/>
        </w:rPr>
        <w:t>https://clinicaltrials.gov/ct2/show/NCT03431168</w:t>
      </w:r>
      <w:r w:rsidRPr="00735259">
        <w:rPr>
          <w:noProof/>
        </w:rPr>
        <w:t>. Accessed 10/21/2019 2019.</w:t>
      </w:r>
    </w:p>
    <w:p w14:paraId="6DFC35E5" w14:textId="52B07951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33</w:t>
      </w:r>
      <w:r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 xml:space="preserve">ter Kuile FO, Madanitsa MM 2017;Pages. Accessed at </w:t>
      </w:r>
      <w:r w:rsidRPr="00F34D72">
        <w:rPr>
          <w:noProof/>
        </w:rPr>
        <w:t>https://ClinicalTrials.gov/show/NCT03208179</w:t>
      </w:r>
      <w:r w:rsidRPr="00735259">
        <w:rPr>
          <w:noProof/>
        </w:rPr>
        <w:t>. Accessed 2/10/2020 2020.</w:t>
      </w:r>
    </w:p>
    <w:p w14:paraId="7FAC819B" w14:textId="4CB64D7D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34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 xml:space="preserve">Kotloff K 2019;Pages. Accessed at </w:t>
      </w:r>
      <w:r w:rsidRPr="00F34D72">
        <w:rPr>
          <w:noProof/>
        </w:rPr>
        <w:t>https://ClinicalTrials.gov/show/NCT03909737</w:t>
      </w:r>
      <w:r w:rsidRPr="00735259">
        <w:rPr>
          <w:noProof/>
        </w:rPr>
        <w:t>. Accessed 1/14/2020 2020.</w:t>
      </w:r>
    </w:p>
    <w:p w14:paraId="17F51B69" w14:textId="117F096B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35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 xml:space="preserve">Chico RM, Chandramohan D 2019;Pages. Accessed at </w:t>
      </w:r>
      <w:r w:rsidRPr="00F34D72">
        <w:rPr>
          <w:noProof/>
        </w:rPr>
        <w:t>https://clinicaltrials.gov/ct2/show/NCT04189744</w:t>
      </w:r>
      <w:r w:rsidRPr="00735259">
        <w:rPr>
          <w:noProof/>
        </w:rPr>
        <w:t>. Accessed 12/31/2019 2019.</w:t>
      </w:r>
    </w:p>
    <w:p w14:paraId="3129479D" w14:textId="6FCB0DB6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36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Klebanoff MA, Carey JC, Hauth JC,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 xml:space="preserve">Failure of metronidazole to prevent preterm delivery among pregnant women with asymptomatic </w:t>
      </w:r>
      <w:r w:rsidRPr="00735259">
        <w:rPr>
          <w:i/>
          <w:noProof/>
        </w:rPr>
        <w:t>Trichomonas vaginalis</w:t>
      </w:r>
      <w:r w:rsidRPr="00735259">
        <w:rPr>
          <w:noProof/>
        </w:rPr>
        <w:t xml:space="preserve"> infection. N Engl J Med. 2001; 345(7):487-93.</w:t>
      </w:r>
    </w:p>
    <w:p w14:paraId="17AD1BEB" w14:textId="36609B62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37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Coker AL</w:t>
      </w:r>
      <w:r w:rsidRPr="00735259">
        <w:rPr>
          <w:b/>
          <w:noProof/>
        </w:rPr>
        <w:t xml:space="preserve">. </w:t>
      </w:r>
      <w:r w:rsidRPr="00735259">
        <w:rPr>
          <w:noProof/>
        </w:rPr>
        <w:t>Does physical intimate partner violence affect sexual health? A systematic review. Trauma Violence Abuse. 2007; 8(2):149-77.</w:t>
      </w:r>
    </w:p>
    <w:p w14:paraId="6714BD97" w14:textId="17D585E7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38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Unger JA, Matemo D, Pintye J,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Patient-delivered partner treatment for chlamydia, gonorrhea, and trichomonas infection among pregnant and postpartum women in Kenya. Sex Transm Dis. 2015; 42(11):637-42.</w:t>
      </w:r>
    </w:p>
    <w:p w14:paraId="21BA450A" w14:textId="0D45558C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39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Wynn A, Moucheraud C, Moshashane N,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 xml:space="preserve">Using partner notification to address curable sexually transmitted infections in a high HIV prevalence context: </w:t>
      </w:r>
      <w:r w:rsidRPr="00735259">
        <w:rPr>
          <w:noProof/>
        </w:rPr>
        <w:lastRenderedPageBreak/>
        <w:t>a qualitative study about partner notification in Botswana. BMC Public Health. 2019; 19(Suppl 1):606.</w:t>
      </w:r>
    </w:p>
    <w:p w14:paraId="01F75BCA" w14:textId="4260788C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40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Yeganeh N, Simon M, Dillavou C,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HIV testing of male partners of pregnant women in Porto Alegre, Brazil: a potential strategy for reduction of HIV seroconversion during pregnancy. AIDS Care. 2014; 26(6):790-4.</w:t>
      </w:r>
    </w:p>
    <w:p w14:paraId="09890EFB" w14:textId="3E29EFCC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41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Medina-Marino A, Mudau M, Peters R,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 xml:space="preserve">Persistent </w:t>
      </w:r>
      <w:r w:rsidRPr="00735259">
        <w:rPr>
          <w:i/>
          <w:noProof/>
        </w:rPr>
        <w:t>Chlamydia trachomatis</w:t>
      </w:r>
      <w:r w:rsidRPr="00735259">
        <w:rPr>
          <w:noProof/>
        </w:rPr>
        <w:t xml:space="preserve">, </w:t>
      </w:r>
      <w:r w:rsidRPr="00735259">
        <w:rPr>
          <w:i/>
          <w:noProof/>
        </w:rPr>
        <w:t>Neisseria gonorrhoeae</w:t>
      </w:r>
      <w:r w:rsidRPr="00735259">
        <w:rPr>
          <w:noProof/>
        </w:rPr>
        <w:t xml:space="preserve"> or </w:t>
      </w:r>
      <w:r w:rsidRPr="00735259">
        <w:rPr>
          <w:i/>
          <w:noProof/>
        </w:rPr>
        <w:t>Trichomonas vaginalis</w:t>
      </w:r>
      <w:r w:rsidRPr="00735259">
        <w:rPr>
          <w:noProof/>
        </w:rPr>
        <w:t xml:space="preserve"> positivity after treatment among human immunodeficiency virus-infected pregnant women. Int J STD AIDS. </w:t>
      </w:r>
      <w:r w:rsidRPr="00735259">
        <w:rPr>
          <w:i/>
          <w:noProof/>
        </w:rPr>
        <w:t>In press</w:t>
      </w:r>
      <w:r w:rsidRPr="00735259">
        <w:rPr>
          <w:noProof/>
        </w:rPr>
        <w:t>.</w:t>
      </w:r>
    </w:p>
    <w:p w14:paraId="6A10684F" w14:textId="36476F8C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42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Guy RJ, Causer LM, Klausner JD,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Performance and operational characteristics of point-of-care tests for the diagnosis of urogenital gonococcal infections. Sex Transm Infect. 2017; 93(S4):S16-s21.</w:t>
      </w:r>
    </w:p>
    <w:p w14:paraId="127E8738" w14:textId="085A1A06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43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Cristillo AD, Bristow CC, Peeling R,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Point-of-care sexually transmitted infection diagnostics: proceedings of the STAR Sexually Transmitted Infection-Clinical Trial Group Programmatic Meeting. Sex Transm Dis. 2017; 44(4):211-8.</w:t>
      </w:r>
    </w:p>
    <w:p w14:paraId="1B162273" w14:textId="0250C568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44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Kelly H, Coltart CEM, Pant Pai N,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Systematic reviews of point-of-care tests for the diagnosis of urogenital Chlamydia trachomatis infections. Sex Transm Infect. 2017; 93(S4):S22-s30.</w:t>
      </w:r>
    </w:p>
    <w:p w14:paraId="3B34449C" w14:textId="66457A63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45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 xml:space="preserve">Foundation for Innovative New Diagnostics 2019;Pages. Accessed at </w:t>
      </w:r>
      <w:r w:rsidRPr="00F34D72">
        <w:rPr>
          <w:noProof/>
        </w:rPr>
        <w:t>https://www.finddx.org/pricing/genexpert/</w:t>
      </w:r>
      <w:r w:rsidRPr="00735259">
        <w:rPr>
          <w:noProof/>
        </w:rPr>
        <w:t>. Accessed 12/31/2019 2019.</w:t>
      </w:r>
    </w:p>
    <w:p w14:paraId="5F38DC4D" w14:textId="1572B0AA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46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Ong JJ, Chen M, Hocking J,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Chlamydia screening for pregnant women aged 16-25 years attending an antenatal service: a cost-effectiveness study. Bjog. 2016; 123(7):1194-202.</w:t>
      </w:r>
    </w:p>
    <w:p w14:paraId="236868B1" w14:textId="2645B49E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lastRenderedPageBreak/>
        <w:t>47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Ditkowsky J, Shah KH, Hammerschlag MR, Kohlhoff S, Smith-Norowitz TA</w:t>
      </w:r>
      <w:r w:rsidRPr="00735259">
        <w:rPr>
          <w:b/>
          <w:noProof/>
        </w:rPr>
        <w:t xml:space="preserve">. </w:t>
      </w:r>
      <w:r w:rsidRPr="00735259">
        <w:rPr>
          <w:noProof/>
        </w:rPr>
        <w:t xml:space="preserve">Cost-benefit analysis of </w:t>
      </w:r>
      <w:r w:rsidRPr="00735259">
        <w:rPr>
          <w:i/>
          <w:noProof/>
        </w:rPr>
        <w:t>Chlamydia trachomatis</w:t>
      </w:r>
      <w:r w:rsidRPr="00735259">
        <w:rPr>
          <w:noProof/>
        </w:rPr>
        <w:t xml:space="preserve"> screening in pregnant women in a high burden setting in the United States. BMC Infect Dis. 2017; 17(1):155.</w:t>
      </w:r>
    </w:p>
    <w:p w14:paraId="7785054C" w14:textId="786C36C6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48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Wynn A, Moucheraud C, Morroni C, Ramogola-Masire D, Klausner JD, Leibowitz A</w:t>
      </w:r>
      <w:r w:rsidRPr="00735259">
        <w:rPr>
          <w:b/>
          <w:noProof/>
        </w:rPr>
        <w:t xml:space="preserve">. </w:t>
      </w:r>
      <w:r w:rsidRPr="00735259">
        <w:rPr>
          <w:noProof/>
        </w:rPr>
        <w:t>Scaling up diagnostic-driven management of sexually transmitted infections in pregnancy. Lancet Infect Dis. 2019; 19(8):809-10.</w:t>
      </w:r>
    </w:p>
    <w:p w14:paraId="45291AE3" w14:textId="359BB08D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49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Shannon CL, Bristow C, Hoff N,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Acceptability and feasibility of rapid chlamydial, gonococcal, and trichomonal screening and treatment in pregnant women in 6 low- to middle-income countries. Sex Transm Dis. 2018; 45(10):673-6.</w:t>
      </w:r>
    </w:p>
    <w:p w14:paraId="54F94E0E" w14:textId="295217C8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50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Badman SG, Vallely LM, Toliman P,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A novel point-of-care testing strategy for sexually transmitted infections among pregnant women in high-burden settings: results of a feasibility study in Papua New Guinea. BMC Infect Dis. 2016; 16:250.</w:t>
      </w:r>
    </w:p>
    <w:p w14:paraId="7B3455E2" w14:textId="7ED42FA5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51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Morikawa E, Mudau M, Olivier D,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Acceptability and feasibility of integrating point-of-care diagnostic testing of sexually transmitted infections into a South African antenatal care program for HIV-infected pregnant women. Infect Dis Obstet Gynecol. 2018; 2018:3946862.</w:t>
      </w:r>
    </w:p>
    <w:p w14:paraId="21CFC766" w14:textId="04BAFBCA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52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Herbst de Cortina S, Bristow CC, Joseph Davey D, Klausner JD</w:t>
      </w:r>
      <w:r w:rsidRPr="00735259">
        <w:rPr>
          <w:b/>
          <w:noProof/>
        </w:rPr>
        <w:t xml:space="preserve">. </w:t>
      </w:r>
      <w:r w:rsidRPr="00735259">
        <w:rPr>
          <w:noProof/>
        </w:rPr>
        <w:t xml:space="preserve">A systematic review of point of care testing for </w:t>
      </w:r>
      <w:r w:rsidRPr="00735259">
        <w:rPr>
          <w:i/>
          <w:noProof/>
        </w:rPr>
        <w:t>Chlamydia trachomatis</w:t>
      </w:r>
      <w:r w:rsidRPr="00735259">
        <w:rPr>
          <w:noProof/>
        </w:rPr>
        <w:t xml:space="preserve">, </w:t>
      </w:r>
      <w:r w:rsidRPr="00735259">
        <w:rPr>
          <w:i/>
          <w:noProof/>
        </w:rPr>
        <w:t>Neisseria gonorrhoeae</w:t>
      </w:r>
      <w:r w:rsidRPr="00735259">
        <w:rPr>
          <w:noProof/>
        </w:rPr>
        <w:t xml:space="preserve">, and </w:t>
      </w:r>
      <w:r w:rsidRPr="00735259">
        <w:rPr>
          <w:i/>
          <w:noProof/>
        </w:rPr>
        <w:t>Trichomonas vaginalis</w:t>
      </w:r>
      <w:r w:rsidRPr="00735259">
        <w:rPr>
          <w:noProof/>
        </w:rPr>
        <w:t>. Infect Dis Obstet Gynecol. 2016; 2016:4386127.</w:t>
      </w:r>
    </w:p>
    <w:p w14:paraId="3B21571E" w14:textId="42ED893D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lastRenderedPageBreak/>
        <w:t>53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Harries AD, Lin Y, Kumar AMV, et al.</w:t>
      </w:r>
      <w:r w:rsidRPr="00735259">
        <w:rPr>
          <w:b/>
          <w:noProof/>
        </w:rPr>
        <w:t xml:space="preserve"> </w:t>
      </w:r>
      <w:r w:rsidRPr="00735259">
        <w:rPr>
          <w:noProof/>
        </w:rPr>
        <w:t>What can National TB Control Programmes in low- and middle-income countries do to end tuberculosis by 2030? F1000Research. 2018; 7.</w:t>
      </w:r>
    </w:p>
    <w:p w14:paraId="0917E32F" w14:textId="0B352290" w:rsidR="001218D2" w:rsidRPr="00735259" w:rsidRDefault="001218D2" w:rsidP="001218D2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54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 xml:space="preserve">Lee AC 2020;Pages. Accessed at </w:t>
      </w:r>
      <w:r w:rsidRPr="00F34D72">
        <w:rPr>
          <w:noProof/>
        </w:rPr>
        <w:t>https://clinicaltrials.gov/ct2/show/NCT04171388</w:t>
      </w:r>
      <w:r w:rsidRPr="00735259">
        <w:rPr>
          <w:noProof/>
        </w:rPr>
        <w:t>. Accessed January 20, 2020 2020.</w:t>
      </w:r>
    </w:p>
    <w:p w14:paraId="43909701" w14:textId="404EC2CE" w:rsidR="009B2DD8" w:rsidRDefault="001218D2" w:rsidP="00EE2501">
      <w:pPr>
        <w:pStyle w:val="EndNoteBibliography"/>
        <w:ind w:left="720" w:hanging="720"/>
        <w:rPr>
          <w:noProof/>
        </w:rPr>
      </w:pPr>
      <w:r w:rsidRPr="00735259">
        <w:rPr>
          <w:noProof/>
        </w:rPr>
        <w:t>55</w:t>
      </w:r>
      <w:r w:rsidR="00EE2501">
        <w:rPr>
          <w:noProof/>
        </w:rPr>
        <w:t>s</w:t>
      </w:r>
      <w:r w:rsidRPr="00735259">
        <w:rPr>
          <w:noProof/>
        </w:rPr>
        <w:t>.</w:t>
      </w:r>
      <w:r w:rsidRPr="00735259">
        <w:rPr>
          <w:noProof/>
        </w:rPr>
        <w:tab/>
        <w:t>Wiesenfeld HC, Manhart LE</w:t>
      </w:r>
      <w:r w:rsidRPr="00735259">
        <w:rPr>
          <w:b/>
          <w:noProof/>
        </w:rPr>
        <w:t xml:space="preserve">. </w:t>
      </w:r>
      <w:r w:rsidRPr="00735259">
        <w:rPr>
          <w:i/>
          <w:noProof/>
        </w:rPr>
        <w:t>Mycoplasma genitalium</w:t>
      </w:r>
      <w:r w:rsidRPr="00735259">
        <w:rPr>
          <w:noProof/>
        </w:rPr>
        <w:t xml:space="preserve"> in Women: Current Knowledge and Research Priorities for This Recently Emerged Pathogen. J Infect Dis. 2017; 216(suppl_2):S389-s95.</w:t>
      </w:r>
    </w:p>
    <w:sectPr w:rsidR="009B2DD8" w:rsidSect="00C009B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EBAF" w14:textId="77777777" w:rsidR="00232684" w:rsidRDefault="00232684">
      <w:pPr>
        <w:spacing w:line="240" w:lineRule="auto"/>
      </w:pPr>
      <w:r>
        <w:separator/>
      </w:r>
    </w:p>
  </w:endnote>
  <w:endnote w:type="continuationSeparator" w:id="0">
    <w:p w14:paraId="64777E91" w14:textId="77777777" w:rsidR="00232684" w:rsidRDefault="00232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70703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9A214C" w14:textId="77777777" w:rsidR="00D22E42" w:rsidRDefault="008769D6" w:rsidP="003D36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FC551F" w14:textId="77777777" w:rsidR="00D22E42" w:rsidRDefault="00232684" w:rsidP="00C009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12080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D993E" w14:textId="77777777" w:rsidR="00D22E42" w:rsidRDefault="008769D6" w:rsidP="003D36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4CACC008" w14:textId="77777777" w:rsidR="00D22E42" w:rsidRDefault="00232684" w:rsidP="005115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DF618" w14:textId="77777777" w:rsidR="00232684" w:rsidRDefault="00232684">
      <w:pPr>
        <w:spacing w:line="240" w:lineRule="auto"/>
      </w:pPr>
      <w:r>
        <w:separator/>
      </w:r>
    </w:p>
  </w:footnote>
  <w:footnote w:type="continuationSeparator" w:id="0">
    <w:p w14:paraId="6729A20A" w14:textId="77777777" w:rsidR="00232684" w:rsidRDefault="00232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D6"/>
    <w:rsid w:val="00005FEC"/>
    <w:rsid w:val="00035521"/>
    <w:rsid w:val="000359E4"/>
    <w:rsid w:val="000363CB"/>
    <w:rsid w:val="00063877"/>
    <w:rsid w:val="000649BE"/>
    <w:rsid w:val="00066F2F"/>
    <w:rsid w:val="000734AF"/>
    <w:rsid w:val="0007584C"/>
    <w:rsid w:val="00083FFD"/>
    <w:rsid w:val="000856CD"/>
    <w:rsid w:val="00091278"/>
    <w:rsid w:val="000B1F88"/>
    <w:rsid w:val="000B3241"/>
    <w:rsid w:val="000B6FDC"/>
    <w:rsid w:val="000B7A3A"/>
    <w:rsid w:val="000C22DA"/>
    <w:rsid w:val="000C5071"/>
    <w:rsid w:val="000D5E4A"/>
    <w:rsid w:val="000D79BD"/>
    <w:rsid w:val="000F3604"/>
    <w:rsid w:val="000F43E5"/>
    <w:rsid w:val="00107325"/>
    <w:rsid w:val="00107890"/>
    <w:rsid w:val="001218D2"/>
    <w:rsid w:val="00130122"/>
    <w:rsid w:val="00135D10"/>
    <w:rsid w:val="00140496"/>
    <w:rsid w:val="0014672B"/>
    <w:rsid w:val="00184272"/>
    <w:rsid w:val="00193274"/>
    <w:rsid w:val="001A1462"/>
    <w:rsid w:val="001A62E0"/>
    <w:rsid w:val="001D015B"/>
    <w:rsid w:val="001D0189"/>
    <w:rsid w:val="001F144A"/>
    <w:rsid w:val="001F2ECB"/>
    <w:rsid w:val="002054B6"/>
    <w:rsid w:val="00207994"/>
    <w:rsid w:val="002114A7"/>
    <w:rsid w:val="00212EDC"/>
    <w:rsid w:val="002135CC"/>
    <w:rsid w:val="00220072"/>
    <w:rsid w:val="0022100C"/>
    <w:rsid w:val="00225387"/>
    <w:rsid w:val="00225C3C"/>
    <w:rsid w:val="00232684"/>
    <w:rsid w:val="00243BDB"/>
    <w:rsid w:val="00244DDA"/>
    <w:rsid w:val="00254F83"/>
    <w:rsid w:val="002713F0"/>
    <w:rsid w:val="002A45A7"/>
    <w:rsid w:val="002F5752"/>
    <w:rsid w:val="00300D6D"/>
    <w:rsid w:val="00341DA6"/>
    <w:rsid w:val="00354971"/>
    <w:rsid w:val="0036613F"/>
    <w:rsid w:val="0037200A"/>
    <w:rsid w:val="003915CC"/>
    <w:rsid w:val="003A3FF1"/>
    <w:rsid w:val="003B38ED"/>
    <w:rsid w:val="003D2262"/>
    <w:rsid w:val="003D2D35"/>
    <w:rsid w:val="004021A8"/>
    <w:rsid w:val="0040675C"/>
    <w:rsid w:val="00416ADE"/>
    <w:rsid w:val="0044429C"/>
    <w:rsid w:val="004542DA"/>
    <w:rsid w:val="00456623"/>
    <w:rsid w:val="00461817"/>
    <w:rsid w:val="0046344E"/>
    <w:rsid w:val="004646FE"/>
    <w:rsid w:val="004767CE"/>
    <w:rsid w:val="0048112F"/>
    <w:rsid w:val="004B3AE4"/>
    <w:rsid w:val="004C0C95"/>
    <w:rsid w:val="004D2A16"/>
    <w:rsid w:val="004E18AC"/>
    <w:rsid w:val="00501335"/>
    <w:rsid w:val="00501875"/>
    <w:rsid w:val="005115F8"/>
    <w:rsid w:val="00515FFE"/>
    <w:rsid w:val="00523F0F"/>
    <w:rsid w:val="00524BC4"/>
    <w:rsid w:val="0054286E"/>
    <w:rsid w:val="00544E7B"/>
    <w:rsid w:val="00565818"/>
    <w:rsid w:val="00573A30"/>
    <w:rsid w:val="00581019"/>
    <w:rsid w:val="00595AA9"/>
    <w:rsid w:val="00596CDF"/>
    <w:rsid w:val="005A376B"/>
    <w:rsid w:val="005B70C2"/>
    <w:rsid w:val="005C08F9"/>
    <w:rsid w:val="005C2E5F"/>
    <w:rsid w:val="005D1B81"/>
    <w:rsid w:val="005F740B"/>
    <w:rsid w:val="0062131B"/>
    <w:rsid w:val="0063324B"/>
    <w:rsid w:val="00633E05"/>
    <w:rsid w:val="00634857"/>
    <w:rsid w:val="00654E3A"/>
    <w:rsid w:val="00663B1F"/>
    <w:rsid w:val="00673DCF"/>
    <w:rsid w:val="00676880"/>
    <w:rsid w:val="006907CA"/>
    <w:rsid w:val="006971D4"/>
    <w:rsid w:val="006973E7"/>
    <w:rsid w:val="006A14AA"/>
    <w:rsid w:val="006C44A2"/>
    <w:rsid w:val="006D14BD"/>
    <w:rsid w:val="006D1A49"/>
    <w:rsid w:val="006D4428"/>
    <w:rsid w:val="006D4B8A"/>
    <w:rsid w:val="006E64C7"/>
    <w:rsid w:val="006E6C94"/>
    <w:rsid w:val="007075CD"/>
    <w:rsid w:val="00710C0D"/>
    <w:rsid w:val="00725D91"/>
    <w:rsid w:val="00727483"/>
    <w:rsid w:val="0073585C"/>
    <w:rsid w:val="00742B1F"/>
    <w:rsid w:val="007438CD"/>
    <w:rsid w:val="007504F7"/>
    <w:rsid w:val="00754E6C"/>
    <w:rsid w:val="00761007"/>
    <w:rsid w:val="00763EBB"/>
    <w:rsid w:val="00764C90"/>
    <w:rsid w:val="00780B15"/>
    <w:rsid w:val="00792AC4"/>
    <w:rsid w:val="007A2A1B"/>
    <w:rsid w:val="007A60BD"/>
    <w:rsid w:val="007A6A67"/>
    <w:rsid w:val="007B05A6"/>
    <w:rsid w:val="007B1365"/>
    <w:rsid w:val="007C3E01"/>
    <w:rsid w:val="007D64E2"/>
    <w:rsid w:val="007E02C8"/>
    <w:rsid w:val="007E234F"/>
    <w:rsid w:val="007E357E"/>
    <w:rsid w:val="007E5F24"/>
    <w:rsid w:val="00804C4F"/>
    <w:rsid w:val="00813D43"/>
    <w:rsid w:val="00826303"/>
    <w:rsid w:val="008342A7"/>
    <w:rsid w:val="00835776"/>
    <w:rsid w:val="00837F94"/>
    <w:rsid w:val="00845AB2"/>
    <w:rsid w:val="00847B1B"/>
    <w:rsid w:val="00862624"/>
    <w:rsid w:val="008769D6"/>
    <w:rsid w:val="00883F50"/>
    <w:rsid w:val="0089426F"/>
    <w:rsid w:val="008B23F7"/>
    <w:rsid w:val="008B392A"/>
    <w:rsid w:val="008C0F53"/>
    <w:rsid w:val="008D1E66"/>
    <w:rsid w:val="008D73BB"/>
    <w:rsid w:val="008E75E4"/>
    <w:rsid w:val="008F6E99"/>
    <w:rsid w:val="00910AA2"/>
    <w:rsid w:val="009146E4"/>
    <w:rsid w:val="0092186C"/>
    <w:rsid w:val="009229F5"/>
    <w:rsid w:val="009272BB"/>
    <w:rsid w:val="00941F12"/>
    <w:rsid w:val="009446E1"/>
    <w:rsid w:val="00944CCC"/>
    <w:rsid w:val="009500E8"/>
    <w:rsid w:val="00963F12"/>
    <w:rsid w:val="00967B5A"/>
    <w:rsid w:val="009764AB"/>
    <w:rsid w:val="00990C8F"/>
    <w:rsid w:val="00994FF8"/>
    <w:rsid w:val="009966DC"/>
    <w:rsid w:val="009C34EF"/>
    <w:rsid w:val="009C6F7C"/>
    <w:rsid w:val="009D68F5"/>
    <w:rsid w:val="009D6CF0"/>
    <w:rsid w:val="009E46EA"/>
    <w:rsid w:val="00A00D89"/>
    <w:rsid w:val="00A03202"/>
    <w:rsid w:val="00A24285"/>
    <w:rsid w:val="00A24BC4"/>
    <w:rsid w:val="00A343FC"/>
    <w:rsid w:val="00A366C7"/>
    <w:rsid w:val="00A81426"/>
    <w:rsid w:val="00A844F0"/>
    <w:rsid w:val="00A967CE"/>
    <w:rsid w:val="00AA393D"/>
    <w:rsid w:val="00AC5BB3"/>
    <w:rsid w:val="00AE0FA3"/>
    <w:rsid w:val="00AE3DAA"/>
    <w:rsid w:val="00AF69E0"/>
    <w:rsid w:val="00B36898"/>
    <w:rsid w:val="00B37DEF"/>
    <w:rsid w:val="00B44DF8"/>
    <w:rsid w:val="00B45450"/>
    <w:rsid w:val="00B5229A"/>
    <w:rsid w:val="00B70855"/>
    <w:rsid w:val="00B75645"/>
    <w:rsid w:val="00B8124A"/>
    <w:rsid w:val="00B84F7A"/>
    <w:rsid w:val="00BA21C3"/>
    <w:rsid w:val="00BA5DE6"/>
    <w:rsid w:val="00BA62BF"/>
    <w:rsid w:val="00BB171A"/>
    <w:rsid w:val="00BB1CB8"/>
    <w:rsid w:val="00BB6F0F"/>
    <w:rsid w:val="00BC16DE"/>
    <w:rsid w:val="00BD241C"/>
    <w:rsid w:val="00BF17F6"/>
    <w:rsid w:val="00BF6712"/>
    <w:rsid w:val="00C109D0"/>
    <w:rsid w:val="00C12C88"/>
    <w:rsid w:val="00C22943"/>
    <w:rsid w:val="00C35D27"/>
    <w:rsid w:val="00C36C7C"/>
    <w:rsid w:val="00C53CAC"/>
    <w:rsid w:val="00C55B49"/>
    <w:rsid w:val="00C65381"/>
    <w:rsid w:val="00C65833"/>
    <w:rsid w:val="00C727B0"/>
    <w:rsid w:val="00C939AE"/>
    <w:rsid w:val="00C945C3"/>
    <w:rsid w:val="00CB7ED4"/>
    <w:rsid w:val="00CC257D"/>
    <w:rsid w:val="00CC6513"/>
    <w:rsid w:val="00CD161A"/>
    <w:rsid w:val="00CD3710"/>
    <w:rsid w:val="00CE39C6"/>
    <w:rsid w:val="00CF12AF"/>
    <w:rsid w:val="00CF1F43"/>
    <w:rsid w:val="00D14EC4"/>
    <w:rsid w:val="00D31E35"/>
    <w:rsid w:val="00D36026"/>
    <w:rsid w:val="00D47B61"/>
    <w:rsid w:val="00D55944"/>
    <w:rsid w:val="00D56C8C"/>
    <w:rsid w:val="00D64CC2"/>
    <w:rsid w:val="00D75380"/>
    <w:rsid w:val="00D8170B"/>
    <w:rsid w:val="00DA07CC"/>
    <w:rsid w:val="00DA7609"/>
    <w:rsid w:val="00DB0955"/>
    <w:rsid w:val="00DB1BCF"/>
    <w:rsid w:val="00DC463E"/>
    <w:rsid w:val="00DD7208"/>
    <w:rsid w:val="00DE1FFF"/>
    <w:rsid w:val="00DF2165"/>
    <w:rsid w:val="00E00381"/>
    <w:rsid w:val="00E03359"/>
    <w:rsid w:val="00E27AAB"/>
    <w:rsid w:val="00E32283"/>
    <w:rsid w:val="00E74914"/>
    <w:rsid w:val="00E87E09"/>
    <w:rsid w:val="00E970B4"/>
    <w:rsid w:val="00EC1385"/>
    <w:rsid w:val="00ED70BE"/>
    <w:rsid w:val="00EE2501"/>
    <w:rsid w:val="00EE437E"/>
    <w:rsid w:val="00F02310"/>
    <w:rsid w:val="00F07CAA"/>
    <w:rsid w:val="00F162AD"/>
    <w:rsid w:val="00F21E02"/>
    <w:rsid w:val="00F2718D"/>
    <w:rsid w:val="00F46604"/>
    <w:rsid w:val="00F52685"/>
    <w:rsid w:val="00F73E42"/>
    <w:rsid w:val="00F77E93"/>
    <w:rsid w:val="00F805DD"/>
    <w:rsid w:val="00F80EE2"/>
    <w:rsid w:val="00F83FDE"/>
    <w:rsid w:val="00F846D4"/>
    <w:rsid w:val="00F94AF9"/>
    <w:rsid w:val="00FA0A80"/>
    <w:rsid w:val="00FA75DF"/>
    <w:rsid w:val="00FB51CE"/>
    <w:rsid w:val="00FB5385"/>
    <w:rsid w:val="00FC5522"/>
    <w:rsid w:val="00FC69AC"/>
    <w:rsid w:val="00FD22B2"/>
    <w:rsid w:val="00FD2E92"/>
    <w:rsid w:val="00FD7288"/>
    <w:rsid w:val="00FE448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EE78"/>
  <w14:defaultImageDpi w14:val="32767"/>
  <w15:chartTrackingRefBased/>
  <w15:docId w15:val="{5BA763EE-F844-354E-B199-D9A4A046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69D6"/>
    <w:pPr>
      <w:spacing w:line="48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9D6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769D6"/>
    <w:rPr>
      <w:rFonts w:eastAsiaTheme="minorHAnsi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769D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769D6"/>
    <w:pPr>
      <w:suppressLineNumbers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769D6"/>
    <w:rPr>
      <w:rFonts w:ascii="Arial" w:eastAsia="Calibri" w:hAnsi="Arial" w:cs="Arial"/>
    </w:rPr>
  </w:style>
  <w:style w:type="character" w:styleId="PageNumber">
    <w:name w:val="page number"/>
    <w:basedOn w:val="DefaultParagraphFont"/>
    <w:uiPriority w:val="99"/>
    <w:qFormat/>
    <w:rsid w:val="008769D6"/>
  </w:style>
  <w:style w:type="paragraph" w:customStyle="1" w:styleId="EndNoteCategoryHeading">
    <w:name w:val="EndNote Category Heading"/>
    <w:basedOn w:val="Normal"/>
    <w:link w:val="EndNoteCategoryHeadingChar"/>
    <w:rsid w:val="008769D6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769D6"/>
    <w:rPr>
      <w:rFonts w:ascii="Arial" w:eastAsia="Calibri" w:hAnsi="Arial" w:cs="Arial"/>
      <w:b/>
    </w:rPr>
  </w:style>
  <w:style w:type="character" w:styleId="LineNumber">
    <w:name w:val="line number"/>
    <w:basedOn w:val="DefaultParagraphFont"/>
    <w:uiPriority w:val="99"/>
    <w:semiHidden/>
    <w:unhideWhenUsed/>
    <w:rsid w:val="008769D6"/>
  </w:style>
  <w:style w:type="paragraph" w:styleId="BalloonText">
    <w:name w:val="Balloon Text"/>
    <w:basedOn w:val="Normal"/>
    <w:link w:val="BalloonTextChar"/>
    <w:uiPriority w:val="99"/>
    <w:semiHidden/>
    <w:unhideWhenUsed/>
    <w:rsid w:val="008769D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D6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Grant</dc:creator>
  <cp:keywords/>
  <dc:description/>
  <cp:lastModifiedBy>Juliana Grant</cp:lastModifiedBy>
  <cp:revision>3</cp:revision>
  <dcterms:created xsi:type="dcterms:W3CDTF">2020-07-20T03:29:00Z</dcterms:created>
  <dcterms:modified xsi:type="dcterms:W3CDTF">2020-07-20T04:32:00Z</dcterms:modified>
</cp:coreProperties>
</file>