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AE8" w:rsidRDefault="00935AE8">
      <w:r>
        <w:object w:dxaOrig="720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4pt" o:ole="">
            <v:imagedata r:id="rId5" o:title=""/>
          </v:shape>
          <o:OLEObject Type="Embed" ProgID="PowerPoint.Show.12" ShapeID="_x0000_i1025" DrawAspect="Content" ObjectID="_1493458711" r:id="rId6"/>
        </w:object>
      </w:r>
    </w:p>
    <w:p w:rsidR="00935AE8" w:rsidRDefault="00935AE8" w:rsidP="00935AE8">
      <w:pPr>
        <w:spacing w:after="0" w:line="360" w:lineRule="auto"/>
        <w:rPr>
          <w:rFonts w:ascii="Cambria" w:eastAsia="MS Mincho" w:hAnsi="Cambria" w:cs="Times New Roman"/>
          <w:sz w:val="24"/>
          <w:szCs w:val="24"/>
        </w:rPr>
      </w:pPr>
      <w:proofErr w:type="gramStart"/>
      <w:r>
        <w:rPr>
          <w:rFonts w:ascii="Cambria" w:eastAsia="MS Mincho" w:hAnsi="Cambria" w:cs="Times New Roman"/>
          <w:b/>
          <w:bCs/>
          <w:sz w:val="24"/>
          <w:szCs w:val="24"/>
        </w:rPr>
        <w:t>Supplementary Figure 1.</w:t>
      </w:r>
      <w:proofErr w:type="gramEnd"/>
      <w:r>
        <w:rPr>
          <w:rFonts w:ascii="Cambria" w:eastAsia="MS Mincho" w:hAnsi="Cambria" w:cs="Times New Roman"/>
          <w:b/>
          <w:bCs/>
          <w:sz w:val="24"/>
          <w:szCs w:val="24"/>
        </w:rPr>
        <w:t xml:space="preserve"> Resting State Networks Identified by Independent Component Analysis (ICA).</w:t>
      </w:r>
      <w:r>
        <w:rPr>
          <w:rFonts w:ascii="Cambria" w:eastAsia="MS Mincho" w:hAnsi="Cambria" w:cs="Times New Roman"/>
          <w:sz w:val="24"/>
          <w:szCs w:val="24"/>
        </w:rPr>
        <w:t xml:space="preserve"> Seventeen networks were identified as valid, non-noise networks from the ICA (originally restricted to 30 components). Voxel based statistics used, cluster corrected p &lt; 0.05. Image left equals subject right. Networks: A. Cerebellum; B. Right Executive Control Network (ECN); C. Primary Visual; D. Medial Sensory-Motor; E. </w:t>
      </w:r>
      <w:proofErr w:type="spellStart"/>
      <w:r>
        <w:rPr>
          <w:rFonts w:ascii="Cambria" w:eastAsia="MS Mincho" w:hAnsi="Cambria" w:cs="Times New Roman"/>
          <w:sz w:val="24"/>
          <w:szCs w:val="24"/>
        </w:rPr>
        <w:t>Precuneus</w:t>
      </w:r>
      <w:proofErr w:type="spellEnd"/>
      <w:r>
        <w:rPr>
          <w:rFonts w:ascii="Cambria" w:eastAsia="MS Mincho" w:hAnsi="Cambria" w:cs="Times New Roman"/>
          <w:sz w:val="24"/>
          <w:szCs w:val="24"/>
        </w:rPr>
        <w:t xml:space="preserve"> / Default Mode Network (DMN); F. Ventral DMN; G. Anterior DMN; H. Visuospatial and Left ECN; I. Visuospatial (Lateral); J. Higher Visual; K. Language and Dorsal DMN; L. Lateral Sensory-Motor; M. Salience; N. Basal Ganglia; O. Visuospatial (Medial); P. Auditory; Q. Medial Temporal Lobe. </w:t>
      </w:r>
    </w:p>
    <w:p w:rsidR="00D161A6" w:rsidRDefault="00A45AA4" w:rsidP="00935AE8"/>
    <w:p w:rsidR="00935AE8" w:rsidRDefault="00935AE8" w:rsidP="00935AE8"/>
    <w:p w:rsidR="00935AE8" w:rsidRDefault="00935AE8" w:rsidP="00935AE8"/>
    <w:p w:rsidR="00935AE8" w:rsidRDefault="00935AE8" w:rsidP="00935AE8"/>
    <w:p w:rsidR="00935AE8" w:rsidRDefault="00935AE8" w:rsidP="00935AE8"/>
    <w:p w:rsidR="00935AE8" w:rsidRDefault="00935AE8" w:rsidP="00935AE8"/>
    <w:p w:rsidR="00935AE8" w:rsidRDefault="00935AE8" w:rsidP="00935AE8">
      <w:r>
        <w:object w:dxaOrig="7201" w:dyaOrig="5390">
          <v:shape id="_x0000_i1026" type="#_x0000_t75" style="width:5in;height:269.4pt" o:ole="">
            <v:imagedata r:id="rId7" o:title=""/>
          </v:shape>
          <o:OLEObject Type="Embed" ProgID="PowerPoint.Show.12" ShapeID="_x0000_i1026" DrawAspect="Content" ObjectID="_1493458712" r:id="rId8"/>
        </w:object>
      </w:r>
    </w:p>
    <w:p w:rsidR="00935AE8" w:rsidRDefault="00935AE8" w:rsidP="00935AE8">
      <w:pPr>
        <w:spacing w:after="0" w:line="360" w:lineRule="auto"/>
        <w:rPr>
          <w:rFonts w:ascii="Cambria" w:eastAsia="MS Mincho" w:hAnsi="Cambria" w:cs="Times New Roman"/>
          <w:sz w:val="24"/>
          <w:szCs w:val="24"/>
        </w:rPr>
      </w:pPr>
      <w:proofErr w:type="gramStart"/>
      <w:r>
        <w:rPr>
          <w:rFonts w:ascii="Cambria" w:eastAsia="MS Mincho" w:hAnsi="Cambria" w:cs="Times New Roman"/>
          <w:b/>
          <w:bCs/>
          <w:sz w:val="24"/>
          <w:szCs w:val="24"/>
        </w:rPr>
        <w:t>Supplementary Figure 2.</w:t>
      </w:r>
      <w:proofErr w:type="gramEnd"/>
      <w:r>
        <w:rPr>
          <w:rFonts w:ascii="Cambria" w:eastAsia="MS Mincho" w:hAnsi="Cambria" w:cs="Times New Roman"/>
          <w:b/>
          <w:bCs/>
          <w:sz w:val="24"/>
          <w:szCs w:val="24"/>
        </w:rPr>
        <w:t xml:space="preserve"> </w:t>
      </w:r>
      <w:proofErr w:type="gramStart"/>
      <w:r>
        <w:rPr>
          <w:rFonts w:ascii="Cambria" w:eastAsia="MS Mincho" w:hAnsi="Cambria" w:cs="Times New Roman"/>
          <w:b/>
          <w:bCs/>
          <w:sz w:val="24"/>
          <w:szCs w:val="24"/>
        </w:rPr>
        <w:t xml:space="preserve">PCC-Connected </w:t>
      </w:r>
      <w:proofErr w:type="spellStart"/>
      <w:r>
        <w:rPr>
          <w:rFonts w:ascii="Cambria" w:eastAsia="MS Mincho" w:hAnsi="Cambria" w:cs="Times New Roman"/>
          <w:b/>
          <w:bCs/>
          <w:sz w:val="24"/>
          <w:szCs w:val="24"/>
        </w:rPr>
        <w:t>aROIs</w:t>
      </w:r>
      <w:proofErr w:type="spellEnd"/>
      <w:r>
        <w:rPr>
          <w:rFonts w:ascii="Cambria" w:eastAsia="MS Mincho" w:hAnsi="Cambria" w:cs="Times New Roman"/>
          <w:b/>
          <w:bCs/>
          <w:sz w:val="24"/>
          <w:szCs w:val="24"/>
        </w:rPr>
        <w:t xml:space="preserve"> for Clinical and Behavioral Associations.</w:t>
      </w:r>
      <w:proofErr w:type="gramEnd"/>
      <w:r>
        <w:rPr>
          <w:rFonts w:ascii="Cambria" w:eastAsia="MS Mincho" w:hAnsi="Cambria" w:cs="Times New Roman"/>
          <w:b/>
          <w:bCs/>
          <w:sz w:val="24"/>
          <w:szCs w:val="24"/>
        </w:rPr>
        <w:t xml:space="preserve"> </w:t>
      </w:r>
      <w:r>
        <w:rPr>
          <w:rFonts w:ascii="Cambria" w:eastAsia="MS Mincho" w:hAnsi="Cambria" w:cs="Times New Roman"/>
          <w:sz w:val="24"/>
          <w:szCs w:val="24"/>
        </w:rPr>
        <w:t xml:space="preserve"> Regions of increased functional connectivity (FC) to the seed PCC region, as identified by the seed-based FC analysis (light yellow), were overlaid with mask regions from the AAL atlas (light purple) to determine anatomically defined regions of interest (</w:t>
      </w:r>
      <w:proofErr w:type="spellStart"/>
      <w:r>
        <w:rPr>
          <w:rFonts w:ascii="Cambria" w:eastAsia="MS Mincho" w:hAnsi="Cambria" w:cs="Times New Roman"/>
          <w:sz w:val="24"/>
          <w:szCs w:val="24"/>
        </w:rPr>
        <w:t>aROIs</w:t>
      </w:r>
      <w:proofErr w:type="spellEnd"/>
      <w:r>
        <w:rPr>
          <w:rFonts w:ascii="Cambria" w:eastAsia="MS Mincho" w:hAnsi="Cambria" w:cs="Times New Roman"/>
          <w:sz w:val="24"/>
          <w:szCs w:val="24"/>
        </w:rPr>
        <w:t xml:space="preserve">, overlap, red). Mean activity time courses were extracted from each of the 10 </w:t>
      </w:r>
      <w:proofErr w:type="spellStart"/>
      <w:r>
        <w:rPr>
          <w:rFonts w:ascii="Cambria" w:eastAsia="MS Mincho" w:hAnsi="Cambria" w:cs="Times New Roman"/>
          <w:sz w:val="24"/>
          <w:szCs w:val="24"/>
        </w:rPr>
        <w:t>aROIs</w:t>
      </w:r>
      <w:proofErr w:type="spellEnd"/>
      <w:r>
        <w:rPr>
          <w:rFonts w:ascii="Cambria" w:eastAsia="MS Mincho" w:hAnsi="Cambria" w:cs="Times New Roman"/>
          <w:sz w:val="24"/>
          <w:szCs w:val="24"/>
        </w:rPr>
        <w:t xml:space="preserve"> (red). The degree of correlation between the PCC seed time </w:t>
      </w:r>
      <w:r>
        <w:rPr>
          <w:rFonts w:ascii="Cambria" w:eastAsia="MS Mincho" w:hAnsi="Cambria" w:cs="Times New Roman"/>
          <w:sz w:val="24"/>
          <w:szCs w:val="24"/>
        </w:rPr>
        <w:lastRenderedPageBreak/>
        <w:t xml:space="preserve">course and </w:t>
      </w:r>
      <w:proofErr w:type="spellStart"/>
      <w:r>
        <w:rPr>
          <w:rFonts w:ascii="Cambria" w:eastAsia="MS Mincho" w:hAnsi="Cambria" w:cs="Times New Roman"/>
          <w:sz w:val="24"/>
          <w:szCs w:val="24"/>
        </w:rPr>
        <w:t>aROI</w:t>
      </w:r>
      <w:proofErr w:type="spellEnd"/>
      <w:r>
        <w:rPr>
          <w:rFonts w:ascii="Cambria" w:eastAsia="MS Mincho" w:hAnsi="Cambria" w:cs="Times New Roman"/>
          <w:sz w:val="24"/>
          <w:szCs w:val="24"/>
        </w:rPr>
        <w:t xml:space="preserve"> time courses were then used as input to assess correlations with clinical and behavioral measures. Image left equals subject right. </w:t>
      </w:r>
      <w:proofErr w:type="gramStart"/>
      <w:r>
        <w:rPr>
          <w:rFonts w:ascii="Cambria" w:eastAsia="MS Mincho" w:hAnsi="Cambria" w:cs="Times New Roman"/>
          <w:sz w:val="24"/>
          <w:szCs w:val="24"/>
        </w:rPr>
        <w:t>Results in Table 4A.</w:t>
      </w:r>
      <w:proofErr w:type="gramEnd"/>
      <w:r>
        <w:rPr>
          <w:rFonts w:ascii="Cambria" w:eastAsia="MS Mincho" w:hAnsi="Cambria" w:cs="Times New Roman"/>
          <w:sz w:val="24"/>
          <w:szCs w:val="24"/>
        </w:rPr>
        <w:t xml:space="preserve"> A. left insula (z= 4); B. right insula (z = 6); C. right thalamus (z = 12); D. bilateral putamen (z= 4); E. bilateral </w:t>
      </w:r>
      <w:proofErr w:type="spellStart"/>
      <w:r>
        <w:rPr>
          <w:rFonts w:ascii="Cambria" w:eastAsia="MS Mincho" w:hAnsi="Cambria" w:cs="Times New Roman"/>
          <w:sz w:val="24"/>
          <w:szCs w:val="24"/>
        </w:rPr>
        <w:t>globus</w:t>
      </w:r>
      <w:proofErr w:type="spellEnd"/>
      <w:r>
        <w:rPr>
          <w:rFonts w:ascii="Cambria" w:eastAsia="MS Mincho" w:hAnsi="Cambria" w:cs="Times New Roman"/>
          <w:sz w:val="24"/>
          <w:szCs w:val="24"/>
        </w:rPr>
        <w:t xml:space="preserve"> </w:t>
      </w:r>
      <w:proofErr w:type="spellStart"/>
      <w:r>
        <w:rPr>
          <w:rFonts w:ascii="Cambria" w:eastAsia="MS Mincho" w:hAnsi="Cambria" w:cs="Times New Roman"/>
          <w:sz w:val="24"/>
          <w:szCs w:val="24"/>
        </w:rPr>
        <w:t>pallidus</w:t>
      </w:r>
      <w:proofErr w:type="spellEnd"/>
      <w:r>
        <w:rPr>
          <w:rFonts w:ascii="Cambria" w:eastAsia="MS Mincho" w:hAnsi="Cambria" w:cs="Times New Roman"/>
          <w:sz w:val="24"/>
          <w:szCs w:val="24"/>
        </w:rPr>
        <w:t xml:space="preserve"> (z = 2); F. left dorsolateral prefrontal cortex (y = 44); G. left hippocampus (y = -6); H. left amygdala (y = -2). </w:t>
      </w:r>
    </w:p>
    <w:p w:rsidR="00935AE8" w:rsidRDefault="00935AE8" w:rsidP="00935AE8"/>
    <w:p w:rsidR="00935AE8" w:rsidRDefault="00935AE8" w:rsidP="00935AE8"/>
    <w:p w:rsidR="00935AE8" w:rsidRDefault="00935AE8" w:rsidP="00935AE8"/>
    <w:p w:rsidR="00A45AA4" w:rsidRDefault="00A45AA4" w:rsidP="00935AE8"/>
    <w:p w:rsidR="00A45AA4" w:rsidRDefault="00A45AA4" w:rsidP="00935AE8"/>
    <w:p w:rsidR="00935AE8" w:rsidRDefault="00935AE8" w:rsidP="00935AE8"/>
    <w:p w:rsidR="00935AE8" w:rsidRDefault="00935AE8" w:rsidP="00935AE8">
      <w:r>
        <w:object w:dxaOrig="7201" w:dyaOrig="5390">
          <v:shape id="_x0000_i1027" type="#_x0000_t75" style="width:5in;height:269.4pt" o:ole="">
            <v:imagedata r:id="rId9" o:title=""/>
          </v:shape>
          <o:OLEObject Type="Embed" ProgID="PowerPoint.Show.12" ShapeID="_x0000_i1027" DrawAspect="Content" ObjectID="_1493458713" r:id="rId10"/>
        </w:object>
      </w:r>
    </w:p>
    <w:p w:rsidR="00935AE8" w:rsidRDefault="00935AE8" w:rsidP="00935AE8">
      <w:pPr>
        <w:tabs>
          <w:tab w:val="num" w:pos="720"/>
        </w:tabs>
        <w:spacing w:after="0" w:line="360" w:lineRule="auto"/>
        <w:rPr>
          <w:rFonts w:ascii="Cambria" w:eastAsia="MS Mincho" w:hAnsi="Cambria" w:cs="Times New Roman"/>
          <w:sz w:val="24"/>
          <w:szCs w:val="24"/>
        </w:rPr>
      </w:pPr>
      <w:proofErr w:type="gramStart"/>
      <w:r>
        <w:rPr>
          <w:rFonts w:ascii="Cambria" w:eastAsia="MS Mincho" w:hAnsi="Cambria" w:cs="Times New Roman"/>
          <w:b/>
          <w:bCs/>
          <w:sz w:val="24"/>
          <w:szCs w:val="24"/>
        </w:rPr>
        <w:t>Supplementary Figure 3.</w:t>
      </w:r>
      <w:proofErr w:type="gramEnd"/>
      <w:r>
        <w:rPr>
          <w:rFonts w:ascii="Cambria" w:eastAsia="MS Mincho" w:hAnsi="Cambria" w:cs="Times New Roman"/>
          <w:b/>
          <w:bCs/>
          <w:sz w:val="24"/>
          <w:szCs w:val="24"/>
        </w:rPr>
        <w:t xml:space="preserve"> </w:t>
      </w:r>
      <w:proofErr w:type="spellStart"/>
      <w:proofErr w:type="gramStart"/>
      <w:r>
        <w:rPr>
          <w:rFonts w:ascii="Cambria" w:eastAsia="MS Mincho" w:hAnsi="Cambria" w:cs="Times New Roman"/>
          <w:b/>
          <w:bCs/>
          <w:sz w:val="24"/>
          <w:szCs w:val="24"/>
        </w:rPr>
        <w:t>Precuneus</w:t>
      </w:r>
      <w:proofErr w:type="spellEnd"/>
      <w:r>
        <w:rPr>
          <w:rFonts w:ascii="Cambria" w:eastAsia="MS Mincho" w:hAnsi="Cambria" w:cs="Times New Roman"/>
          <w:b/>
          <w:bCs/>
          <w:sz w:val="24"/>
          <w:szCs w:val="24"/>
        </w:rPr>
        <w:t xml:space="preserve">-Connected </w:t>
      </w:r>
      <w:proofErr w:type="spellStart"/>
      <w:r>
        <w:rPr>
          <w:rFonts w:ascii="Cambria" w:eastAsia="MS Mincho" w:hAnsi="Cambria" w:cs="Times New Roman"/>
          <w:b/>
          <w:bCs/>
          <w:sz w:val="24"/>
          <w:szCs w:val="24"/>
        </w:rPr>
        <w:t>aROIs</w:t>
      </w:r>
      <w:proofErr w:type="spellEnd"/>
      <w:r>
        <w:rPr>
          <w:rFonts w:ascii="Cambria" w:eastAsia="MS Mincho" w:hAnsi="Cambria" w:cs="Times New Roman"/>
          <w:b/>
          <w:bCs/>
          <w:sz w:val="24"/>
          <w:szCs w:val="24"/>
        </w:rPr>
        <w:t xml:space="preserve"> for Clinical and Behavioral Associations.</w:t>
      </w:r>
      <w:proofErr w:type="gramEnd"/>
      <w:r>
        <w:rPr>
          <w:rFonts w:ascii="Cambria" w:eastAsia="MS Mincho" w:hAnsi="Cambria" w:cs="Times New Roman"/>
          <w:b/>
          <w:bCs/>
          <w:sz w:val="24"/>
          <w:szCs w:val="24"/>
        </w:rPr>
        <w:t xml:space="preserve"> </w:t>
      </w:r>
      <w:r>
        <w:rPr>
          <w:rFonts w:ascii="Cambria" w:eastAsia="MS Mincho" w:hAnsi="Cambria" w:cs="Times New Roman"/>
          <w:sz w:val="24"/>
          <w:szCs w:val="24"/>
        </w:rPr>
        <w:t xml:space="preserve"> Regions of increased functional connectivity (FC) to the seed left </w:t>
      </w:r>
      <w:proofErr w:type="spellStart"/>
      <w:r>
        <w:rPr>
          <w:rFonts w:ascii="Cambria" w:eastAsia="MS Mincho" w:hAnsi="Cambria" w:cs="Times New Roman"/>
          <w:sz w:val="24"/>
          <w:szCs w:val="24"/>
        </w:rPr>
        <w:t>precuneus</w:t>
      </w:r>
      <w:proofErr w:type="spellEnd"/>
      <w:r>
        <w:rPr>
          <w:rFonts w:ascii="Cambria" w:eastAsia="MS Mincho" w:hAnsi="Cambria" w:cs="Times New Roman"/>
          <w:sz w:val="24"/>
          <w:szCs w:val="24"/>
        </w:rPr>
        <w:t xml:space="preserve"> region, as identified by the seed-based FC analysis (yellow), were overlaid with mask regions from the AAL atlas (purple) to determine anatomically defined regions of interest (</w:t>
      </w:r>
      <w:proofErr w:type="spellStart"/>
      <w:r>
        <w:rPr>
          <w:rFonts w:ascii="Cambria" w:eastAsia="MS Mincho" w:hAnsi="Cambria" w:cs="Times New Roman"/>
          <w:sz w:val="24"/>
          <w:szCs w:val="24"/>
        </w:rPr>
        <w:t>aROIs</w:t>
      </w:r>
      <w:proofErr w:type="spellEnd"/>
      <w:r>
        <w:rPr>
          <w:rFonts w:ascii="Cambria" w:eastAsia="MS Mincho" w:hAnsi="Cambria" w:cs="Times New Roman"/>
          <w:sz w:val="24"/>
          <w:szCs w:val="24"/>
        </w:rPr>
        <w:t xml:space="preserve">, overlap, red). Mean activity time courses were extracted from each of the 11 </w:t>
      </w:r>
      <w:proofErr w:type="spellStart"/>
      <w:r>
        <w:rPr>
          <w:rFonts w:ascii="Cambria" w:eastAsia="MS Mincho" w:hAnsi="Cambria" w:cs="Times New Roman"/>
          <w:sz w:val="24"/>
          <w:szCs w:val="24"/>
        </w:rPr>
        <w:t>aROIs</w:t>
      </w:r>
      <w:proofErr w:type="spellEnd"/>
      <w:r>
        <w:rPr>
          <w:rFonts w:ascii="Cambria" w:eastAsia="MS Mincho" w:hAnsi="Cambria" w:cs="Times New Roman"/>
          <w:sz w:val="24"/>
          <w:szCs w:val="24"/>
        </w:rPr>
        <w:t xml:space="preserve"> (red). The degree of correlation between the left </w:t>
      </w:r>
      <w:proofErr w:type="spellStart"/>
      <w:r>
        <w:rPr>
          <w:rFonts w:ascii="Cambria" w:eastAsia="MS Mincho" w:hAnsi="Cambria" w:cs="Times New Roman"/>
          <w:sz w:val="24"/>
          <w:szCs w:val="24"/>
        </w:rPr>
        <w:t>precuneus</w:t>
      </w:r>
      <w:proofErr w:type="spellEnd"/>
      <w:r>
        <w:rPr>
          <w:rFonts w:ascii="Cambria" w:eastAsia="MS Mincho" w:hAnsi="Cambria" w:cs="Times New Roman"/>
          <w:sz w:val="24"/>
          <w:szCs w:val="24"/>
        </w:rPr>
        <w:t xml:space="preserve"> seed time course and </w:t>
      </w:r>
      <w:proofErr w:type="spellStart"/>
      <w:r>
        <w:rPr>
          <w:rFonts w:ascii="Cambria" w:eastAsia="MS Mincho" w:hAnsi="Cambria" w:cs="Times New Roman"/>
          <w:sz w:val="24"/>
          <w:szCs w:val="24"/>
        </w:rPr>
        <w:t>aROI</w:t>
      </w:r>
      <w:proofErr w:type="spellEnd"/>
      <w:r>
        <w:rPr>
          <w:rFonts w:ascii="Cambria" w:eastAsia="MS Mincho" w:hAnsi="Cambria" w:cs="Times New Roman"/>
          <w:sz w:val="24"/>
          <w:szCs w:val="24"/>
        </w:rPr>
        <w:t xml:space="preserve"> time courses were then used as input to assess correlations with clinical and behavioral measures. Image left equals subject right. </w:t>
      </w:r>
      <w:proofErr w:type="gramStart"/>
      <w:r>
        <w:rPr>
          <w:rFonts w:ascii="Cambria" w:eastAsia="MS Mincho" w:hAnsi="Cambria" w:cs="Times New Roman"/>
          <w:sz w:val="24"/>
          <w:szCs w:val="24"/>
        </w:rPr>
        <w:t>Results in Table 4B.</w:t>
      </w:r>
      <w:proofErr w:type="gramEnd"/>
      <w:r>
        <w:rPr>
          <w:rFonts w:ascii="Cambria" w:eastAsia="MS Mincho" w:hAnsi="Cambria" w:cs="Times New Roman"/>
          <w:sz w:val="24"/>
          <w:szCs w:val="24"/>
        </w:rPr>
        <w:t xml:space="preserve"> A. left ventromedial prefrontal cortex (x = -2); B. right ventromedial prefrontal cortex (x = 6); C. left orbitofrontal cortex (z = -10); D. right orbitofrontal cortex (z = -8); E. right anterior cingulate cortex (x = 4); F. left mid-cingulate cortex (z =34); G. right superior parietal lobe (x = 38); H. right inferior parietal lobe (y = -54); I. right angular gyrus (x = 42); J. left </w:t>
      </w:r>
      <w:proofErr w:type="spellStart"/>
      <w:r>
        <w:rPr>
          <w:rFonts w:ascii="Cambria" w:eastAsia="MS Mincho" w:hAnsi="Cambria" w:cs="Times New Roman"/>
          <w:sz w:val="24"/>
          <w:szCs w:val="24"/>
        </w:rPr>
        <w:t>precuneus</w:t>
      </w:r>
      <w:proofErr w:type="spellEnd"/>
      <w:r>
        <w:rPr>
          <w:rFonts w:ascii="Cambria" w:eastAsia="MS Mincho" w:hAnsi="Cambria" w:cs="Times New Roman"/>
          <w:sz w:val="24"/>
          <w:szCs w:val="24"/>
        </w:rPr>
        <w:t xml:space="preserve"> (x = -6); K. right </w:t>
      </w:r>
      <w:proofErr w:type="spellStart"/>
      <w:r>
        <w:rPr>
          <w:rFonts w:ascii="Cambria" w:eastAsia="MS Mincho" w:hAnsi="Cambria" w:cs="Times New Roman"/>
          <w:sz w:val="24"/>
          <w:szCs w:val="24"/>
        </w:rPr>
        <w:t>precuneus</w:t>
      </w:r>
      <w:proofErr w:type="spellEnd"/>
      <w:r>
        <w:rPr>
          <w:rFonts w:ascii="Cambria" w:eastAsia="MS Mincho" w:hAnsi="Cambria" w:cs="Times New Roman"/>
          <w:sz w:val="24"/>
          <w:szCs w:val="24"/>
        </w:rPr>
        <w:t xml:space="preserve"> (x = 6). </w:t>
      </w:r>
    </w:p>
    <w:p w:rsidR="00935AE8" w:rsidRDefault="00935AE8" w:rsidP="00935AE8">
      <w:pPr>
        <w:tabs>
          <w:tab w:val="num" w:pos="720"/>
        </w:tabs>
        <w:spacing w:after="0" w:line="360" w:lineRule="auto"/>
        <w:rPr>
          <w:rFonts w:ascii="Cambria" w:eastAsia="MS Mincho" w:hAnsi="Cambria" w:cs="Times New Roman"/>
          <w:sz w:val="24"/>
          <w:szCs w:val="24"/>
        </w:rPr>
      </w:pPr>
    </w:p>
    <w:p w:rsidR="00935AE8" w:rsidRDefault="00935AE8" w:rsidP="00935AE8"/>
    <w:p w:rsidR="00935AE8" w:rsidRDefault="00935AE8" w:rsidP="00935AE8"/>
    <w:p w:rsidR="00935AE8" w:rsidRDefault="00935AE8" w:rsidP="00935AE8"/>
    <w:p w:rsidR="00935AE8" w:rsidRDefault="00935AE8" w:rsidP="00935AE8">
      <w:r>
        <w:object w:dxaOrig="7201" w:dyaOrig="5390">
          <v:shape id="_x0000_i1028" type="#_x0000_t75" style="width:5in;height:269.4pt" o:ole="">
            <v:imagedata r:id="rId11" o:title=""/>
          </v:shape>
          <o:OLEObject Type="Embed" ProgID="PowerPoint.Show.12" ShapeID="_x0000_i1028" DrawAspect="Content" ObjectID="_1493458714" r:id="rId12"/>
        </w:object>
      </w:r>
    </w:p>
    <w:p w:rsidR="00935AE8" w:rsidRDefault="00935AE8" w:rsidP="00935AE8">
      <w:pPr>
        <w:tabs>
          <w:tab w:val="num" w:pos="720"/>
        </w:tabs>
        <w:spacing w:after="0" w:line="360" w:lineRule="auto"/>
        <w:rPr>
          <w:rFonts w:ascii="Cambria" w:eastAsia="MS Mincho" w:hAnsi="Cambria" w:cs="Times New Roman"/>
          <w:bCs/>
          <w:sz w:val="24"/>
          <w:szCs w:val="24"/>
        </w:rPr>
      </w:pPr>
      <w:proofErr w:type="gramStart"/>
      <w:r w:rsidRPr="00935AE8">
        <w:rPr>
          <w:rFonts w:ascii="Cambria" w:eastAsia="MS Mincho" w:hAnsi="Cambria" w:cs="Times New Roman"/>
          <w:b/>
          <w:bCs/>
          <w:sz w:val="24"/>
          <w:szCs w:val="24"/>
        </w:rPr>
        <w:t>Supplementary Figure 4.</w:t>
      </w:r>
      <w:proofErr w:type="gramEnd"/>
      <w:r w:rsidRPr="00935AE8">
        <w:rPr>
          <w:rFonts w:ascii="Cambria" w:eastAsia="MS Mincho" w:hAnsi="Cambria" w:cs="Times New Roman"/>
          <w:b/>
          <w:bCs/>
          <w:sz w:val="24"/>
          <w:szCs w:val="24"/>
        </w:rPr>
        <w:t xml:space="preserve"> Results from Dual Regression Analysis with Site-Effects Regressed. </w:t>
      </w:r>
      <w:r w:rsidRPr="00935AE8">
        <w:rPr>
          <w:rFonts w:ascii="Cambria" w:eastAsia="MS Mincho" w:hAnsi="Cambria" w:cs="Times New Roman"/>
          <w:bCs/>
          <w:sz w:val="24"/>
          <w:szCs w:val="24"/>
        </w:rPr>
        <w:t xml:space="preserve">Site-effects were regressed from the dual regression analysis with each site entered as a covariate (EV) during the </w:t>
      </w:r>
      <w:proofErr w:type="spellStart"/>
      <w:r w:rsidRPr="00935AE8">
        <w:rPr>
          <w:rFonts w:ascii="Cambria" w:eastAsia="MS Mincho" w:hAnsi="Cambria" w:cs="Times New Roman"/>
          <w:bCs/>
          <w:sz w:val="24"/>
          <w:szCs w:val="24"/>
        </w:rPr>
        <w:t>randomise</w:t>
      </w:r>
      <w:proofErr w:type="spellEnd"/>
      <w:r w:rsidRPr="00935AE8">
        <w:rPr>
          <w:rFonts w:ascii="Cambria" w:eastAsia="MS Mincho" w:hAnsi="Cambria" w:cs="Times New Roman"/>
          <w:bCs/>
          <w:sz w:val="24"/>
          <w:szCs w:val="24"/>
        </w:rPr>
        <w:t xml:space="preserve"> step. Results were nearly identical to the results from the original analysis, which did not include regression of site-effects. </w:t>
      </w:r>
      <w:proofErr w:type="gramStart"/>
      <w:r w:rsidRPr="00935AE8">
        <w:rPr>
          <w:rFonts w:ascii="Cambria" w:eastAsia="MS Mincho" w:hAnsi="Cambria" w:cs="Times New Roman"/>
          <w:bCs/>
          <w:sz w:val="24"/>
          <w:szCs w:val="24"/>
        </w:rPr>
        <w:t>PCC peak voxel at 4, -30, 36.</w:t>
      </w:r>
      <w:proofErr w:type="gramEnd"/>
      <w:r w:rsidRPr="00935AE8">
        <w:rPr>
          <w:rFonts w:ascii="Cambria" w:eastAsia="MS Mincho" w:hAnsi="Cambria" w:cs="Times New Roman"/>
          <w:bCs/>
          <w:sz w:val="24"/>
          <w:szCs w:val="24"/>
        </w:rPr>
        <w:t xml:space="preserve"> Left </w:t>
      </w:r>
      <w:proofErr w:type="spellStart"/>
      <w:r w:rsidRPr="00935AE8">
        <w:rPr>
          <w:rFonts w:ascii="Cambria" w:eastAsia="MS Mincho" w:hAnsi="Cambria" w:cs="Times New Roman"/>
          <w:bCs/>
          <w:sz w:val="24"/>
          <w:szCs w:val="24"/>
        </w:rPr>
        <w:t>precuneus</w:t>
      </w:r>
      <w:proofErr w:type="spellEnd"/>
      <w:r w:rsidRPr="00935AE8">
        <w:rPr>
          <w:rFonts w:ascii="Cambria" w:eastAsia="MS Mincho" w:hAnsi="Cambria" w:cs="Times New Roman"/>
          <w:bCs/>
          <w:sz w:val="24"/>
          <w:szCs w:val="24"/>
        </w:rPr>
        <w:t xml:space="preserve"> peak voxel at -22, -74, </w:t>
      </w:r>
      <w:proofErr w:type="gramStart"/>
      <w:r w:rsidRPr="00935AE8">
        <w:rPr>
          <w:rFonts w:ascii="Cambria" w:eastAsia="MS Mincho" w:hAnsi="Cambria" w:cs="Times New Roman"/>
          <w:bCs/>
          <w:sz w:val="24"/>
          <w:szCs w:val="24"/>
        </w:rPr>
        <w:t>26</w:t>
      </w:r>
      <w:proofErr w:type="gramEnd"/>
      <w:r w:rsidRPr="00935AE8">
        <w:rPr>
          <w:rFonts w:ascii="Cambria" w:eastAsia="MS Mincho" w:hAnsi="Cambria" w:cs="Times New Roman"/>
          <w:bCs/>
          <w:sz w:val="24"/>
          <w:szCs w:val="24"/>
        </w:rPr>
        <w:t>.</w:t>
      </w:r>
    </w:p>
    <w:tbl>
      <w:tblPr>
        <w:tblW w:w="12622" w:type="dxa"/>
        <w:tblInd w:w="93" w:type="dxa"/>
        <w:tblLook w:val="04A0" w:firstRow="1" w:lastRow="0" w:firstColumn="1" w:lastColumn="0" w:noHBand="0" w:noVBand="1"/>
      </w:tblPr>
      <w:tblGrid>
        <w:gridCol w:w="1447"/>
        <w:gridCol w:w="607"/>
        <w:gridCol w:w="607"/>
        <w:gridCol w:w="9961"/>
      </w:tblGrid>
      <w:tr w:rsidR="00A45AA4" w:rsidRPr="00A45AA4" w:rsidTr="00A45AA4">
        <w:trPr>
          <w:trHeight w:val="300"/>
        </w:trPr>
        <w:tc>
          <w:tcPr>
            <w:tcW w:w="12622" w:type="dxa"/>
            <w:gridSpan w:val="4"/>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b/>
                <w:bCs/>
                <w:color w:val="000000"/>
              </w:rPr>
            </w:pPr>
            <w:r>
              <w:rPr>
                <w:rFonts w:ascii="Cambria" w:eastAsia="MS Mincho" w:hAnsi="Cambria" w:cs="Times New Roman"/>
                <w:bCs/>
                <w:sz w:val="24"/>
                <w:szCs w:val="24"/>
              </w:rPr>
              <w:lastRenderedPageBreak/>
              <w:br w:type="page"/>
              <w:t>T</w:t>
            </w:r>
            <w:r w:rsidRPr="00A45AA4">
              <w:rPr>
                <w:rFonts w:ascii="Calibri" w:eastAsia="Times New Roman" w:hAnsi="Calibri" w:cs="Times New Roman"/>
                <w:b/>
                <w:bCs/>
                <w:color w:val="000000"/>
              </w:rPr>
              <w:t xml:space="preserve">able S1. Mean Functional Connectivity Values (z-scores) for PCC and L. </w:t>
            </w:r>
            <w:proofErr w:type="spellStart"/>
            <w:r w:rsidRPr="00A45AA4">
              <w:rPr>
                <w:rFonts w:ascii="Calibri" w:eastAsia="Times New Roman" w:hAnsi="Calibri" w:cs="Times New Roman"/>
                <w:b/>
                <w:bCs/>
                <w:color w:val="000000"/>
              </w:rPr>
              <w:t>Precuneus</w:t>
            </w:r>
            <w:proofErr w:type="spellEnd"/>
            <w:r w:rsidRPr="00A45AA4">
              <w:rPr>
                <w:rFonts w:ascii="Calibri" w:eastAsia="Times New Roman" w:hAnsi="Calibri" w:cs="Times New Roman"/>
                <w:b/>
                <w:bCs/>
                <w:color w:val="000000"/>
              </w:rPr>
              <w:t xml:space="preserve"> Seed-Based FC Analyses - With and Without Global Scaling</w:t>
            </w:r>
          </w:p>
        </w:tc>
      </w:tr>
      <w:tr w:rsidR="00A45AA4" w:rsidRPr="00A45AA4" w:rsidTr="00A45AA4">
        <w:trPr>
          <w:trHeight w:val="300"/>
        </w:trPr>
        <w:tc>
          <w:tcPr>
            <w:tcW w:w="12622" w:type="dxa"/>
            <w:gridSpan w:val="4"/>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b/>
                <w:bCs/>
                <w:i/>
                <w:iCs/>
                <w:color w:val="000000"/>
              </w:rPr>
            </w:pPr>
            <w:r w:rsidRPr="00A45AA4">
              <w:rPr>
                <w:rFonts w:ascii="Calibri" w:eastAsia="Times New Roman" w:hAnsi="Calibri" w:cs="Times New Roman"/>
                <w:b/>
                <w:bCs/>
                <w:i/>
                <w:iCs/>
                <w:color w:val="000000"/>
              </w:rPr>
              <w:t>Original Analysis with Global Signal Regression</w:t>
            </w:r>
          </w:p>
        </w:tc>
      </w:tr>
      <w:tr w:rsidR="00A45AA4" w:rsidRPr="00A45AA4" w:rsidTr="00A45AA4">
        <w:trPr>
          <w:trHeight w:val="300"/>
        </w:trPr>
        <w:tc>
          <w:tcPr>
            <w:tcW w:w="144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b/>
                <w:bCs/>
                <w:color w:val="000000"/>
              </w:rPr>
            </w:pPr>
            <w:r w:rsidRPr="00A45AA4">
              <w:rPr>
                <w:rFonts w:ascii="Calibri" w:eastAsia="Times New Roman" w:hAnsi="Calibri" w:cs="Times New Roman"/>
                <w:b/>
                <w:bCs/>
                <w:color w:val="000000"/>
              </w:rPr>
              <w:t>CPP</w:t>
            </w: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b/>
                <w:bCs/>
                <w:color w:val="000000"/>
              </w:rPr>
            </w:pPr>
            <w:r w:rsidRPr="00A45AA4">
              <w:rPr>
                <w:rFonts w:ascii="Calibri" w:eastAsia="Times New Roman" w:hAnsi="Calibri" w:cs="Times New Roman"/>
                <w:b/>
                <w:bCs/>
                <w:color w:val="000000"/>
              </w:rPr>
              <w:t>HC</w:t>
            </w:r>
          </w:p>
        </w:tc>
        <w:tc>
          <w:tcPr>
            <w:tcW w:w="9961"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b/>
                <w:bCs/>
                <w:color w:val="000000"/>
              </w:rPr>
            </w:pPr>
            <w:r w:rsidRPr="00A45AA4">
              <w:rPr>
                <w:rFonts w:ascii="Calibri" w:eastAsia="Times New Roman" w:hAnsi="Calibri" w:cs="Times New Roman"/>
                <w:b/>
                <w:bCs/>
                <w:color w:val="000000"/>
              </w:rPr>
              <w:t>Interpretation</w:t>
            </w:r>
          </w:p>
        </w:tc>
      </w:tr>
      <w:tr w:rsidR="00A45AA4" w:rsidRPr="00A45AA4" w:rsidTr="00A45AA4">
        <w:trPr>
          <w:trHeight w:val="300"/>
        </w:trPr>
        <w:tc>
          <w:tcPr>
            <w:tcW w:w="144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b/>
                <w:bCs/>
                <w:color w:val="000000"/>
              </w:rPr>
            </w:pPr>
            <w:r w:rsidRPr="00A45AA4">
              <w:rPr>
                <w:rFonts w:ascii="Calibri" w:eastAsia="Times New Roman" w:hAnsi="Calibri" w:cs="Times New Roman"/>
                <w:b/>
                <w:bCs/>
                <w:color w:val="000000"/>
              </w:rPr>
              <w:t xml:space="preserve">PCC </w:t>
            </w: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0.75</w:t>
            </w: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-0.24</w:t>
            </w:r>
          </w:p>
        </w:tc>
        <w:tc>
          <w:tcPr>
            <w:tcW w:w="9961"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Negative connectivity (</w:t>
            </w:r>
            <w:proofErr w:type="spellStart"/>
            <w:r w:rsidRPr="00A45AA4">
              <w:rPr>
                <w:rFonts w:ascii="Calibri" w:eastAsia="Times New Roman" w:hAnsi="Calibri" w:cs="Times New Roman"/>
                <w:color w:val="000000"/>
              </w:rPr>
              <w:t>anticorrelation</w:t>
            </w:r>
            <w:proofErr w:type="spellEnd"/>
            <w:r w:rsidRPr="00A45AA4">
              <w:rPr>
                <w:rFonts w:ascii="Calibri" w:eastAsia="Times New Roman" w:hAnsi="Calibri" w:cs="Times New Roman"/>
                <w:color w:val="000000"/>
              </w:rPr>
              <w:t xml:space="preserve">) in HCs; </w:t>
            </w:r>
            <w:proofErr w:type="spellStart"/>
            <w:r w:rsidRPr="00A45AA4">
              <w:rPr>
                <w:rFonts w:ascii="Calibri" w:eastAsia="Times New Roman" w:hAnsi="Calibri" w:cs="Times New Roman"/>
                <w:color w:val="000000"/>
              </w:rPr>
              <w:t>postive</w:t>
            </w:r>
            <w:proofErr w:type="spellEnd"/>
            <w:r w:rsidRPr="00A45AA4">
              <w:rPr>
                <w:rFonts w:ascii="Calibri" w:eastAsia="Times New Roman" w:hAnsi="Calibri" w:cs="Times New Roman"/>
                <w:color w:val="000000"/>
              </w:rPr>
              <w:t xml:space="preserve"> connectivity in patients.</w:t>
            </w:r>
          </w:p>
        </w:tc>
      </w:tr>
      <w:tr w:rsidR="00A45AA4" w:rsidRPr="00A45AA4" w:rsidTr="00A45AA4">
        <w:trPr>
          <w:trHeight w:val="300"/>
        </w:trPr>
        <w:tc>
          <w:tcPr>
            <w:tcW w:w="144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b/>
                <w:bCs/>
                <w:color w:val="000000"/>
              </w:rPr>
            </w:pPr>
            <w:r w:rsidRPr="00A45AA4">
              <w:rPr>
                <w:rFonts w:ascii="Calibri" w:eastAsia="Times New Roman" w:hAnsi="Calibri" w:cs="Times New Roman"/>
                <w:b/>
                <w:bCs/>
                <w:color w:val="000000"/>
              </w:rPr>
              <w:t xml:space="preserve">L. </w:t>
            </w:r>
            <w:proofErr w:type="spellStart"/>
            <w:r w:rsidRPr="00A45AA4">
              <w:rPr>
                <w:rFonts w:ascii="Calibri" w:eastAsia="Times New Roman" w:hAnsi="Calibri" w:cs="Times New Roman"/>
                <w:b/>
                <w:bCs/>
                <w:color w:val="000000"/>
              </w:rPr>
              <w:t>Precuneus</w:t>
            </w:r>
            <w:proofErr w:type="spellEnd"/>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0.02</w:t>
            </w: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-1.19</w:t>
            </w:r>
          </w:p>
        </w:tc>
        <w:tc>
          <w:tcPr>
            <w:tcW w:w="9961"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Negative connectivity (</w:t>
            </w:r>
            <w:proofErr w:type="spellStart"/>
            <w:r w:rsidRPr="00A45AA4">
              <w:rPr>
                <w:rFonts w:ascii="Calibri" w:eastAsia="Times New Roman" w:hAnsi="Calibri" w:cs="Times New Roman"/>
                <w:color w:val="000000"/>
              </w:rPr>
              <w:t>anticorrelation</w:t>
            </w:r>
            <w:proofErr w:type="spellEnd"/>
            <w:r w:rsidRPr="00A45AA4">
              <w:rPr>
                <w:rFonts w:ascii="Calibri" w:eastAsia="Times New Roman" w:hAnsi="Calibri" w:cs="Times New Roman"/>
                <w:color w:val="000000"/>
              </w:rPr>
              <w:t>) in HCs; nearly eliminated connectivity in patients.</w:t>
            </w:r>
          </w:p>
        </w:tc>
      </w:tr>
      <w:tr w:rsidR="00A45AA4" w:rsidRPr="00A45AA4" w:rsidTr="00A45AA4">
        <w:trPr>
          <w:trHeight w:val="300"/>
        </w:trPr>
        <w:tc>
          <w:tcPr>
            <w:tcW w:w="144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c>
          <w:tcPr>
            <w:tcW w:w="9961"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r>
      <w:tr w:rsidR="00A45AA4" w:rsidRPr="00A45AA4" w:rsidTr="00A45AA4">
        <w:trPr>
          <w:trHeight w:val="300"/>
        </w:trPr>
        <w:tc>
          <w:tcPr>
            <w:tcW w:w="12622" w:type="dxa"/>
            <w:gridSpan w:val="4"/>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b/>
                <w:bCs/>
                <w:i/>
                <w:iCs/>
                <w:color w:val="000000"/>
              </w:rPr>
            </w:pPr>
            <w:r w:rsidRPr="00A45AA4">
              <w:rPr>
                <w:rFonts w:ascii="Calibri" w:eastAsia="Times New Roman" w:hAnsi="Calibri" w:cs="Times New Roman"/>
                <w:b/>
                <w:bCs/>
                <w:i/>
                <w:iCs/>
                <w:color w:val="000000"/>
              </w:rPr>
              <w:t>Subsequent Confirmatory Analysis with NO Global Signal Regression</w:t>
            </w:r>
          </w:p>
        </w:tc>
      </w:tr>
      <w:tr w:rsidR="00A45AA4" w:rsidRPr="00A45AA4" w:rsidTr="00A45AA4">
        <w:trPr>
          <w:trHeight w:val="300"/>
        </w:trPr>
        <w:tc>
          <w:tcPr>
            <w:tcW w:w="144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b/>
                <w:bCs/>
                <w:color w:val="000000"/>
              </w:rPr>
            </w:pPr>
            <w:r w:rsidRPr="00A45AA4">
              <w:rPr>
                <w:rFonts w:ascii="Calibri" w:eastAsia="Times New Roman" w:hAnsi="Calibri" w:cs="Times New Roman"/>
                <w:b/>
                <w:bCs/>
                <w:color w:val="000000"/>
              </w:rPr>
              <w:t>CPP</w:t>
            </w: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b/>
                <w:bCs/>
                <w:color w:val="000000"/>
              </w:rPr>
            </w:pPr>
            <w:r w:rsidRPr="00A45AA4">
              <w:rPr>
                <w:rFonts w:ascii="Calibri" w:eastAsia="Times New Roman" w:hAnsi="Calibri" w:cs="Times New Roman"/>
                <w:b/>
                <w:bCs/>
                <w:color w:val="000000"/>
              </w:rPr>
              <w:t>HC</w:t>
            </w:r>
          </w:p>
        </w:tc>
        <w:tc>
          <w:tcPr>
            <w:tcW w:w="9961"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b/>
                <w:bCs/>
                <w:color w:val="000000"/>
              </w:rPr>
            </w:pPr>
            <w:r w:rsidRPr="00A45AA4">
              <w:rPr>
                <w:rFonts w:ascii="Calibri" w:eastAsia="Times New Roman" w:hAnsi="Calibri" w:cs="Times New Roman"/>
                <w:b/>
                <w:bCs/>
                <w:color w:val="000000"/>
              </w:rPr>
              <w:t>Interpretation</w:t>
            </w:r>
          </w:p>
        </w:tc>
      </w:tr>
      <w:tr w:rsidR="00A45AA4" w:rsidRPr="00A45AA4" w:rsidTr="00A45AA4">
        <w:trPr>
          <w:trHeight w:val="300"/>
        </w:trPr>
        <w:tc>
          <w:tcPr>
            <w:tcW w:w="144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b/>
                <w:bCs/>
                <w:color w:val="000000"/>
              </w:rPr>
            </w:pPr>
            <w:r w:rsidRPr="00A45AA4">
              <w:rPr>
                <w:rFonts w:ascii="Calibri" w:eastAsia="Times New Roman" w:hAnsi="Calibri" w:cs="Times New Roman"/>
                <w:b/>
                <w:bCs/>
                <w:color w:val="000000"/>
              </w:rPr>
              <w:t>PCC</w:t>
            </w: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0.64</w:t>
            </w: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-0.23</w:t>
            </w:r>
          </w:p>
        </w:tc>
        <w:tc>
          <w:tcPr>
            <w:tcW w:w="9961"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Negative connectivity (</w:t>
            </w:r>
            <w:proofErr w:type="spellStart"/>
            <w:r w:rsidRPr="00A45AA4">
              <w:rPr>
                <w:rFonts w:ascii="Calibri" w:eastAsia="Times New Roman" w:hAnsi="Calibri" w:cs="Times New Roman"/>
                <w:color w:val="000000"/>
              </w:rPr>
              <w:t>anticorrelation</w:t>
            </w:r>
            <w:proofErr w:type="spellEnd"/>
            <w:r w:rsidRPr="00A45AA4">
              <w:rPr>
                <w:rFonts w:ascii="Calibri" w:eastAsia="Times New Roman" w:hAnsi="Calibri" w:cs="Times New Roman"/>
                <w:color w:val="000000"/>
              </w:rPr>
              <w:t xml:space="preserve">) in HCs; </w:t>
            </w:r>
            <w:proofErr w:type="spellStart"/>
            <w:r w:rsidRPr="00A45AA4">
              <w:rPr>
                <w:rFonts w:ascii="Calibri" w:eastAsia="Times New Roman" w:hAnsi="Calibri" w:cs="Times New Roman"/>
                <w:color w:val="000000"/>
              </w:rPr>
              <w:t>postive</w:t>
            </w:r>
            <w:proofErr w:type="spellEnd"/>
            <w:r w:rsidRPr="00A45AA4">
              <w:rPr>
                <w:rFonts w:ascii="Calibri" w:eastAsia="Times New Roman" w:hAnsi="Calibri" w:cs="Times New Roman"/>
                <w:color w:val="000000"/>
              </w:rPr>
              <w:t xml:space="preserve"> connectivity in patients.</w:t>
            </w:r>
          </w:p>
        </w:tc>
      </w:tr>
      <w:tr w:rsidR="00A45AA4" w:rsidRPr="00A45AA4" w:rsidTr="00A45AA4">
        <w:trPr>
          <w:trHeight w:val="300"/>
        </w:trPr>
        <w:tc>
          <w:tcPr>
            <w:tcW w:w="144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b/>
                <w:bCs/>
                <w:color w:val="000000"/>
              </w:rPr>
            </w:pPr>
            <w:r w:rsidRPr="00A45AA4">
              <w:rPr>
                <w:rFonts w:ascii="Calibri" w:eastAsia="Times New Roman" w:hAnsi="Calibri" w:cs="Times New Roman"/>
                <w:b/>
                <w:bCs/>
                <w:color w:val="000000"/>
              </w:rPr>
              <w:t xml:space="preserve">L. </w:t>
            </w:r>
            <w:proofErr w:type="spellStart"/>
            <w:r w:rsidRPr="00A45AA4">
              <w:rPr>
                <w:rFonts w:ascii="Calibri" w:eastAsia="Times New Roman" w:hAnsi="Calibri" w:cs="Times New Roman"/>
                <w:b/>
                <w:bCs/>
                <w:color w:val="000000"/>
              </w:rPr>
              <w:t>Precuneus</w:t>
            </w:r>
            <w:proofErr w:type="spellEnd"/>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-0.21</w:t>
            </w: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-1.23</w:t>
            </w:r>
          </w:p>
        </w:tc>
        <w:tc>
          <w:tcPr>
            <w:tcW w:w="9961"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jc w:val="center"/>
              <w:rPr>
                <w:rFonts w:ascii="Calibri" w:eastAsia="Times New Roman" w:hAnsi="Calibri" w:cs="Times New Roman"/>
                <w:color w:val="000000"/>
              </w:rPr>
            </w:pPr>
            <w:r w:rsidRPr="00A45AA4">
              <w:rPr>
                <w:rFonts w:ascii="Calibri" w:eastAsia="Times New Roman" w:hAnsi="Calibri" w:cs="Times New Roman"/>
                <w:color w:val="000000"/>
              </w:rPr>
              <w:t>Negative connectivity (</w:t>
            </w:r>
            <w:proofErr w:type="spellStart"/>
            <w:r w:rsidRPr="00A45AA4">
              <w:rPr>
                <w:rFonts w:ascii="Calibri" w:eastAsia="Times New Roman" w:hAnsi="Calibri" w:cs="Times New Roman"/>
                <w:color w:val="000000"/>
              </w:rPr>
              <w:t>anticorrelation</w:t>
            </w:r>
            <w:proofErr w:type="spellEnd"/>
            <w:r w:rsidRPr="00A45AA4">
              <w:rPr>
                <w:rFonts w:ascii="Calibri" w:eastAsia="Times New Roman" w:hAnsi="Calibri" w:cs="Times New Roman"/>
                <w:color w:val="000000"/>
              </w:rPr>
              <w:t>) in HCs; less strong negative connectivity in patients.</w:t>
            </w:r>
          </w:p>
        </w:tc>
      </w:tr>
      <w:tr w:rsidR="00A45AA4" w:rsidRPr="00A45AA4" w:rsidTr="00A45AA4">
        <w:trPr>
          <w:trHeight w:val="300"/>
        </w:trPr>
        <w:tc>
          <w:tcPr>
            <w:tcW w:w="144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c>
          <w:tcPr>
            <w:tcW w:w="607"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c>
          <w:tcPr>
            <w:tcW w:w="9961" w:type="dxa"/>
            <w:tcBorders>
              <w:top w:val="nil"/>
              <w:left w:val="nil"/>
              <w:bottom w:val="nil"/>
              <w:right w:val="nil"/>
            </w:tcBorders>
            <w:shd w:val="clear" w:color="auto" w:fill="auto"/>
            <w:noWrap/>
            <w:vAlign w:val="bottom"/>
            <w:hideMark/>
          </w:tcPr>
          <w:p w:rsidR="00A45AA4" w:rsidRPr="00A45AA4" w:rsidRDefault="00A45AA4" w:rsidP="00A45AA4">
            <w:pPr>
              <w:spacing w:after="0" w:line="240" w:lineRule="auto"/>
              <w:rPr>
                <w:rFonts w:ascii="Calibri" w:eastAsia="Times New Roman" w:hAnsi="Calibri" w:cs="Times New Roman"/>
                <w:color w:val="000000"/>
              </w:rPr>
            </w:pPr>
          </w:p>
        </w:tc>
      </w:tr>
    </w:tbl>
    <w:p w:rsidR="00A45AA4" w:rsidRDefault="00A45AA4" w:rsidP="00A45AA4">
      <w:pPr>
        <w:tabs>
          <w:tab w:val="num" w:pos="720"/>
        </w:tabs>
        <w:spacing w:after="0" w:line="360" w:lineRule="auto"/>
        <w:rPr>
          <w:rFonts w:ascii="Cambria" w:eastAsia="MS Mincho" w:hAnsi="Cambria" w:cs="Times New Roman"/>
          <w:b/>
          <w:bCs/>
          <w:color w:val="FF0000"/>
          <w:sz w:val="24"/>
          <w:szCs w:val="24"/>
        </w:rPr>
      </w:pPr>
    </w:p>
    <w:p w:rsidR="00A45AA4" w:rsidRPr="00A45AA4" w:rsidRDefault="00A45AA4" w:rsidP="00A45AA4">
      <w:pPr>
        <w:tabs>
          <w:tab w:val="num" w:pos="720"/>
        </w:tabs>
        <w:spacing w:after="0" w:line="360" w:lineRule="auto"/>
        <w:rPr>
          <w:rFonts w:ascii="Cambria" w:eastAsia="MS Mincho" w:hAnsi="Cambria" w:cs="Times New Roman"/>
          <w:b/>
          <w:bCs/>
          <w:sz w:val="24"/>
          <w:szCs w:val="24"/>
        </w:rPr>
      </w:pPr>
      <w:proofErr w:type="gramStart"/>
      <w:r w:rsidRPr="00A45AA4">
        <w:rPr>
          <w:rFonts w:ascii="Cambria" w:eastAsia="MS Mincho" w:hAnsi="Cambria" w:cs="Times New Roman"/>
          <w:b/>
          <w:bCs/>
          <w:sz w:val="24"/>
          <w:szCs w:val="24"/>
        </w:rPr>
        <w:t>Supplementary Table 1.</w:t>
      </w:r>
      <w:proofErr w:type="gramEnd"/>
      <w:r w:rsidRPr="00A45AA4">
        <w:rPr>
          <w:rFonts w:ascii="Cambria" w:eastAsia="MS Mincho" w:hAnsi="Cambria" w:cs="Times New Roman"/>
          <w:b/>
          <w:bCs/>
          <w:sz w:val="24"/>
          <w:szCs w:val="24"/>
        </w:rPr>
        <w:t xml:space="preserve"> Mean Functional Connectivity Values With and Without Global Signal Regression </w:t>
      </w:r>
      <w:r w:rsidRPr="00A45AA4">
        <w:rPr>
          <w:rFonts w:ascii="Cambria" w:eastAsia="MS Mincho" w:hAnsi="Cambria" w:cs="Times New Roman"/>
          <w:bCs/>
          <w:sz w:val="24"/>
          <w:szCs w:val="24"/>
        </w:rPr>
        <w:t>Mean z-score values were extracted from each subject’s resting-state data within the masked region pertaining to the group seed-based functional connectivity results, separately</w:t>
      </w:r>
      <w:bookmarkStart w:id="0" w:name="_GoBack"/>
      <w:bookmarkEnd w:id="0"/>
      <w:r w:rsidRPr="00A45AA4">
        <w:rPr>
          <w:rFonts w:ascii="Cambria" w:eastAsia="MS Mincho" w:hAnsi="Cambria" w:cs="Times New Roman"/>
          <w:bCs/>
          <w:sz w:val="24"/>
          <w:szCs w:val="24"/>
        </w:rPr>
        <w:t xml:space="preserve"> for PCC and left </w:t>
      </w:r>
      <w:proofErr w:type="spellStart"/>
      <w:r w:rsidRPr="00A45AA4">
        <w:rPr>
          <w:rFonts w:ascii="Cambria" w:eastAsia="MS Mincho" w:hAnsi="Cambria" w:cs="Times New Roman"/>
          <w:bCs/>
          <w:sz w:val="24"/>
          <w:szCs w:val="24"/>
        </w:rPr>
        <w:t>precuneus</w:t>
      </w:r>
      <w:proofErr w:type="spellEnd"/>
      <w:r w:rsidRPr="00A45AA4">
        <w:rPr>
          <w:rFonts w:ascii="Cambria" w:eastAsia="MS Mincho" w:hAnsi="Cambria" w:cs="Times New Roman"/>
          <w:bCs/>
          <w:sz w:val="24"/>
          <w:szCs w:val="24"/>
        </w:rPr>
        <w:t xml:space="preserve"> seeds. These values were averaged within each group (45 patients, 45 HCs) for each seed (PCC, left </w:t>
      </w:r>
      <w:proofErr w:type="spellStart"/>
      <w:r w:rsidRPr="00A45AA4">
        <w:rPr>
          <w:rFonts w:ascii="Cambria" w:eastAsia="MS Mincho" w:hAnsi="Cambria" w:cs="Times New Roman"/>
          <w:bCs/>
          <w:sz w:val="24"/>
          <w:szCs w:val="24"/>
        </w:rPr>
        <w:t>precuneus</w:t>
      </w:r>
      <w:proofErr w:type="spellEnd"/>
      <w:r w:rsidRPr="00A45AA4">
        <w:rPr>
          <w:rFonts w:ascii="Cambria" w:eastAsia="MS Mincho" w:hAnsi="Cambria" w:cs="Times New Roman"/>
          <w:bCs/>
          <w:sz w:val="24"/>
          <w:szCs w:val="24"/>
        </w:rPr>
        <w:t>) from two separate analyses: 1) the original analyses performed on preprocessed data with global signal regression (as reported in the manuscript) and 2) a subsequent analysis performed on preprocessed data without global signal regression. The results from the subsequent analysis without global signal regression were nearly identical (both spatial distribution and direction of correlation values) indicating that the negative values observed (</w:t>
      </w:r>
      <w:proofErr w:type="spellStart"/>
      <w:r w:rsidRPr="00A45AA4">
        <w:rPr>
          <w:rFonts w:ascii="Cambria" w:eastAsia="MS Mincho" w:hAnsi="Cambria" w:cs="Times New Roman"/>
          <w:bCs/>
          <w:sz w:val="24"/>
          <w:szCs w:val="24"/>
        </w:rPr>
        <w:t>anticorrelations</w:t>
      </w:r>
      <w:proofErr w:type="spellEnd"/>
      <w:r w:rsidRPr="00A45AA4">
        <w:rPr>
          <w:rFonts w:ascii="Cambria" w:eastAsia="MS Mincho" w:hAnsi="Cambria" w:cs="Times New Roman"/>
          <w:bCs/>
          <w:sz w:val="24"/>
          <w:szCs w:val="24"/>
        </w:rPr>
        <w:t>) in the original analysis were valid and not due to global scaling.</w:t>
      </w:r>
    </w:p>
    <w:p w:rsidR="00935AE8" w:rsidRPr="00A45AA4" w:rsidRDefault="00935AE8" w:rsidP="00935AE8"/>
    <w:sectPr w:rsidR="00935AE8" w:rsidRPr="00A45AA4" w:rsidSect="00A45AA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AE8"/>
    <w:rsid w:val="00134C31"/>
    <w:rsid w:val="001E68B1"/>
    <w:rsid w:val="00935AE8"/>
    <w:rsid w:val="00A45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62380">
      <w:bodyDiv w:val="1"/>
      <w:marLeft w:val="0"/>
      <w:marRight w:val="0"/>
      <w:marTop w:val="0"/>
      <w:marBottom w:val="0"/>
      <w:divBdr>
        <w:top w:val="none" w:sz="0" w:space="0" w:color="auto"/>
        <w:left w:val="none" w:sz="0" w:space="0" w:color="auto"/>
        <w:bottom w:val="none" w:sz="0" w:space="0" w:color="auto"/>
        <w:right w:val="none" w:sz="0" w:space="0" w:color="auto"/>
      </w:divBdr>
    </w:div>
    <w:div w:id="218829745">
      <w:bodyDiv w:val="1"/>
      <w:marLeft w:val="0"/>
      <w:marRight w:val="0"/>
      <w:marTop w:val="0"/>
      <w:marBottom w:val="0"/>
      <w:divBdr>
        <w:top w:val="none" w:sz="0" w:space="0" w:color="auto"/>
        <w:left w:val="none" w:sz="0" w:space="0" w:color="auto"/>
        <w:bottom w:val="none" w:sz="0" w:space="0" w:color="auto"/>
        <w:right w:val="none" w:sz="0" w:space="0" w:color="auto"/>
      </w:divBdr>
    </w:div>
    <w:div w:id="1064572912">
      <w:bodyDiv w:val="1"/>
      <w:marLeft w:val="0"/>
      <w:marRight w:val="0"/>
      <w:marTop w:val="0"/>
      <w:marBottom w:val="0"/>
      <w:divBdr>
        <w:top w:val="none" w:sz="0" w:space="0" w:color="auto"/>
        <w:left w:val="none" w:sz="0" w:space="0" w:color="auto"/>
        <w:bottom w:val="none" w:sz="0" w:space="0" w:color="auto"/>
        <w:right w:val="none" w:sz="0" w:space="0" w:color="auto"/>
      </w:divBdr>
    </w:div>
    <w:div w:id="1274051812">
      <w:bodyDiv w:val="1"/>
      <w:marLeft w:val="0"/>
      <w:marRight w:val="0"/>
      <w:marTop w:val="0"/>
      <w:marBottom w:val="0"/>
      <w:divBdr>
        <w:top w:val="none" w:sz="0" w:space="0" w:color="auto"/>
        <w:left w:val="none" w:sz="0" w:space="0" w:color="auto"/>
        <w:bottom w:val="none" w:sz="0" w:space="0" w:color="auto"/>
        <w:right w:val="none" w:sz="0" w:space="0" w:color="auto"/>
      </w:divBdr>
    </w:div>
    <w:div w:id="1377702901">
      <w:bodyDiv w:val="1"/>
      <w:marLeft w:val="0"/>
      <w:marRight w:val="0"/>
      <w:marTop w:val="0"/>
      <w:marBottom w:val="0"/>
      <w:divBdr>
        <w:top w:val="none" w:sz="0" w:space="0" w:color="auto"/>
        <w:left w:val="none" w:sz="0" w:space="0" w:color="auto"/>
        <w:bottom w:val="none" w:sz="0" w:space="0" w:color="auto"/>
        <w:right w:val="none" w:sz="0" w:space="0" w:color="auto"/>
      </w:divBdr>
    </w:div>
    <w:div w:id="1998722408">
      <w:bodyDiv w:val="1"/>
      <w:marLeft w:val="0"/>
      <w:marRight w:val="0"/>
      <w:marTop w:val="0"/>
      <w:marBottom w:val="0"/>
      <w:divBdr>
        <w:top w:val="none" w:sz="0" w:space="0" w:color="auto"/>
        <w:left w:val="none" w:sz="0" w:space="0" w:color="auto"/>
        <w:bottom w:val="none" w:sz="0" w:space="0" w:color="auto"/>
        <w:right w:val="none" w:sz="0" w:space="0" w:color="auto"/>
      </w:divBdr>
    </w:div>
    <w:div w:id="206867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2.ppt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PowerPoint_Presentation4.pptx"/><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package" Target="embeddings/Microsoft_PowerPoint_Presentation1.ppt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package" Target="embeddings/Microsoft_PowerPoint_Presentation3.ppt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Wolters Kluwer</Company>
  <LinksUpToDate>false</LinksUpToDate>
  <CharactersWithSpaces>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Kiniry, Jennie</dc:creator>
  <cp:lastModifiedBy>Kiniry, Jennie</cp:lastModifiedBy>
  <cp:revision>2</cp:revision>
  <dcterms:created xsi:type="dcterms:W3CDTF">2015-05-18T16:45:00Z</dcterms:created>
  <dcterms:modified xsi:type="dcterms:W3CDTF">2015-05-18T16:52:00Z</dcterms:modified>
</cp:coreProperties>
</file>