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06" w:rsidRPr="000E2CD3" w:rsidRDefault="00145A06" w:rsidP="00145A06">
      <w:pPr>
        <w:rPr>
          <w:b/>
        </w:rPr>
      </w:pPr>
      <w:r>
        <w:rPr>
          <w:b/>
        </w:rPr>
        <w:t>L</w:t>
      </w:r>
      <w:r w:rsidRPr="000E2CD3">
        <w:rPr>
          <w:b/>
        </w:rPr>
        <w:t>ongitudinal patterns of back pain across adulthood</w:t>
      </w:r>
      <w:r>
        <w:rPr>
          <w:b/>
        </w:rPr>
        <w:t xml:space="preserve"> and their relationship with childhood factors: Evidence from</w:t>
      </w:r>
      <w:r w:rsidRPr="000E2CD3">
        <w:rPr>
          <w:b/>
        </w:rPr>
        <w:t xml:space="preserve"> the 1946 British birth cohort</w:t>
      </w:r>
    </w:p>
    <w:p w:rsidR="008A1746" w:rsidRDefault="008A1746"/>
    <w:p w:rsidR="00145A06" w:rsidRPr="008A1746" w:rsidRDefault="004146E1">
      <w:pPr>
        <w:rPr>
          <w:b/>
        </w:rPr>
      </w:pPr>
      <w:r w:rsidRPr="008A1746">
        <w:rPr>
          <w:b/>
        </w:rPr>
        <w:t>Supplementary information</w:t>
      </w:r>
    </w:p>
    <w:p w:rsidR="008A1746" w:rsidRDefault="008A1746"/>
    <w:p w:rsidR="00881A76" w:rsidRDefault="00984683">
      <w:r>
        <w:t xml:space="preserve">Figure S1: </w:t>
      </w:r>
      <w:r w:rsidR="00881A76" w:rsidRPr="00881A76">
        <w:t>Four longitudinal classes of bac</w:t>
      </w:r>
      <w:r w:rsidR="00145A06">
        <w:t>k pain from age 31 to 68 years,</w:t>
      </w:r>
      <w:r w:rsidR="00881A76">
        <w:t xml:space="preserve"> by sex (</w:t>
      </w:r>
      <w:r w:rsidR="00881A76" w:rsidRPr="00881A76">
        <w:t>n=3271</w:t>
      </w:r>
      <w:r w:rsidR="00881A76">
        <w:t>)</w:t>
      </w:r>
    </w:p>
    <w:p w:rsidR="00881A76" w:rsidRDefault="00881A76">
      <w:r>
        <w:rPr>
          <w:noProof/>
          <w:lang w:eastAsia="en-GB"/>
        </w:rPr>
        <w:drawing>
          <wp:inline distT="0" distB="0" distL="0" distR="0" wp14:anchorId="0E330511" wp14:editId="56560423">
            <wp:extent cx="5186364" cy="408146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B8F" w:rsidRDefault="00BF7B8F"/>
    <w:p w:rsidR="00180649" w:rsidRDefault="00180649">
      <w:r>
        <w:br w:type="page"/>
      </w:r>
      <w:bookmarkStart w:id="0" w:name="_GoBack"/>
      <w:bookmarkEnd w:id="0"/>
    </w:p>
    <w:p w:rsidR="00881A76" w:rsidRDefault="00984683" w:rsidP="00984683">
      <w:pPr>
        <w:spacing w:after="0" w:line="240" w:lineRule="auto"/>
      </w:pPr>
      <w:r>
        <w:lastRenderedPageBreak/>
        <w:t xml:space="preserve">Table S1: </w:t>
      </w:r>
      <w:r w:rsidR="00881A76">
        <w:t xml:space="preserve">LCA </w:t>
      </w:r>
      <w:r>
        <w:t xml:space="preserve">fit statistics for </w:t>
      </w:r>
      <w:r w:rsidR="00095F5D">
        <w:t xml:space="preserve">back pain across </w:t>
      </w:r>
      <w:r w:rsidR="00091EF7">
        <w:t>adulthood:</w:t>
      </w:r>
      <w:r w:rsidR="00095F5D">
        <w:t xml:space="preserve"> C</w:t>
      </w:r>
      <w:r w:rsidR="00881A76">
        <w:t>ombined model</w:t>
      </w:r>
      <w:r w:rsidR="00172198">
        <w:t>,</w:t>
      </w:r>
      <w:r w:rsidR="00881A76">
        <w:t xml:space="preserve"> model with </w:t>
      </w:r>
      <w:r w:rsidR="00172198">
        <w:t xml:space="preserve">parameters </w:t>
      </w:r>
      <w:r w:rsidR="00881A76">
        <w:t>constrain</w:t>
      </w:r>
      <w:r w:rsidR="00172198">
        <w:t xml:space="preserve">ed </w:t>
      </w:r>
      <w:r w:rsidR="00881A76">
        <w:t>to be the same</w:t>
      </w:r>
      <w:r w:rsidR="00172198">
        <w:t xml:space="preserve"> in both sexes (</w:t>
      </w:r>
      <w:r w:rsidR="00091EF7">
        <w:t>s</w:t>
      </w:r>
      <w:r w:rsidR="00172198">
        <w:t>ex invariant)</w:t>
      </w:r>
      <w:r w:rsidR="00172198" w:rsidRPr="00172198">
        <w:t xml:space="preserve"> </w:t>
      </w:r>
      <w:r w:rsidR="00172198">
        <w:t>and mo</w:t>
      </w:r>
      <w:r w:rsidR="00091EF7">
        <w:t>del without such a constraint (s</w:t>
      </w:r>
      <w:r w:rsidR="00172198">
        <w:t>ex variant)</w:t>
      </w:r>
    </w:p>
    <w:p w:rsidR="00091EF7" w:rsidRDefault="00091EF7" w:rsidP="00984683">
      <w:pPr>
        <w:spacing w:after="0" w:line="240" w:lineRule="auto"/>
      </w:pPr>
    </w:p>
    <w:tbl>
      <w:tblPr>
        <w:tblW w:w="496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644"/>
        <w:gridCol w:w="1639"/>
        <w:gridCol w:w="1641"/>
      </w:tblGrid>
      <w:tr w:rsidR="00091EF7" w:rsidRPr="0083672E" w:rsidTr="00180649">
        <w:trPr>
          <w:trHeight w:val="376"/>
          <w:tblHeader/>
          <w:tblCellSpacing w:w="0" w:type="dxa"/>
        </w:trPr>
        <w:tc>
          <w:tcPr>
            <w:tcW w:w="225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</w:p>
        </w:tc>
        <w:tc>
          <w:tcPr>
            <w:tcW w:w="9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 xml:space="preserve">Combined </w:t>
            </w:r>
          </w:p>
        </w:tc>
        <w:tc>
          <w:tcPr>
            <w:tcW w:w="9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 xml:space="preserve">Sex variant 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Sex invariant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bottom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Classes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4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4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iCs/>
                <w:color w:val="000000" w:themeColor="text1"/>
                <w:kern w:val="24"/>
                <w:lang w:val="en-US" w:eastAsia="en-GB"/>
              </w:rPr>
              <w:t>No of  parameters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27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55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31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Log likelihood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-8425.864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-10661.398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-10684.605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180649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i/>
                <w:lang w:eastAsia="en-GB"/>
              </w:rPr>
            </w:pPr>
            <w:r w:rsidRPr="00180649">
              <w:rPr>
                <w:rFonts w:eastAsia="Times New Roman" w:cs="Arial"/>
                <w:i/>
                <w:color w:val="000000" w:themeColor="text1"/>
                <w:kern w:val="24"/>
                <w:lang w:val="en-US" w:eastAsia="en-GB"/>
              </w:rPr>
              <w:t>Information criteria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rPr>
                <w:rFonts w:eastAsia="Times New Roman" w:cs="Times New Roman"/>
              </w:rPr>
            </w:pPr>
            <w:r w:rsidRPr="00091EF7">
              <w:rPr>
                <w:rFonts w:eastAsia="Times New Roman" w:cs="Times New Roman"/>
              </w:rPr>
              <w:t>Akaike Information Criteria (AIC)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16905.729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21432.796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21431.211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rPr>
                <w:rFonts w:eastAsia="Times New Roman" w:cs="Times New Roman"/>
                <w:lang w:val="en-US"/>
              </w:rPr>
            </w:pPr>
            <w:r w:rsidRPr="00091EF7">
              <w:rPr>
                <w:rFonts w:eastAsia="Times New Roman" w:cs="Times New Roman"/>
              </w:rPr>
              <w:t>Bayesian Information Criteria (BIC)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17070.236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21767.903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21620.089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iCs/>
                <w:color w:val="000000" w:themeColor="text1"/>
                <w:kern w:val="24"/>
                <w:lang w:val="en-US" w:eastAsia="en-GB"/>
              </w:rPr>
              <w:t>Adjusted BIC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16984.445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21593.143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21521.589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180649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i/>
                <w:lang w:eastAsia="en-GB"/>
              </w:rPr>
            </w:pPr>
            <w:r w:rsidRPr="00180649">
              <w:rPr>
                <w:rFonts w:eastAsia="Times New Roman" w:cs="Arial"/>
                <w:i/>
                <w:color w:val="000000" w:themeColor="text1"/>
                <w:kern w:val="24"/>
                <w:lang w:val="en-US" w:eastAsia="en-GB"/>
              </w:rPr>
              <w:t>χ2 good-of-fit test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Pearson χ2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FF0000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kern w:val="24"/>
                <w:lang w:val="en-US" w:eastAsia="en-GB"/>
              </w:rPr>
              <w:t>0.25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.25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.11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LRT χ2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0.15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.27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.024</w:t>
            </w:r>
          </w:p>
        </w:tc>
      </w:tr>
      <w:tr w:rsidR="00091EF7" w:rsidRPr="0083672E" w:rsidTr="00180649">
        <w:trPr>
          <w:trHeight w:val="567"/>
          <w:tblCellSpacing w:w="0" w:type="dxa"/>
        </w:trPr>
        <w:tc>
          <w:tcPr>
            <w:tcW w:w="2251" w:type="pct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Smallest class %*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10.0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14.2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10.5</w:t>
            </w:r>
          </w:p>
        </w:tc>
      </w:tr>
      <w:tr w:rsidR="00091EF7" w:rsidRPr="0083672E" w:rsidTr="00180649">
        <w:trPr>
          <w:trHeight w:val="283"/>
          <w:tblCellSpacing w:w="0" w:type="dxa"/>
        </w:trPr>
        <w:tc>
          <w:tcPr>
            <w:tcW w:w="2251" w:type="pct"/>
            <w:tcBorders>
              <w:bottom w:val="single" w:sz="12" w:space="0" w:color="auto"/>
            </w:tcBorders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113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Entropy</w:t>
            </w: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</w:pPr>
            <w:r w:rsidRPr="00091EF7">
              <w:rPr>
                <w:rFonts w:eastAsia="Times New Roman" w:cs="Arial"/>
                <w:color w:val="000000" w:themeColor="text1"/>
                <w:kern w:val="24"/>
                <w:lang w:val="en-US" w:eastAsia="en-GB"/>
              </w:rPr>
              <w:t>0.568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0.725</w:t>
            </w:r>
          </w:p>
        </w:tc>
        <w:tc>
          <w:tcPr>
            <w:tcW w:w="9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1EF7" w:rsidRPr="00091EF7" w:rsidRDefault="00091EF7" w:rsidP="0034412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n-GB"/>
              </w:rPr>
            </w:pPr>
            <w:r w:rsidRPr="00091EF7">
              <w:rPr>
                <w:rFonts w:eastAsia="Times New Roman" w:cs="Arial"/>
                <w:lang w:eastAsia="en-GB"/>
              </w:rPr>
              <w:t>0.711</w:t>
            </w:r>
          </w:p>
        </w:tc>
      </w:tr>
    </w:tbl>
    <w:p w:rsidR="00881A76" w:rsidRDefault="00881A76" w:rsidP="00881A76">
      <w:r w:rsidRPr="00D4123F">
        <w:t>*based on estimated posterior class membership probabilities</w:t>
      </w:r>
    </w:p>
    <w:p w:rsidR="00172198" w:rsidRDefault="00172198" w:rsidP="00881A76"/>
    <w:p w:rsidR="00330CEB" w:rsidRPr="0083672E" w:rsidRDefault="00330CEB" w:rsidP="00330CEB">
      <w:r w:rsidRPr="0083672E">
        <w:t xml:space="preserve">Table </w:t>
      </w:r>
      <w:r w:rsidR="003F7AF2">
        <w:t>S2</w:t>
      </w:r>
      <w:r w:rsidRPr="0083672E">
        <w:t xml:space="preserve">: Indices of model fit for longitudinal latent class models </w:t>
      </w:r>
      <w:r>
        <w:t>of</w:t>
      </w:r>
      <w:r w:rsidRPr="0083672E">
        <w:t xml:space="preserve"> back pain </w:t>
      </w:r>
      <w:r>
        <w:t xml:space="preserve">based on reports </w:t>
      </w:r>
      <w:r w:rsidRPr="0083672E">
        <w:t xml:space="preserve">at ages 31, 36, 43, 53, 60-64 &amp; 68 in MRC NSHD </w:t>
      </w:r>
      <w:r>
        <w:t>(</w:t>
      </w:r>
      <w:r w:rsidRPr="0083672E">
        <w:t>n=</w:t>
      </w:r>
      <w:r>
        <w:t>1507</w:t>
      </w:r>
      <w:r w:rsidRPr="0083672E">
        <w:t xml:space="preserve"> participants with </w:t>
      </w:r>
      <w:r w:rsidR="003F7AF2">
        <w:t>all (6)</w:t>
      </w:r>
      <w:r w:rsidRPr="0083672E">
        <w:t xml:space="preserve"> waves of data)</w:t>
      </w:r>
    </w:p>
    <w:tbl>
      <w:tblPr>
        <w:tblW w:w="480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181"/>
        <w:gridCol w:w="1159"/>
        <w:gridCol w:w="1159"/>
        <w:gridCol w:w="1155"/>
      </w:tblGrid>
      <w:tr w:rsidR="00330CEB" w:rsidRPr="0083672E" w:rsidTr="00180649">
        <w:trPr>
          <w:trHeight w:val="340"/>
          <w:tblCellSpacing w:w="0" w:type="dxa"/>
        </w:trPr>
        <w:tc>
          <w:tcPr>
            <w:tcW w:w="2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CEB" w:rsidRPr="0083672E" w:rsidRDefault="00330CEB" w:rsidP="00180649">
            <w:pPr>
              <w:spacing w:after="0" w:line="240" w:lineRule="auto"/>
              <w:ind w:left="142"/>
              <w:rPr>
                <w:rFonts w:eastAsia="Times New Roman" w:cs="Times New Roman"/>
              </w:rPr>
            </w:pP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0CEB" w:rsidRPr="0083672E" w:rsidRDefault="00330CEB" w:rsidP="00180649">
            <w:pPr>
              <w:spacing w:after="0" w:line="240" w:lineRule="auto"/>
              <w:ind w:left="142"/>
              <w:jc w:val="center"/>
            </w:pPr>
            <w:r w:rsidRPr="0083672E">
              <w:t>2 classes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0CEB" w:rsidRPr="0083672E" w:rsidRDefault="00330CEB" w:rsidP="00180649">
            <w:pPr>
              <w:spacing w:after="0" w:line="240" w:lineRule="auto"/>
              <w:ind w:left="142"/>
              <w:jc w:val="center"/>
            </w:pPr>
            <w:r w:rsidRPr="0083672E">
              <w:t>3 classes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0CEB" w:rsidRPr="0083672E" w:rsidRDefault="00330CEB" w:rsidP="00180649">
            <w:pPr>
              <w:spacing w:after="0" w:line="240" w:lineRule="auto"/>
              <w:ind w:left="142"/>
              <w:jc w:val="center"/>
            </w:pPr>
            <w:r w:rsidRPr="0083672E">
              <w:t>4 classes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0CEB" w:rsidRPr="0083672E" w:rsidRDefault="00330CEB" w:rsidP="00180649">
            <w:pPr>
              <w:spacing w:after="0" w:line="240" w:lineRule="auto"/>
              <w:ind w:left="142"/>
              <w:jc w:val="center"/>
            </w:pPr>
            <w:r w:rsidRPr="0083672E">
              <w:t>5 classes</w:t>
            </w:r>
          </w:p>
        </w:tc>
      </w:tr>
      <w:tr w:rsidR="003F7AF2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3F7AF2" w:rsidRPr="00180649" w:rsidRDefault="003F7AF2" w:rsidP="00180649">
            <w:pPr>
              <w:spacing w:after="0" w:line="240" w:lineRule="auto"/>
              <w:ind w:left="142"/>
              <w:rPr>
                <w:rFonts w:eastAsia="Times New Roman" w:cs="Times New Roman"/>
                <w:i/>
              </w:rPr>
            </w:pPr>
            <w:r w:rsidRPr="00180649">
              <w:rPr>
                <w:rFonts w:eastAsia="Times New Roman" w:cs="Times New Roman"/>
                <w:i/>
              </w:rPr>
              <w:t>Chi-square goodness-of-fit tests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F7AF2" w:rsidRPr="0083672E" w:rsidRDefault="003F7AF2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F7AF2" w:rsidRPr="0083672E" w:rsidRDefault="003F7AF2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F7AF2" w:rsidRPr="0083672E" w:rsidRDefault="003F7AF2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F7AF2" w:rsidRPr="0083672E" w:rsidRDefault="003F7AF2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</w:rPr>
              <w:t xml:space="preserve">Likelihood Ratio </w:t>
            </w:r>
            <w:r w:rsidRPr="0083672E">
              <w:rPr>
                <w:rFonts w:cs="TimesNewRomanPS"/>
              </w:rPr>
              <w:t>χ</w:t>
            </w:r>
            <w:r w:rsidRPr="0083672E">
              <w:rPr>
                <w:rFonts w:eastAsia="Times New Roman" w:cs="Times New Roman"/>
                <w:vertAlign w:val="superscript"/>
              </w:rPr>
              <w:t>2</w:t>
            </w:r>
            <w:r w:rsidRPr="0083672E">
              <w:rPr>
                <w:rFonts w:eastAsia="Times New Roman" w:cs="Times New Roman"/>
              </w:rPr>
              <w:t xml:space="preserve"> p value </w:t>
            </w:r>
            <w:r w:rsidRPr="0083672E">
              <w:rPr>
                <w:rFonts w:eastAsia="Times New Roman" w:cs="Times New Roman"/>
                <w:vertAlign w:val="superscript"/>
              </w:rPr>
              <w:t>a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  <w:lang w:val="en-US"/>
              </w:rP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  <w:lang w:val="en-US"/>
              </w:rP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0.113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0.324</w:t>
            </w: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cs="TimesNewRomanPS"/>
              </w:rPr>
            </w:pPr>
            <w:r w:rsidRPr="0083672E">
              <w:rPr>
                <w:rFonts w:cs="TimesNewRomanPS"/>
              </w:rPr>
              <w:t>Pearson χ</w:t>
            </w:r>
            <w:r w:rsidRPr="0083672E">
              <w:rPr>
                <w:rFonts w:cs="TimesNewRomanPS"/>
                <w:vertAlign w:val="superscript"/>
              </w:rPr>
              <w:t>2</w:t>
            </w:r>
            <w:r w:rsidRPr="0083672E">
              <w:rPr>
                <w:rFonts w:cs="TimesNewRomanPS"/>
              </w:rPr>
              <w:t xml:space="preserve"> p value </w:t>
            </w:r>
            <w:r w:rsidRPr="0083672E">
              <w:rPr>
                <w:rFonts w:cs="TimesNewRomanPS"/>
                <w:vertAlign w:val="superscript"/>
              </w:rPr>
              <w:t>b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  <w:lang w:val="en-US"/>
              </w:rP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  <w:lang w:val="en-US"/>
              </w:rP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0.148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0.399</w:t>
            </w: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cs="Times New Roman"/>
              </w:rPr>
            </w:pPr>
            <w:r w:rsidRPr="0083672E">
              <w:rPr>
                <w:rFonts w:cs="Times New Roman"/>
              </w:rPr>
              <w:t>Bootstrapped LR</w:t>
            </w:r>
            <w:r>
              <w:rPr>
                <w:rFonts w:cs="Times New Roman"/>
              </w:rPr>
              <w:t xml:space="preserve"> difference test</w:t>
            </w:r>
            <w:r w:rsidRPr="0083672E">
              <w:rPr>
                <w:rFonts w:cs="Times New Roman"/>
              </w:rPr>
              <w:t xml:space="preserve"> p value </w:t>
            </w:r>
            <w:r w:rsidRPr="0083672E">
              <w:rPr>
                <w:rFonts w:cs="Times New Roman"/>
                <w:vertAlign w:val="superscript"/>
              </w:rPr>
              <w:t>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cs="Times New Roman"/>
              </w:rPr>
            </w:pPr>
            <w:r w:rsidRPr="0083672E">
              <w:rPr>
                <w:rFonts w:cs="Times New Roman"/>
              </w:rP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cs="Times New Roman"/>
              </w:rPr>
            </w:pPr>
            <w:r w:rsidRPr="0083672E">
              <w:rPr>
                <w:rFonts w:cs="Times New Roman"/>
              </w:rP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cs="Times New Roman"/>
              </w:rPr>
            </w:pPr>
            <w:r w:rsidRPr="0083672E">
              <w:rPr>
                <w:rFonts w:cs="Times New Roman"/>
              </w:rPr>
              <w:t>&lt;.001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cs="Times New Roman"/>
              </w:rPr>
            </w:pPr>
            <w:r w:rsidRPr="0083672E">
              <w:rPr>
                <w:rFonts w:cs="Times New Roman"/>
              </w:rPr>
              <w:t>.1</w:t>
            </w:r>
            <w:r>
              <w:rPr>
                <w:rFonts w:cs="Times New Roman"/>
              </w:rPr>
              <w:t>02</w:t>
            </w: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180649" w:rsidRDefault="00180649" w:rsidP="00180649">
            <w:pPr>
              <w:spacing w:after="0" w:line="240" w:lineRule="auto"/>
              <w:ind w:left="142"/>
              <w:rPr>
                <w:rFonts w:eastAsia="Times New Roman" w:cs="Times New Roman"/>
                <w:i/>
              </w:rPr>
            </w:pPr>
            <w:r w:rsidRPr="00180649">
              <w:rPr>
                <w:rFonts w:eastAsia="Times New Roman" w:cs="Times New Roman"/>
                <w:i/>
              </w:rPr>
              <w:t>Information criterion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highlight w:val="yellow"/>
                <w:lang w:val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eastAsia="Times New Roman" w:cs="Times New Roman"/>
              </w:rPr>
            </w:pPr>
            <w:r w:rsidRPr="0083672E">
              <w:rPr>
                <w:rFonts w:eastAsia="Times New Roman" w:cs="Times New Roman"/>
              </w:rPr>
              <w:t>Akaike Information Criteria</w:t>
            </w:r>
            <w:r>
              <w:rPr>
                <w:rFonts w:eastAsia="Times New Roman" w:cs="Times New Roman"/>
              </w:rPr>
              <w:t xml:space="preserve"> (AIC)</w:t>
            </w:r>
            <w:r w:rsidRPr="0083672E">
              <w:rPr>
                <w:rFonts w:eastAsia="Times New Roman" w:cs="Times New Roman"/>
              </w:rPr>
              <w:t xml:space="preserve"> </w:t>
            </w:r>
            <w:r w:rsidRPr="0083672E">
              <w:rPr>
                <w:rFonts w:eastAsia="Times New Roman" w:cs="Times New Roman"/>
                <w:vertAlign w:val="superscript"/>
              </w:rPr>
              <w:t>d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253576" w:rsidRDefault="00180649" w:rsidP="00180649">
            <w:pPr>
              <w:spacing w:after="0" w:line="240" w:lineRule="auto"/>
              <w:jc w:val="center"/>
            </w:pPr>
            <w:r>
              <w:t>9487.1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781E83" w:rsidRDefault="00180649" w:rsidP="00180649">
            <w:pPr>
              <w:spacing w:after="0" w:line="240" w:lineRule="auto"/>
              <w:jc w:val="center"/>
            </w:pPr>
            <w:r w:rsidRPr="00781E83">
              <w:t>9399.3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BB19FE" w:rsidRDefault="00180649" w:rsidP="00180649">
            <w:pPr>
              <w:spacing w:after="0" w:line="240" w:lineRule="auto"/>
              <w:jc w:val="center"/>
            </w:pPr>
            <w:r w:rsidRPr="00BB19FE">
              <w:t>9370.7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BB19FE" w:rsidRDefault="00180649" w:rsidP="00180649">
            <w:pPr>
              <w:spacing w:after="0" w:line="240" w:lineRule="auto"/>
              <w:jc w:val="center"/>
            </w:pPr>
            <w:r w:rsidRPr="00BB19FE">
              <w:t>9370.1</w:t>
            </w: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</w:rPr>
              <w:t>Bayesian Information Criteria</w:t>
            </w:r>
            <w:r>
              <w:rPr>
                <w:rFonts w:eastAsia="Times New Roman" w:cs="Times New Roman"/>
              </w:rPr>
              <w:t xml:space="preserve"> (BIC)</w:t>
            </w:r>
            <w:r w:rsidRPr="0083672E">
              <w:rPr>
                <w:rFonts w:eastAsia="Times New Roman" w:cs="Times New Roman"/>
              </w:rPr>
              <w:t xml:space="preserve"> </w:t>
            </w:r>
            <w:r w:rsidRPr="0083672E">
              <w:rPr>
                <w:rFonts w:eastAsia="Times New Roman" w:cs="Times New Roman"/>
                <w:vertAlign w:val="superscript"/>
              </w:rPr>
              <w:t>e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253576" w:rsidRDefault="00180649" w:rsidP="00180649">
            <w:pPr>
              <w:spacing w:after="0" w:line="240" w:lineRule="auto"/>
              <w:jc w:val="center"/>
            </w:pPr>
            <w:r>
              <w:t>9556.3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781E83" w:rsidRDefault="00180649" w:rsidP="00180649">
            <w:pPr>
              <w:spacing w:after="0" w:line="240" w:lineRule="auto"/>
              <w:jc w:val="center"/>
            </w:pPr>
            <w:r w:rsidRPr="00781E83">
              <w:t>9505.6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BB19FE" w:rsidRDefault="00180649" w:rsidP="00180649">
            <w:pPr>
              <w:spacing w:after="0" w:line="240" w:lineRule="auto"/>
              <w:jc w:val="center"/>
            </w:pPr>
            <w:r w:rsidRPr="00BB19FE">
              <w:t>9514.3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BB19FE" w:rsidRDefault="00180649" w:rsidP="00180649">
            <w:pPr>
              <w:spacing w:after="0" w:line="240" w:lineRule="auto"/>
              <w:jc w:val="center"/>
            </w:pPr>
            <w:r w:rsidRPr="00BB19FE">
              <w:t>9550.9</w:t>
            </w: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cs="TimesNewRomanPS"/>
              </w:rPr>
            </w:pPr>
            <w:r>
              <w:rPr>
                <w:rFonts w:cs="TimesNewRomanPS"/>
              </w:rPr>
              <w:t xml:space="preserve">Adjusted BIC </w:t>
            </w:r>
            <w:r w:rsidRPr="0034337D">
              <w:rPr>
                <w:rFonts w:cs="TimesNewRomanPS"/>
                <w:vertAlign w:val="superscript"/>
              </w:rPr>
              <w:t>e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Default="00180649" w:rsidP="00180649">
            <w:pPr>
              <w:spacing w:after="0" w:line="240" w:lineRule="auto"/>
              <w:jc w:val="center"/>
            </w:pPr>
            <w:r>
              <w:t>9515.0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Default="00180649" w:rsidP="00180649">
            <w:pPr>
              <w:spacing w:after="0" w:line="240" w:lineRule="auto"/>
              <w:jc w:val="center"/>
            </w:pPr>
            <w:r>
              <w:t>9442.1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Default="00180649" w:rsidP="00180649">
            <w:pPr>
              <w:spacing w:after="0" w:line="240" w:lineRule="auto"/>
              <w:jc w:val="center"/>
            </w:pPr>
            <w:r>
              <w:t>9428.5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5E2C22" w:rsidRDefault="00180649" w:rsidP="00180649">
            <w:pPr>
              <w:spacing w:after="0" w:line="240" w:lineRule="auto"/>
              <w:jc w:val="center"/>
            </w:pPr>
            <w:r>
              <w:t>9442.9</w:t>
            </w:r>
          </w:p>
        </w:tc>
      </w:tr>
      <w:tr w:rsidR="00180649" w:rsidRPr="0083672E" w:rsidTr="00180649">
        <w:trPr>
          <w:trHeight w:val="744"/>
          <w:tblCellSpacing w:w="0" w:type="dxa"/>
        </w:trPr>
        <w:tc>
          <w:tcPr>
            <w:tcW w:w="2317" w:type="pct"/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eastAsia="Times New Roman" w:cs="Times New Roman"/>
              </w:rPr>
            </w:pPr>
            <w:r w:rsidRPr="0083672E">
              <w:rPr>
                <w:rFonts w:cs="TimesNewRomanPS"/>
              </w:rPr>
              <w:t xml:space="preserve">Lo-Mendell-Rubin LRT (comparing current model to previous model) p value </w:t>
            </w:r>
            <w:r w:rsidRPr="0083672E">
              <w:rPr>
                <w:rFonts w:cs="TimesNewRomanPS"/>
                <w:vertAlign w:val="superscript"/>
              </w:rPr>
              <w:t>f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80649" w:rsidRPr="00781E83" w:rsidRDefault="00180649" w:rsidP="00180649">
            <w:pPr>
              <w:spacing w:after="0" w:line="240" w:lineRule="auto"/>
              <w:jc w:val="center"/>
            </w:pPr>
            <w: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781E83" w:rsidRDefault="00180649" w:rsidP="00180649">
            <w:pPr>
              <w:spacing w:after="0" w:line="240" w:lineRule="auto"/>
              <w:jc w:val="center"/>
            </w:pPr>
            <w:r>
              <w:t>&lt;.001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80649" w:rsidRPr="00781E83" w:rsidRDefault="00180649" w:rsidP="00180649">
            <w:pPr>
              <w:spacing w:after="0" w:line="240" w:lineRule="auto"/>
              <w:jc w:val="center"/>
            </w:pPr>
            <w:r>
              <w:t>.0049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80649" w:rsidRPr="005E2C22" w:rsidRDefault="00180649" w:rsidP="00180649">
            <w:pPr>
              <w:spacing w:after="0" w:line="240" w:lineRule="auto"/>
              <w:jc w:val="center"/>
            </w:pPr>
            <w:r w:rsidRPr="005E2C22">
              <w:t>.5</w:t>
            </w:r>
            <w:r>
              <w:t>23</w:t>
            </w:r>
          </w:p>
        </w:tc>
      </w:tr>
      <w:tr w:rsidR="00180649" w:rsidRPr="0083672E" w:rsidTr="00180649">
        <w:trPr>
          <w:trHeight w:val="340"/>
          <w:tblCellSpacing w:w="0" w:type="dxa"/>
        </w:trPr>
        <w:tc>
          <w:tcPr>
            <w:tcW w:w="2317" w:type="pct"/>
            <w:tcBorders>
              <w:bottom w:val="single" w:sz="12" w:space="0" w:color="auto"/>
            </w:tcBorders>
            <w:vAlign w:val="center"/>
          </w:tcPr>
          <w:p w:rsidR="00180649" w:rsidRPr="0083672E" w:rsidRDefault="00180649" w:rsidP="00180649">
            <w:pPr>
              <w:spacing w:after="0" w:line="240" w:lineRule="auto"/>
              <w:ind w:left="142"/>
              <w:rPr>
                <w:rFonts w:eastAsia="Times New Roman" w:cs="Times New Roman"/>
                <w:lang w:val="en-US"/>
              </w:rPr>
            </w:pPr>
            <w:r w:rsidRPr="0083672E">
              <w:rPr>
                <w:rFonts w:eastAsia="Times New Roman" w:cs="Times New Roman"/>
              </w:rPr>
              <w:t xml:space="preserve">Entropy </w:t>
            </w:r>
            <w:r w:rsidRPr="0083672E">
              <w:rPr>
                <w:rFonts w:eastAsia="Times New Roman" w:cs="Times New Roman"/>
                <w:vertAlign w:val="superscript"/>
              </w:rPr>
              <w:t>g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649" w:rsidRPr="003B4E9C" w:rsidRDefault="00180649" w:rsidP="00180649">
            <w:pPr>
              <w:spacing w:after="0" w:line="240" w:lineRule="auto"/>
              <w:jc w:val="center"/>
            </w:pPr>
            <w:r>
              <w:t>0.714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649" w:rsidRPr="00781E83" w:rsidRDefault="00180649" w:rsidP="00180649">
            <w:pPr>
              <w:spacing w:after="0" w:line="240" w:lineRule="auto"/>
              <w:jc w:val="center"/>
            </w:pPr>
            <w:r w:rsidRPr="00781E83">
              <w:t>0.702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649" w:rsidRPr="00BB19FE" w:rsidRDefault="00180649" w:rsidP="00180649">
            <w:pPr>
              <w:spacing w:after="0" w:line="240" w:lineRule="auto"/>
              <w:jc w:val="center"/>
            </w:pPr>
            <w:r w:rsidRPr="00BB19FE">
              <w:t>0.646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649" w:rsidRPr="00BB19FE" w:rsidRDefault="00180649" w:rsidP="00180649">
            <w:pPr>
              <w:spacing w:after="0" w:line="240" w:lineRule="auto"/>
              <w:jc w:val="center"/>
            </w:pPr>
            <w:r w:rsidRPr="00BB19FE">
              <w:t>0.552</w:t>
            </w:r>
          </w:p>
        </w:tc>
      </w:tr>
    </w:tbl>
    <w:p w:rsidR="00330CEB" w:rsidRPr="00040568" w:rsidRDefault="00330CEB" w:rsidP="00344123">
      <w:pPr>
        <w:spacing w:after="0" w:line="240" w:lineRule="auto"/>
        <w:rPr>
          <w:sz w:val="20"/>
          <w:szCs w:val="20"/>
        </w:rPr>
      </w:pPr>
      <w:r w:rsidRPr="00040568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  <w:vertAlign w:val="superscript"/>
        </w:rPr>
        <w:t xml:space="preserve"> </w:t>
      </w:r>
      <w:r w:rsidRPr="00040568">
        <w:rPr>
          <w:sz w:val="20"/>
          <w:szCs w:val="20"/>
        </w:rPr>
        <w:t>p&gt;.05 indicates good fit</w:t>
      </w:r>
    </w:p>
    <w:p w:rsidR="00330CEB" w:rsidRPr="00040568" w:rsidRDefault="00330CEB" w:rsidP="00344123">
      <w:pPr>
        <w:spacing w:after="0" w:line="240" w:lineRule="auto"/>
        <w:rPr>
          <w:sz w:val="20"/>
          <w:szCs w:val="20"/>
        </w:rPr>
      </w:pPr>
      <w:r w:rsidRPr="00040568">
        <w:rPr>
          <w:i/>
          <w:sz w:val="20"/>
          <w:szCs w:val="20"/>
          <w:vertAlign w:val="superscript"/>
        </w:rPr>
        <w:t>b</w:t>
      </w:r>
      <w:r>
        <w:rPr>
          <w:i/>
          <w:sz w:val="20"/>
          <w:szCs w:val="20"/>
          <w:vertAlign w:val="superscript"/>
        </w:rPr>
        <w:t xml:space="preserve"> </w:t>
      </w:r>
      <w:r w:rsidRPr="00040568">
        <w:rPr>
          <w:sz w:val="20"/>
          <w:szCs w:val="20"/>
        </w:rPr>
        <w:t>p&gt;.05 indicates good fit</w:t>
      </w:r>
    </w:p>
    <w:p w:rsidR="00330CEB" w:rsidRPr="00040568" w:rsidRDefault="00330CEB" w:rsidP="00344123">
      <w:pPr>
        <w:spacing w:after="0" w:line="240" w:lineRule="auto"/>
        <w:rPr>
          <w:sz w:val="20"/>
          <w:szCs w:val="20"/>
        </w:rPr>
      </w:pPr>
      <w:r w:rsidRPr="00040568">
        <w:rPr>
          <w:i/>
          <w:sz w:val="20"/>
          <w:szCs w:val="20"/>
          <w:vertAlign w:val="superscript"/>
        </w:rPr>
        <w:t>c</w:t>
      </w:r>
      <w:r>
        <w:rPr>
          <w:i/>
          <w:sz w:val="20"/>
          <w:szCs w:val="20"/>
          <w:vertAlign w:val="superscript"/>
        </w:rPr>
        <w:t xml:space="preserve"> </w:t>
      </w:r>
      <w:r w:rsidRPr="00040568">
        <w:rPr>
          <w:sz w:val="20"/>
          <w:szCs w:val="20"/>
        </w:rPr>
        <w:t>p</w:t>
      </w:r>
      <w:r>
        <w:rPr>
          <w:sz w:val="20"/>
          <w:szCs w:val="20"/>
        </w:rPr>
        <w:t>&lt;</w:t>
      </w:r>
      <w:r w:rsidRPr="00040568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040568">
        <w:rPr>
          <w:sz w:val="20"/>
          <w:szCs w:val="20"/>
        </w:rPr>
        <w:t xml:space="preserve"> indicates good fit</w:t>
      </w:r>
    </w:p>
    <w:p w:rsidR="00330CEB" w:rsidRPr="00040568" w:rsidRDefault="00330CEB" w:rsidP="00344123">
      <w:pPr>
        <w:spacing w:after="0" w:line="240" w:lineRule="auto"/>
        <w:rPr>
          <w:sz w:val="20"/>
          <w:szCs w:val="20"/>
        </w:rPr>
      </w:pPr>
      <w:r w:rsidRPr="00040568">
        <w:rPr>
          <w:i/>
          <w:sz w:val="20"/>
          <w:szCs w:val="20"/>
          <w:vertAlign w:val="superscript"/>
        </w:rPr>
        <w:t>d</w:t>
      </w:r>
      <w:r>
        <w:rPr>
          <w:i/>
          <w:sz w:val="20"/>
          <w:szCs w:val="20"/>
          <w:vertAlign w:val="superscript"/>
        </w:rPr>
        <w:t xml:space="preserve"> </w:t>
      </w:r>
      <w:r w:rsidRPr="00040568">
        <w:rPr>
          <w:sz w:val="20"/>
          <w:szCs w:val="20"/>
        </w:rPr>
        <w:t>Lowest value indicates best fit</w:t>
      </w:r>
    </w:p>
    <w:p w:rsidR="00330CEB" w:rsidRPr="00040568" w:rsidRDefault="00330CEB" w:rsidP="00344123">
      <w:pPr>
        <w:spacing w:after="0" w:line="240" w:lineRule="auto"/>
        <w:rPr>
          <w:sz w:val="20"/>
          <w:szCs w:val="20"/>
        </w:rPr>
      </w:pPr>
      <w:r w:rsidRPr="00040568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  <w:vertAlign w:val="superscript"/>
        </w:rPr>
        <w:t xml:space="preserve"> </w:t>
      </w:r>
      <w:r w:rsidRPr="00040568">
        <w:rPr>
          <w:sz w:val="20"/>
          <w:szCs w:val="20"/>
        </w:rPr>
        <w:t>Lowest value indicates best fit</w:t>
      </w:r>
    </w:p>
    <w:p w:rsidR="00330CEB" w:rsidRPr="00040568" w:rsidRDefault="00330CEB" w:rsidP="00344123">
      <w:pPr>
        <w:spacing w:after="0" w:line="240" w:lineRule="auto"/>
        <w:rPr>
          <w:sz w:val="20"/>
          <w:szCs w:val="20"/>
        </w:rPr>
      </w:pPr>
      <w:r w:rsidRPr="00040568">
        <w:rPr>
          <w:i/>
          <w:sz w:val="20"/>
          <w:szCs w:val="20"/>
          <w:vertAlign w:val="superscript"/>
        </w:rPr>
        <w:t>f</w:t>
      </w:r>
      <w:r>
        <w:rPr>
          <w:i/>
          <w:sz w:val="20"/>
          <w:szCs w:val="20"/>
          <w:vertAlign w:val="superscript"/>
        </w:rPr>
        <w:t xml:space="preserve"> </w:t>
      </w:r>
      <w:r w:rsidRPr="00040568">
        <w:rPr>
          <w:sz w:val="20"/>
          <w:szCs w:val="20"/>
        </w:rPr>
        <w:t>P&lt;.05 indicates addition of this class significantly improves fit</w:t>
      </w:r>
    </w:p>
    <w:p w:rsidR="00330CEB" w:rsidRDefault="00330CEB" w:rsidP="00344123">
      <w:pPr>
        <w:spacing w:after="0" w:line="240" w:lineRule="auto"/>
        <w:rPr>
          <w:sz w:val="20"/>
          <w:szCs w:val="20"/>
        </w:rPr>
      </w:pPr>
      <w:r w:rsidRPr="00EF109D">
        <w:rPr>
          <w:i/>
          <w:sz w:val="20"/>
          <w:szCs w:val="20"/>
          <w:vertAlign w:val="superscript"/>
        </w:rPr>
        <w:t>g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V</w:t>
      </w:r>
      <w:r w:rsidRPr="00040568">
        <w:rPr>
          <w:sz w:val="20"/>
          <w:szCs w:val="20"/>
        </w:rPr>
        <w:t>alue</w:t>
      </w:r>
      <w:r>
        <w:rPr>
          <w:sz w:val="20"/>
          <w:szCs w:val="20"/>
        </w:rPr>
        <w:t>s close to 1</w:t>
      </w:r>
      <w:r w:rsidRPr="000405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(range 0-1) </w:t>
      </w:r>
      <w:r w:rsidRPr="00040568">
        <w:rPr>
          <w:sz w:val="20"/>
          <w:szCs w:val="20"/>
        </w:rPr>
        <w:t xml:space="preserve">indicate </w:t>
      </w:r>
      <w:r>
        <w:rPr>
          <w:sz w:val="20"/>
          <w:szCs w:val="20"/>
        </w:rPr>
        <w:t xml:space="preserve">good classification accuracy (Entropy is a </w:t>
      </w:r>
      <w:r w:rsidRPr="000B69BF">
        <w:rPr>
          <w:sz w:val="20"/>
          <w:szCs w:val="20"/>
        </w:rPr>
        <w:t>measur</w:t>
      </w:r>
      <w:r>
        <w:rPr>
          <w:sz w:val="20"/>
          <w:szCs w:val="20"/>
        </w:rPr>
        <w:t>e of between-class separation i.</w:t>
      </w:r>
      <w:r w:rsidRPr="000B69BF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0B69BF">
        <w:rPr>
          <w:sz w:val="20"/>
          <w:szCs w:val="20"/>
        </w:rPr>
        <w:t>how well group membership is predicted given the observed</w:t>
      </w:r>
      <w:r>
        <w:rPr>
          <w:sz w:val="20"/>
          <w:szCs w:val="20"/>
        </w:rPr>
        <w:t xml:space="preserve"> </w:t>
      </w:r>
      <w:r w:rsidRPr="000B69BF">
        <w:rPr>
          <w:sz w:val="20"/>
          <w:szCs w:val="20"/>
        </w:rPr>
        <w:t>data)</w:t>
      </w:r>
    </w:p>
    <w:p w:rsidR="00881A76" w:rsidRDefault="00881A76" w:rsidP="00881A76"/>
    <w:p w:rsidR="00A75A9B" w:rsidRPr="0083672E" w:rsidRDefault="00A75A9B" w:rsidP="00A75A9B">
      <w:pPr>
        <w:spacing w:after="0"/>
      </w:pPr>
      <w:r w:rsidRPr="0083672E">
        <w:lastRenderedPageBreak/>
        <w:t xml:space="preserve">Figure </w:t>
      </w:r>
      <w:r>
        <w:t>S2</w:t>
      </w:r>
      <w:r w:rsidRPr="0083672E">
        <w:t>: Four longitudinal classes of back pain from age 31 to 68 years, n=</w:t>
      </w:r>
      <w:r>
        <w:t>1507</w:t>
      </w:r>
    </w:p>
    <w:p w:rsidR="00A75A9B" w:rsidRDefault="00A75A9B" w:rsidP="00881A76"/>
    <w:p w:rsidR="00145A06" w:rsidRDefault="00A75A9B" w:rsidP="00881A76">
      <w:pPr>
        <w:tabs>
          <w:tab w:val="left" w:pos="1065"/>
        </w:tabs>
      </w:pPr>
      <w:r>
        <w:rPr>
          <w:noProof/>
          <w:lang w:eastAsia="en-GB"/>
        </w:rPr>
        <w:drawing>
          <wp:inline distT="0" distB="0" distL="0" distR="0" wp14:anchorId="32504963" wp14:editId="4DD21821">
            <wp:extent cx="5014913" cy="3424237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A06" w:rsidRDefault="00145A06" w:rsidP="00145A06"/>
    <w:sectPr w:rsidR="00145A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13" w:rsidRDefault="00A54513" w:rsidP="00A54513">
      <w:pPr>
        <w:spacing w:after="0" w:line="240" w:lineRule="auto"/>
      </w:pPr>
      <w:r>
        <w:separator/>
      </w:r>
    </w:p>
  </w:endnote>
  <w:endnote w:type="continuationSeparator" w:id="0">
    <w:p w:rsidR="00A54513" w:rsidRDefault="00A54513" w:rsidP="00A5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0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13" w:rsidRDefault="00A54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513" w:rsidRDefault="00A54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13" w:rsidRDefault="00A54513" w:rsidP="00A54513">
      <w:pPr>
        <w:spacing w:after="0" w:line="240" w:lineRule="auto"/>
      </w:pPr>
      <w:r>
        <w:separator/>
      </w:r>
    </w:p>
  </w:footnote>
  <w:footnote w:type="continuationSeparator" w:id="0">
    <w:p w:rsidR="00A54513" w:rsidRDefault="00A54513" w:rsidP="00A5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9"/>
    <w:rsid w:val="00022D65"/>
    <w:rsid w:val="000348FF"/>
    <w:rsid w:val="00091EF7"/>
    <w:rsid w:val="00095F5D"/>
    <w:rsid w:val="000B27F9"/>
    <w:rsid w:val="00145A06"/>
    <w:rsid w:val="00172198"/>
    <w:rsid w:val="00180649"/>
    <w:rsid w:val="001C2AA8"/>
    <w:rsid w:val="001C5E9B"/>
    <w:rsid w:val="00220EAC"/>
    <w:rsid w:val="002E712B"/>
    <w:rsid w:val="00330CEB"/>
    <w:rsid w:val="0034337D"/>
    <w:rsid w:val="00344123"/>
    <w:rsid w:val="00347B39"/>
    <w:rsid w:val="00356E44"/>
    <w:rsid w:val="00391B69"/>
    <w:rsid w:val="003F7AF2"/>
    <w:rsid w:val="004146E1"/>
    <w:rsid w:val="00436109"/>
    <w:rsid w:val="004B3462"/>
    <w:rsid w:val="00506AED"/>
    <w:rsid w:val="00583D03"/>
    <w:rsid w:val="005B305B"/>
    <w:rsid w:val="005C2341"/>
    <w:rsid w:val="005E688C"/>
    <w:rsid w:val="006E66C2"/>
    <w:rsid w:val="00770188"/>
    <w:rsid w:val="00867389"/>
    <w:rsid w:val="00881A76"/>
    <w:rsid w:val="008A1746"/>
    <w:rsid w:val="00984683"/>
    <w:rsid w:val="00A54513"/>
    <w:rsid w:val="00A71B06"/>
    <w:rsid w:val="00A75A9B"/>
    <w:rsid w:val="00A920EB"/>
    <w:rsid w:val="00AF3E58"/>
    <w:rsid w:val="00BF7B8F"/>
    <w:rsid w:val="00CD4AC6"/>
    <w:rsid w:val="00CD5035"/>
    <w:rsid w:val="00D122C3"/>
    <w:rsid w:val="00D4123F"/>
    <w:rsid w:val="00D60ABC"/>
    <w:rsid w:val="00E24D08"/>
    <w:rsid w:val="00E93038"/>
    <w:rsid w:val="00F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9B"/>
    <w:rPr>
      <w:sz w:val="20"/>
      <w:szCs w:val="20"/>
    </w:rPr>
  </w:style>
  <w:style w:type="table" w:styleId="TableGrid">
    <w:name w:val="Table Grid"/>
    <w:basedOn w:val="TableNormal"/>
    <w:uiPriority w:val="59"/>
    <w:rsid w:val="0014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13"/>
  </w:style>
  <w:style w:type="paragraph" w:styleId="Footer">
    <w:name w:val="footer"/>
    <w:basedOn w:val="Normal"/>
    <w:link w:val="FooterChar"/>
    <w:uiPriority w:val="99"/>
    <w:unhideWhenUsed/>
    <w:rsid w:val="00A5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9B"/>
    <w:rPr>
      <w:sz w:val="20"/>
      <w:szCs w:val="20"/>
    </w:rPr>
  </w:style>
  <w:style w:type="table" w:styleId="TableGrid">
    <w:name w:val="Table Grid"/>
    <w:basedOn w:val="TableNormal"/>
    <w:uiPriority w:val="59"/>
    <w:rsid w:val="0014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13"/>
  </w:style>
  <w:style w:type="paragraph" w:styleId="Footer">
    <w:name w:val="footer"/>
    <w:basedOn w:val="Normal"/>
    <w:link w:val="FooterChar"/>
    <w:uiPriority w:val="99"/>
    <w:unhideWhenUsed/>
    <w:rsid w:val="00A5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no/ occasional  (men)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5.1999999999999998E-2</c:v>
                </c:pt>
                <c:pt idx="1">
                  <c:v>2E-3</c:v>
                </c:pt>
                <c:pt idx="2">
                  <c:v>0</c:v>
                </c:pt>
                <c:pt idx="3">
                  <c:v>0.12</c:v>
                </c:pt>
                <c:pt idx="4">
                  <c:v>0.11700000000000001</c:v>
                </c:pt>
                <c:pt idx="5">
                  <c:v>0.14899999999999999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no/ occasional  (women)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7.9000000000000001E-2</c:v>
                </c:pt>
                <c:pt idx="1">
                  <c:v>5.0000000000000001E-3</c:v>
                </c:pt>
                <c:pt idx="2">
                  <c:v>5.8999999999999997E-2</c:v>
                </c:pt>
                <c:pt idx="3">
                  <c:v>0.127</c:v>
                </c:pt>
                <c:pt idx="4">
                  <c:v>0.123</c:v>
                </c:pt>
                <c:pt idx="5">
                  <c:v>0.184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Sheet1!$D$1:$D$2</c:f>
              <c:strCache>
                <c:ptCount val="1"/>
                <c:pt idx="0">
                  <c:v>early-adulthood only  (men)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0.26400000000000001</c:v>
                </c:pt>
                <c:pt idx="1">
                  <c:v>0.35399999999999998</c:v>
                </c:pt>
                <c:pt idx="2">
                  <c:v>0.59299999999999997</c:v>
                </c:pt>
                <c:pt idx="3">
                  <c:v>0.36799999999999999</c:v>
                </c:pt>
                <c:pt idx="4">
                  <c:v>0.17799999999999999</c:v>
                </c:pt>
                <c:pt idx="5">
                  <c:v>0.189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Sheet1!$E$1:$E$2</c:f>
              <c:strCache>
                <c:ptCount val="1"/>
                <c:pt idx="0">
                  <c:v>early-adulthood only  (women)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dash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0.49</c:v>
                </c:pt>
                <c:pt idx="1">
                  <c:v>0.48599999999999999</c:v>
                </c:pt>
                <c:pt idx="2">
                  <c:v>0.56000000000000005</c:v>
                </c:pt>
                <c:pt idx="3">
                  <c:v>0.17699999999999999</c:v>
                </c:pt>
                <c:pt idx="4">
                  <c:v>0.18</c:v>
                </c:pt>
                <c:pt idx="5">
                  <c:v>0.16800000000000001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Sheet1!$F$1:$F$2</c:f>
              <c:strCache>
                <c:ptCount val="1"/>
                <c:pt idx="0">
                  <c:v>mid-adulthood onset  (men)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circle"/>
            <c:size val="5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Sheet1!$F$3:$F$8</c:f>
              <c:numCache>
                <c:formatCode>General</c:formatCode>
                <c:ptCount val="6"/>
                <c:pt idx="0">
                  <c:v>0.13100000000000001</c:v>
                </c:pt>
                <c:pt idx="1">
                  <c:v>6.8000000000000005E-2</c:v>
                </c:pt>
                <c:pt idx="2">
                  <c:v>0.28599999999999998</c:v>
                </c:pt>
                <c:pt idx="3">
                  <c:v>0.60199999999999998</c:v>
                </c:pt>
                <c:pt idx="4">
                  <c:v>0.78900000000000003</c:v>
                </c:pt>
                <c:pt idx="5">
                  <c:v>0.57599999999999996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Sheet1!$G$1:$G$2</c:f>
              <c:strCache>
                <c:ptCount val="1"/>
                <c:pt idx="0">
                  <c:v>mid-adulthood onset  (women)</c:v>
                </c:pt>
              </c:strCache>
            </c:strRef>
          </c:tx>
          <c:spPr>
            <a:ln w="19050">
              <a:solidFill>
                <a:srgbClr val="0070C0"/>
              </a:solidFill>
              <a:prstDash val="dash"/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Sheet1!$G$3:$G$8</c:f>
              <c:numCache>
                <c:formatCode>General</c:formatCode>
                <c:ptCount val="6"/>
                <c:pt idx="0">
                  <c:v>0.113</c:v>
                </c:pt>
                <c:pt idx="1">
                  <c:v>0.113</c:v>
                </c:pt>
                <c:pt idx="2">
                  <c:v>0.33600000000000002</c:v>
                </c:pt>
                <c:pt idx="3">
                  <c:v>0.65900000000000003</c:v>
                </c:pt>
                <c:pt idx="4">
                  <c:v>0.70199999999999996</c:v>
                </c:pt>
                <c:pt idx="5">
                  <c:v>0.58299999999999996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Sheet1!$H$1:$H$2</c:f>
              <c:strCache>
                <c:ptCount val="1"/>
                <c:pt idx="0">
                  <c:v>persistent (men)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Sheet1!$H$3:$H$8</c:f>
              <c:numCache>
                <c:formatCode>General</c:formatCode>
                <c:ptCount val="6"/>
                <c:pt idx="0">
                  <c:v>0.71</c:v>
                </c:pt>
                <c:pt idx="1">
                  <c:v>0.86699999999999999</c:v>
                </c:pt>
                <c:pt idx="2">
                  <c:v>0.97299999999999998</c:v>
                </c:pt>
                <c:pt idx="3">
                  <c:v>0.78</c:v>
                </c:pt>
                <c:pt idx="4">
                  <c:v>0.91900000000000004</c:v>
                </c:pt>
                <c:pt idx="5">
                  <c:v>0.60199999999999998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Sheet1!$I$1:$I$2</c:f>
              <c:strCache>
                <c:ptCount val="1"/>
                <c:pt idx="0">
                  <c:v>persistent (women)</c:v>
                </c:pt>
              </c:strCache>
            </c:strRef>
          </c:tx>
          <c:spPr>
            <a:ln w="19050">
              <a:solidFill>
                <a:srgbClr val="FF0000"/>
              </a:solidFill>
              <a:prstDash val="dash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Sheet1!$A$3:$A$8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Sheet1!$I$3:$I$8</c:f>
              <c:numCache>
                <c:formatCode>General</c:formatCode>
                <c:ptCount val="6"/>
                <c:pt idx="0">
                  <c:v>0.76400000000000001</c:v>
                </c:pt>
                <c:pt idx="1">
                  <c:v>0.73599999999999999</c:v>
                </c:pt>
                <c:pt idx="2">
                  <c:v>0.73699999999999999</c:v>
                </c:pt>
                <c:pt idx="3">
                  <c:v>0.81599999999999995</c:v>
                </c:pt>
                <c:pt idx="4">
                  <c:v>0.65500000000000003</c:v>
                </c:pt>
                <c:pt idx="5">
                  <c:v>0.55500000000000005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79712"/>
        <c:axId val="135219456"/>
      </c:lineChart>
      <c:catAx>
        <c:axId val="132579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 (years)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35219456"/>
        <c:crosses val="autoZero"/>
        <c:auto val="1"/>
        <c:lblAlgn val="ctr"/>
        <c:lblOffset val="100"/>
        <c:noMultiLvlLbl val="0"/>
      </c:catAx>
      <c:valAx>
        <c:axId val="135219456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GB" sz="1100" b="1" i="0" baseline="0">
                    <a:effectLst/>
                  </a:rPr>
                  <a:t>Conditional response probability for </a:t>
                </a:r>
              </a:p>
              <a:p>
                <a:pPr>
                  <a:defRPr sz="1100"/>
                </a:pPr>
                <a:r>
                  <a:rPr lang="en-GB" sz="1100" b="1" i="0" baseline="0">
                    <a:effectLst/>
                  </a:rPr>
                  <a:t>reporting back pain </a:t>
                </a:r>
                <a:endParaRPr lang="en-GB" sz="11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25797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graph!$B$1</c:f>
              <c:strCache>
                <c:ptCount val="1"/>
                <c:pt idx="0">
                  <c:v>no or occasional back pain (56.7%)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graph!$A$2:$A$7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graph!$B$2:$B$7</c:f>
              <c:numCache>
                <c:formatCode>General</c:formatCode>
                <c:ptCount val="6"/>
                <c:pt idx="0">
                  <c:v>7.0999999999999994E-2</c:v>
                </c:pt>
                <c:pt idx="1">
                  <c:v>1.2999999999999999E-2</c:v>
                </c:pt>
                <c:pt idx="2">
                  <c:v>5.3999999999999999E-2</c:v>
                </c:pt>
                <c:pt idx="3">
                  <c:v>0.13700000000000001</c:v>
                </c:pt>
                <c:pt idx="4">
                  <c:v>0.106</c:v>
                </c:pt>
                <c:pt idx="5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graph!$C$1</c:f>
              <c:strCache>
                <c:ptCount val="1"/>
                <c:pt idx="0">
                  <c:v>early-adulthood only (17.9%)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graph!$A$2:$A$7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graph!$C$2:$C$7</c:f>
              <c:numCache>
                <c:formatCode>General</c:formatCode>
                <c:ptCount val="6"/>
                <c:pt idx="0">
                  <c:v>0.45400000000000001</c:v>
                </c:pt>
                <c:pt idx="1">
                  <c:v>0.51200000000000001</c:v>
                </c:pt>
                <c:pt idx="2">
                  <c:v>0.68100000000000005</c:v>
                </c:pt>
                <c:pt idx="3">
                  <c:v>0.35499999999999998</c:v>
                </c:pt>
                <c:pt idx="4">
                  <c:v>0.21299999999999999</c:v>
                </c:pt>
                <c:pt idx="5">
                  <c:v>0.221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graph!$D$1</c:f>
              <c:strCache>
                <c:ptCount val="1"/>
                <c:pt idx="0">
                  <c:v>mid-adulthood onset (16.1%)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graph!$A$2:$A$7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graph!$D$2:$D$7</c:f>
              <c:numCache>
                <c:formatCode>General</c:formatCode>
                <c:ptCount val="6"/>
                <c:pt idx="0">
                  <c:v>0.113</c:v>
                </c:pt>
                <c:pt idx="1">
                  <c:v>7.1999999999999995E-2</c:v>
                </c:pt>
                <c:pt idx="2">
                  <c:v>0.27600000000000002</c:v>
                </c:pt>
                <c:pt idx="3">
                  <c:v>0.58799999999999997</c:v>
                </c:pt>
                <c:pt idx="4">
                  <c:v>0.74399999999999999</c:v>
                </c:pt>
                <c:pt idx="5">
                  <c:v>0.61899999999999999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graph!$E$1</c:f>
              <c:strCache>
                <c:ptCount val="1"/>
                <c:pt idx="0">
                  <c:v>persistent back pain (9.3%)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graph!$A$2:$A$7</c:f>
              <c:strCache>
                <c:ptCount val="6"/>
                <c:pt idx="0">
                  <c:v>31y</c:v>
                </c:pt>
                <c:pt idx="1">
                  <c:v>36y</c:v>
                </c:pt>
                <c:pt idx="2">
                  <c:v>43y</c:v>
                </c:pt>
                <c:pt idx="3">
                  <c:v>53y</c:v>
                </c:pt>
                <c:pt idx="4">
                  <c:v>60-64y</c:v>
                </c:pt>
                <c:pt idx="5">
                  <c:v>68y</c:v>
                </c:pt>
              </c:strCache>
            </c:strRef>
          </c:cat>
          <c:val>
            <c:numRef>
              <c:f>graph!$E$2:$E$7</c:f>
              <c:numCache>
                <c:formatCode>General</c:formatCode>
                <c:ptCount val="6"/>
                <c:pt idx="0">
                  <c:v>0.71699999999999997</c:v>
                </c:pt>
                <c:pt idx="1">
                  <c:v>0.82799999999999996</c:v>
                </c:pt>
                <c:pt idx="2">
                  <c:v>0.82499999999999996</c:v>
                </c:pt>
                <c:pt idx="3">
                  <c:v>0.83</c:v>
                </c:pt>
                <c:pt idx="4">
                  <c:v>0.81</c:v>
                </c:pt>
                <c:pt idx="5">
                  <c:v>0.55700000000000005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794368"/>
        <c:axId val="151954560"/>
      </c:lineChart>
      <c:catAx>
        <c:axId val="146794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51954560"/>
        <c:crosses val="autoZero"/>
        <c:auto val="1"/>
        <c:lblAlgn val="ctr"/>
        <c:lblOffset val="100"/>
        <c:noMultiLvlLbl val="0"/>
      </c:catAx>
      <c:valAx>
        <c:axId val="15195456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Conditional response probability for reporting back pain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6794368"/>
        <c:crosses val="autoZero"/>
        <c:crossBetween val="between"/>
        <c:majorUnit val="0.1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9708-8424-44B0-A971-07B4C953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Muthuri</dc:creator>
  <cp:lastModifiedBy>Stella Muthuri</cp:lastModifiedBy>
  <cp:revision>4</cp:revision>
  <dcterms:created xsi:type="dcterms:W3CDTF">2017-09-05T13:11:00Z</dcterms:created>
  <dcterms:modified xsi:type="dcterms:W3CDTF">2017-09-05T14:03:00Z</dcterms:modified>
</cp:coreProperties>
</file>