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5E42" w14:textId="77777777" w:rsidR="000E3F1A" w:rsidRPr="00C200A3" w:rsidRDefault="000E3F1A" w:rsidP="000E3F1A">
      <w:pPr>
        <w:rPr>
          <w:sz w:val="22"/>
          <w:szCs w:val="22"/>
        </w:rPr>
      </w:pPr>
      <w:r w:rsidRPr="00C200A3">
        <w:rPr>
          <w:sz w:val="22"/>
          <w:szCs w:val="22"/>
        </w:rPr>
        <w:t xml:space="preserve">Stoler et al. </w:t>
      </w:r>
      <w:r w:rsidRPr="00C200A3">
        <w:rPr>
          <w:sz w:val="22"/>
          <w:szCs w:val="22"/>
        </w:rPr>
        <w:tab/>
        <w:t>Cervical Tissue Adjunctive Analysis (CERTAIN) study</w:t>
      </w:r>
    </w:p>
    <w:p w14:paraId="6F7DEAA2" w14:textId="77777777" w:rsidR="000E3F1A" w:rsidRPr="00C200A3" w:rsidRDefault="000E3F1A" w:rsidP="000E3F1A">
      <w:pPr>
        <w:rPr>
          <w:sz w:val="22"/>
          <w:szCs w:val="22"/>
        </w:rPr>
      </w:pPr>
    </w:p>
    <w:p w14:paraId="4C9F2ED4" w14:textId="77777777" w:rsidR="000E3F1A" w:rsidRPr="00C200A3" w:rsidRDefault="000E3F1A" w:rsidP="000E3F1A">
      <w:pPr>
        <w:rPr>
          <w:sz w:val="22"/>
          <w:szCs w:val="22"/>
        </w:rPr>
      </w:pPr>
    </w:p>
    <w:p w14:paraId="11D45D1A" w14:textId="3B7DD0DB" w:rsidR="000E3F1A" w:rsidRDefault="000E3F1A" w:rsidP="000E3F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Table </w:t>
      </w:r>
      <w:r w:rsidR="00475BD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4</w:t>
      </w:r>
      <w:r w:rsidRPr="00C200A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1992765" w14:textId="32DE004F" w:rsidR="00C83F18" w:rsidRPr="00E86789" w:rsidRDefault="00C83F18" w:rsidP="00C83F18">
      <w:pPr>
        <w:rPr>
          <w:b/>
          <w:sz w:val="22"/>
          <w:szCs w:val="22"/>
        </w:rPr>
      </w:pPr>
      <w:r>
        <w:rPr>
          <w:b/>
          <w:sz w:val="22"/>
        </w:rPr>
        <w:t>PLR, NLR, PPV, NPV, relative PLR and NLR, and d</w:t>
      </w:r>
      <w:r w:rsidRPr="00E86789">
        <w:rPr>
          <w:b/>
          <w:sz w:val="22"/>
        </w:rPr>
        <w:t>ifferences in PPV and NPV in Round 1 (I</w:t>
      </w:r>
      <w:r>
        <w:rPr>
          <w:b/>
          <w:sz w:val="22"/>
        </w:rPr>
        <w:t>S</w:t>
      </w:r>
      <w:r w:rsidRPr="00E86789">
        <w:rPr>
          <w:b/>
          <w:sz w:val="22"/>
        </w:rPr>
        <w:t>P</w:t>
      </w:r>
      <w:r w:rsidR="007E5EA4" w:rsidRPr="007E5EA4">
        <w:rPr>
          <w:b/>
          <w:sz w:val="22"/>
          <w:vertAlign w:val="subscript"/>
        </w:rPr>
        <w:t>H&amp;E</w:t>
      </w:r>
      <w:r w:rsidRPr="00E86789">
        <w:rPr>
          <w:b/>
          <w:sz w:val="22"/>
        </w:rPr>
        <w:t>) and Round 2 (I</w:t>
      </w:r>
      <w:r>
        <w:rPr>
          <w:b/>
          <w:sz w:val="22"/>
        </w:rPr>
        <w:t>S</w:t>
      </w:r>
      <w:r w:rsidRPr="00E86789">
        <w:rPr>
          <w:b/>
          <w:sz w:val="22"/>
        </w:rPr>
        <w:t>P</w:t>
      </w:r>
      <w:r w:rsidR="007E5EA4" w:rsidRPr="007E5EA4">
        <w:rPr>
          <w:b/>
          <w:sz w:val="22"/>
          <w:vertAlign w:val="subscript"/>
        </w:rPr>
        <w:t>H&amp;E</w:t>
      </w:r>
      <w:r w:rsidR="007E5EA4">
        <w:rPr>
          <w:b/>
          <w:sz w:val="22"/>
          <w:vertAlign w:val="subscript"/>
        </w:rPr>
        <w:t>+p16</w:t>
      </w:r>
      <w:r w:rsidRPr="00E86789">
        <w:rPr>
          <w:b/>
          <w:sz w:val="22"/>
        </w:rPr>
        <w:t xml:space="preserve">) </w:t>
      </w:r>
      <w:r>
        <w:rPr>
          <w:b/>
          <w:sz w:val="22"/>
        </w:rPr>
        <w:t>u</w:t>
      </w:r>
      <w:r w:rsidRPr="00E86789">
        <w:rPr>
          <w:b/>
          <w:sz w:val="22"/>
        </w:rPr>
        <w:t>sing (A) CPR</w:t>
      </w:r>
      <w:r w:rsidRPr="00E86789">
        <w:rPr>
          <w:b/>
          <w:sz w:val="22"/>
          <w:vertAlign w:val="subscript"/>
        </w:rPr>
        <w:t>H&amp;E</w:t>
      </w:r>
      <w:r w:rsidRPr="00E86789">
        <w:rPr>
          <w:b/>
          <w:sz w:val="22"/>
        </w:rPr>
        <w:t xml:space="preserve"> and (B) CPR</w:t>
      </w:r>
      <w:r w:rsidRPr="00E86789">
        <w:rPr>
          <w:b/>
          <w:sz w:val="22"/>
          <w:vertAlign w:val="subscript"/>
        </w:rPr>
        <w:t>H&amp;E+p16</w:t>
      </w:r>
      <w:r w:rsidRPr="00E86789">
        <w:rPr>
          <w:b/>
          <w:sz w:val="22"/>
        </w:rPr>
        <w:t>,</w:t>
      </w:r>
      <w:r>
        <w:rPr>
          <w:b/>
          <w:sz w:val="22"/>
        </w:rPr>
        <w:t xml:space="preserve"> respectively, as the reference d</w:t>
      </w:r>
      <w:r w:rsidRPr="00E86789">
        <w:rPr>
          <w:b/>
          <w:sz w:val="22"/>
        </w:rPr>
        <w:t>iagnoses</w:t>
      </w:r>
      <w:r>
        <w:rPr>
          <w:b/>
          <w:sz w:val="22"/>
        </w:rPr>
        <w:t xml:space="preserve"> at the CIN2+/CIN1- c</w:t>
      </w:r>
      <w:r w:rsidRPr="00E86789">
        <w:rPr>
          <w:b/>
          <w:sz w:val="22"/>
        </w:rPr>
        <w:t>utoff</w:t>
      </w:r>
      <w:r w:rsidRPr="00E86789">
        <w:rPr>
          <w:b/>
          <w:sz w:val="20"/>
          <w:szCs w:val="22"/>
        </w:rPr>
        <w:t xml:space="preserve">   </w:t>
      </w:r>
    </w:p>
    <w:p w14:paraId="3B88F627" w14:textId="77777777" w:rsidR="00C83F18" w:rsidRPr="00FC5048" w:rsidRDefault="00C83F18" w:rsidP="00C83F18">
      <w:pPr>
        <w:pStyle w:val="Caption"/>
        <w:rPr>
          <w:rFonts w:ascii="Times New Roman" w:hAnsi="Times New Roman"/>
          <w:sz w:val="22"/>
        </w:rPr>
      </w:pPr>
      <w:r w:rsidRPr="00FC5048">
        <w:rPr>
          <w:rFonts w:ascii="Times New Roman" w:hAnsi="Times New Roman"/>
          <w:sz w:val="22"/>
        </w:rPr>
        <w:t xml:space="preserve">(A) </w:t>
      </w:r>
    </w:p>
    <w:tbl>
      <w:tblPr>
        <w:tblStyle w:val="Style2"/>
        <w:tblW w:w="9507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2114"/>
        <w:gridCol w:w="2115"/>
        <w:gridCol w:w="1621"/>
        <w:gridCol w:w="1709"/>
        <w:gridCol w:w="1051"/>
      </w:tblGrid>
      <w:tr w:rsidR="00C83F18" w:rsidRPr="0038580A" w14:paraId="62093F3C" w14:textId="77777777" w:rsidTr="007E5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3"/>
        </w:trPr>
        <w:tc>
          <w:tcPr>
            <w:tcW w:w="897" w:type="dxa"/>
            <w:tcMar>
              <w:top w:w="72" w:type="dxa"/>
              <w:left w:w="86" w:type="dxa"/>
              <w:right w:w="58" w:type="dxa"/>
            </w:tcMar>
            <w:hideMark/>
          </w:tcPr>
          <w:p w14:paraId="1058134F" w14:textId="77777777" w:rsidR="00C83F18" w:rsidRPr="0038580A" w:rsidRDefault="00C83F18" w:rsidP="007E5EA4">
            <w:pPr>
              <w:pStyle w:val="TableText"/>
              <w:keepNext/>
              <w:spacing w:before="60"/>
            </w:pPr>
            <w:r w:rsidRPr="0038580A">
              <w:t>End</w:t>
            </w:r>
            <w:r>
              <w:t>-</w:t>
            </w:r>
            <w:r w:rsidRPr="0038580A">
              <w:t>point</w:t>
            </w:r>
            <w:r w:rsidRPr="003A011E">
              <w:rPr>
                <w:vertAlign w:val="superscript"/>
              </w:rPr>
              <w:t xml:space="preserve"> [a]</w:t>
            </w:r>
          </w:p>
        </w:tc>
        <w:tc>
          <w:tcPr>
            <w:tcW w:w="2114" w:type="dxa"/>
            <w:tcMar>
              <w:top w:w="72" w:type="dxa"/>
              <w:left w:w="86" w:type="dxa"/>
              <w:right w:w="58" w:type="dxa"/>
            </w:tcMar>
            <w:hideMark/>
          </w:tcPr>
          <w:p w14:paraId="1DE968B6" w14:textId="09BE93EB" w:rsidR="00C83F18" w:rsidRPr="0084021B" w:rsidRDefault="00C83F18" w:rsidP="007E5EA4">
            <w:pPr>
              <w:pStyle w:val="TableText"/>
              <w:keepNext/>
              <w:spacing w:before="60"/>
              <w:jc w:val="center"/>
              <w:rPr>
                <w:lang w:val="it-IT"/>
              </w:rPr>
            </w:pPr>
            <w:r w:rsidRPr="0084021B">
              <w:rPr>
                <w:lang w:val="it-IT"/>
              </w:rPr>
              <w:t>ISP</w:t>
            </w:r>
            <w:r w:rsidR="007E5EA4" w:rsidRPr="0084021B">
              <w:rPr>
                <w:vertAlign w:val="subscript"/>
                <w:lang w:val="it-IT"/>
              </w:rPr>
              <w:t>H&amp;E</w:t>
            </w:r>
            <w:r w:rsidRPr="0084021B">
              <w:rPr>
                <w:lang w:val="it-IT"/>
              </w:rPr>
              <w:t xml:space="preserve"> vs CPR</w:t>
            </w:r>
            <w:r w:rsidRPr="0084021B">
              <w:rPr>
                <w:vertAlign w:val="subscript"/>
                <w:lang w:val="it-IT"/>
              </w:rPr>
              <w:t>H&amp;E</w:t>
            </w:r>
            <w:r w:rsidRPr="0084021B">
              <w:rPr>
                <w:lang w:val="it-IT"/>
              </w:rPr>
              <w:t xml:space="preserve"> Point Estimate (95% CI)</w:t>
            </w:r>
          </w:p>
        </w:tc>
        <w:tc>
          <w:tcPr>
            <w:tcW w:w="2115" w:type="dxa"/>
            <w:tcMar>
              <w:top w:w="72" w:type="dxa"/>
              <w:left w:w="86" w:type="dxa"/>
              <w:right w:w="58" w:type="dxa"/>
            </w:tcMar>
            <w:hideMark/>
          </w:tcPr>
          <w:p w14:paraId="1E62CBA3" w14:textId="6F3D6134" w:rsidR="00C83F18" w:rsidRPr="0084021B" w:rsidRDefault="00C83F18" w:rsidP="007E5EA4">
            <w:pPr>
              <w:pStyle w:val="TableText"/>
              <w:keepNext/>
              <w:spacing w:before="60"/>
              <w:jc w:val="center"/>
              <w:rPr>
                <w:lang w:val="it-IT"/>
              </w:rPr>
            </w:pPr>
            <w:r w:rsidRPr="0084021B">
              <w:rPr>
                <w:lang w:val="it-IT"/>
              </w:rPr>
              <w:t>ISP</w:t>
            </w:r>
            <w:r w:rsidR="007E5EA4" w:rsidRPr="0084021B">
              <w:rPr>
                <w:vertAlign w:val="subscript"/>
                <w:lang w:val="it-IT"/>
              </w:rPr>
              <w:t>H&amp;E+p16</w:t>
            </w:r>
            <w:r w:rsidRPr="0084021B">
              <w:rPr>
                <w:lang w:val="it-IT"/>
              </w:rPr>
              <w:t xml:space="preserve"> vs CPR</w:t>
            </w:r>
            <w:r w:rsidRPr="0084021B">
              <w:rPr>
                <w:vertAlign w:val="subscript"/>
                <w:lang w:val="it-IT"/>
              </w:rPr>
              <w:t>H&amp;E</w:t>
            </w:r>
            <w:r w:rsidRPr="0084021B">
              <w:rPr>
                <w:lang w:val="it-IT"/>
              </w:rPr>
              <w:t xml:space="preserve"> Point Estimate (95% CI)</w:t>
            </w:r>
          </w:p>
        </w:tc>
        <w:tc>
          <w:tcPr>
            <w:tcW w:w="1621" w:type="dxa"/>
            <w:tcMar>
              <w:top w:w="72" w:type="dxa"/>
              <w:left w:w="86" w:type="dxa"/>
              <w:right w:w="58" w:type="dxa"/>
            </w:tcMar>
            <w:hideMark/>
          </w:tcPr>
          <w:p w14:paraId="4F2AE48F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Statistic for Comparison</w:t>
            </w:r>
            <w:r w:rsidRPr="0038580A">
              <w:rPr>
                <w:vertAlign w:val="superscript"/>
              </w:rPr>
              <w:t xml:space="preserve"> [</w:t>
            </w:r>
            <w:r>
              <w:rPr>
                <w:vertAlign w:val="superscript"/>
              </w:rPr>
              <w:t>b</w:t>
            </w:r>
            <w:r w:rsidRPr="0038580A">
              <w:rPr>
                <w:vertAlign w:val="superscript"/>
              </w:rPr>
              <w:t>]</w:t>
            </w:r>
          </w:p>
        </w:tc>
        <w:tc>
          <w:tcPr>
            <w:tcW w:w="1709" w:type="dxa"/>
            <w:tcMar>
              <w:top w:w="72" w:type="dxa"/>
              <w:left w:w="86" w:type="dxa"/>
              <w:right w:w="58" w:type="dxa"/>
            </w:tcMar>
            <w:hideMark/>
          </w:tcPr>
          <w:p w14:paraId="3B8F3291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Point Estimate (95% CI)</w:t>
            </w:r>
          </w:p>
        </w:tc>
        <w:tc>
          <w:tcPr>
            <w:tcW w:w="1051" w:type="dxa"/>
            <w:tcMar>
              <w:top w:w="72" w:type="dxa"/>
              <w:left w:w="86" w:type="dxa"/>
              <w:right w:w="58" w:type="dxa"/>
            </w:tcMar>
            <w:hideMark/>
          </w:tcPr>
          <w:p w14:paraId="7F93BEBC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rPr>
                <w:i/>
              </w:rPr>
              <w:t>P</w:t>
            </w:r>
            <w:r w:rsidRPr="0038580A">
              <w:t>-value</w:t>
            </w:r>
            <w:r w:rsidRPr="0038580A">
              <w:rPr>
                <w:vertAlign w:val="superscript"/>
              </w:rPr>
              <w:t xml:space="preserve"> [</w:t>
            </w:r>
            <w:r>
              <w:rPr>
                <w:vertAlign w:val="superscript"/>
              </w:rPr>
              <w:t>c</w:t>
            </w:r>
            <w:r w:rsidRPr="0038580A">
              <w:rPr>
                <w:vertAlign w:val="superscript"/>
              </w:rPr>
              <w:t>]</w:t>
            </w:r>
          </w:p>
        </w:tc>
      </w:tr>
      <w:tr w:rsidR="00C83F18" w:rsidRPr="0038580A" w14:paraId="6DFE5523" w14:textId="77777777" w:rsidTr="007E5EA4">
        <w:trPr>
          <w:cantSplit/>
          <w:trHeight w:val="125"/>
        </w:trPr>
        <w:tc>
          <w:tcPr>
            <w:tcW w:w="897" w:type="dxa"/>
            <w:tcBorders>
              <w:top w:val="single" w:sz="12" w:space="0" w:color="auto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17CBD444" w14:textId="77777777" w:rsidR="00C83F18" w:rsidRPr="0038580A" w:rsidRDefault="00C83F18" w:rsidP="007E5EA4">
            <w:pPr>
              <w:pStyle w:val="TableText"/>
              <w:keepNext/>
              <w:spacing w:before="60"/>
            </w:pPr>
            <w:r w:rsidRPr="0038580A">
              <w:t>PLR</w:t>
            </w:r>
          </w:p>
        </w:tc>
        <w:tc>
          <w:tcPr>
            <w:tcW w:w="2114" w:type="dxa"/>
            <w:tcBorders>
              <w:top w:val="single" w:sz="12" w:space="0" w:color="auto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019AE4A9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8.73 (7.82, 9.76)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2E42E476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10.96 (9.53, 12.79)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57435E21" w14:textId="77777777" w:rsidR="00C83F18" w:rsidRPr="0038580A" w:rsidRDefault="00C83F18" w:rsidP="007E5EA4">
            <w:pPr>
              <w:pStyle w:val="TableText"/>
              <w:keepNext/>
              <w:spacing w:before="60"/>
              <w:jc w:val="right"/>
            </w:pPr>
            <w:r w:rsidRPr="0038580A">
              <w:t>Relative PLR: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4E7F0678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1.26 (1.13, 1.41)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7A281018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0.000</w:t>
            </w:r>
            <w:r>
              <w:t>3</w:t>
            </w:r>
          </w:p>
        </w:tc>
      </w:tr>
      <w:tr w:rsidR="00C83F18" w:rsidRPr="0038580A" w14:paraId="7F804C20" w14:textId="77777777" w:rsidTr="007E5EA4">
        <w:trPr>
          <w:cantSplit/>
          <w:trHeight w:val="188"/>
        </w:trPr>
        <w:tc>
          <w:tcPr>
            <w:tcW w:w="897" w:type="dxa"/>
            <w:tcMar>
              <w:top w:w="72" w:type="dxa"/>
              <w:left w:w="86" w:type="dxa"/>
              <w:right w:w="58" w:type="dxa"/>
            </w:tcMar>
            <w:hideMark/>
          </w:tcPr>
          <w:p w14:paraId="5115199F" w14:textId="77777777" w:rsidR="00C83F18" w:rsidRPr="0038580A" w:rsidRDefault="00C83F18" w:rsidP="007E5EA4">
            <w:pPr>
              <w:pStyle w:val="TableText"/>
              <w:keepNext/>
              <w:spacing w:before="60"/>
            </w:pPr>
            <w:r w:rsidRPr="0038580A">
              <w:t>NLR</w:t>
            </w:r>
          </w:p>
        </w:tc>
        <w:tc>
          <w:tcPr>
            <w:tcW w:w="2114" w:type="dxa"/>
            <w:tcMar>
              <w:top w:w="72" w:type="dxa"/>
              <w:left w:w="86" w:type="dxa"/>
              <w:right w:w="58" w:type="dxa"/>
            </w:tcMar>
            <w:hideMark/>
          </w:tcPr>
          <w:p w14:paraId="3184D6FC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0.18 (0.15, 0.22)</w:t>
            </w:r>
          </w:p>
        </w:tc>
        <w:tc>
          <w:tcPr>
            <w:tcW w:w="2115" w:type="dxa"/>
            <w:tcMar>
              <w:top w:w="72" w:type="dxa"/>
              <w:left w:w="86" w:type="dxa"/>
              <w:right w:w="58" w:type="dxa"/>
            </w:tcMar>
            <w:hideMark/>
          </w:tcPr>
          <w:p w14:paraId="50383C71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0.11 (0.08, 0.14)</w:t>
            </w:r>
          </w:p>
        </w:tc>
        <w:tc>
          <w:tcPr>
            <w:tcW w:w="1621" w:type="dxa"/>
            <w:tcMar>
              <w:top w:w="72" w:type="dxa"/>
              <w:left w:w="86" w:type="dxa"/>
              <w:right w:w="58" w:type="dxa"/>
            </w:tcMar>
            <w:hideMark/>
          </w:tcPr>
          <w:p w14:paraId="18738C0D" w14:textId="77777777" w:rsidR="00C83F18" w:rsidRPr="0038580A" w:rsidRDefault="00C83F18" w:rsidP="007E5EA4">
            <w:pPr>
              <w:pStyle w:val="TableText"/>
              <w:keepNext/>
              <w:spacing w:before="60"/>
              <w:jc w:val="right"/>
            </w:pPr>
            <w:r w:rsidRPr="0038580A">
              <w:t>Relative NLR:</w:t>
            </w:r>
          </w:p>
        </w:tc>
        <w:tc>
          <w:tcPr>
            <w:tcW w:w="1709" w:type="dxa"/>
            <w:tcMar>
              <w:top w:w="72" w:type="dxa"/>
              <w:left w:w="86" w:type="dxa"/>
              <w:right w:w="58" w:type="dxa"/>
            </w:tcMar>
            <w:hideMark/>
          </w:tcPr>
          <w:p w14:paraId="23D08FC3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0.58 (0.49, 0.68)</w:t>
            </w:r>
          </w:p>
        </w:tc>
        <w:tc>
          <w:tcPr>
            <w:tcW w:w="1051" w:type="dxa"/>
            <w:tcMar>
              <w:top w:w="72" w:type="dxa"/>
              <w:left w:w="86" w:type="dxa"/>
              <w:right w:w="58" w:type="dxa"/>
            </w:tcMar>
            <w:hideMark/>
          </w:tcPr>
          <w:p w14:paraId="1327F8CB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&lt;.0001</w:t>
            </w:r>
          </w:p>
        </w:tc>
      </w:tr>
      <w:tr w:rsidR="00C83F18" w:rsidRPr="0038580A" w14:paraId="3B1BDBE7" w14:textId="77777777" w:rsidTr="007E5EA4">
        <w:trPr>
          <w:cantSplit/>
          <w:trHeight w:val="170"/>
        </w:trPr>
        <w:tc>
          <w:tcPr>
            <w:tcW w:w="897" w:type="dxa"/>
            <w:tcMar>
              <w:top w:w="72" w:type="dxa"/>
              <w:left w:w="86" w:type="dxa"/>
              <w:right w:w="58" w:type="dxa"/>
            </w:tcMar>
            <w:hideMark/>
          </w:tcPr>
          <w:p w14:paraId="77F5534B" w14:textId="77777777" w:rsidR="00C83F18" w:rsidRPr="0038580A" w:rsidRDefault="00C83F18" w:rsidP="007E5EA4">
            <w:pPr>
              <w:pStyle w:val="TableText"/>
              <w:keepNext/>
              <w:spacing w:before="60"/>
            </w:pPr>
            <w:r w:rsidRPr="0038580A">
              <w:t>PPV</w:t>
            </w:r>
            <w:r w:rsidRPr="00BC4A1D">
              <w:rPr>
                <w:vertAlign w:val="superscript"/>
              </w:rPr>
              <w:t xml:space="preserve"> </w:t>
            </w:r>
          </w:p>
        </w:tc>
        <w:tc>
          <w:tcPr>
            <w:tcW w:w="2114" w:type="dxa"/>
            <w:tcMar>
              <w:top w:w="72" w:type="dxa"/>
              <w:left w:w="86" w:type="dxa"/>
              <w:right w:w="58" w:type="dxa"/>
            </w:tcMar>
            <w:hideMark/>
          </w:tcPr>
          <w:p w14:paraId="19896533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61.0% (56.2%, 65.2%)</w:t>
            </w:r>
          </w:p>
        </w:tc>
        <w:tc>
          <w:tcPr>
            <w:tcW w:w="2115" w:type="dxa"/>
            <w:tcMar>
              <w:top w:w="72" w:type="dxa"/>
              <w:left w:w="86" w:type="dxa"/>
              <w:right w:w="58" w:type="dxa"/>
            </w:tcMar>
            <w:hideMark/>
          </w:tcPr>
          <w:p w14:paraId="46FC203B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66.2% (61.2%, 70.9%)</w:t>
            </w:r>
          </w:p>
        </w:tc>
        <w:tc>
          <w:tcPr>
            <w:tcW w:w="1621" w:type="dxa"/>
            <w:tcMar>
              <w:top w:w="72" w:type="dxa"/>
              <w:left w:w="86" w:type="dxa"/>
              <w:right w:w="58" w:type="dxa"/>
            </w:tcMar>
            <w:hideMark/>
          </w:tcPr>
          <w:p w14:paraId="516D54F2" w14:textId="77777777" w:rsidR="00C83F18" w:rsidRPr="0038580A" w:rsidRDefault="00C83F18" w:rsidP="007E5EA4">
            <w:pPr>
              <w:pStyle w:val="TableText"/>
              <w:keepNext/>
              <w:spacing w:before="60"/>
              <w:jc w:val="right"/>
            </w:pPr>
            <w:r w:rsidRPr="0038580A">
              <w:t>Difference PPV:</w:t>
            </w:r>
          </w:p>
        </w:tc>
        <w:tc>
          <w:tcPr>
            <w:tcW w:w="1709" w:type="dxa"/>
            <w:tcMar>
              <w:top w:w="72" w:type="dxa"/>
              <w:left w:w="86" w:type="dxa"/>
              <w:right w:w="58" w:type="dxa"/>
            </w:tcMar>
            <w:hideMark/>
          </w:tcPr>
          <w:p w14:paraId="6A6095C3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5.3% (2.9%, 7.9%)</w:t>
            </w:r>
          </w:p>
        </w:tc>
        <w:tc>
          <w:tcPr>
            <w:tcW w:w="1051" w:type="dxa"/>
            <w:tcMar>
              <w:top w:w="72" w:type="dxa"/>
              <w:left w:w="86" w:type="dxa"/>
              <w:right w:w="58" w:type="dxa"/>
            </w:tcMar>
            <w:hideMark/>
          </w:tcPr>
          <w:p w14:paraId="165E4F7B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&lt;.0001</w:t>
            </w:r>
          </w:p>
        </w:tc>
      </w:tr>
      <w:tr w:rsidR="00C83F18" w:rsidRPr="0038580A" w14:paraId="56787404" w14:textId="77777777" w:rsidTr="007E5EA4">
        <w:trPr>
          <w:cantSplit/>
          <w:trHeight w:val="251"/>
        </w:trPr>
        <w:tc>
          <w:tcPr>
            <w:tcW w:w="897" w:type="dxa"/>
            <w:tcMar>
              <w:top w:w="72" w:type="dxa"/>
              <w:left w:w="86" w:type="dxa"/>
              <w:right w:w="58" w:type="dxa"/>
            </w:tcMar>
            <w:hideMark/>
          </w:tcPr>
          <w:p w14:paraId="36D00BEE" w14:textId="77777777" w:rsidR="00C83F18" w:rsidRPr="0038580A" w:rsidRDefault="00C83F18" w:rsidP="007E5EA4">
            <w:pPr>
              <w:pStyle w:val="TableText"/>
              <w:spacing w:before="60"/>
            </w:pPr>
            <w:r w:rsidRPr="0038580A">
              <w:t>NPV</w:t>
            </w:r>
          </w:p>
        </w:tc>
        <w:tc>
          <w:tcPr>
            <w:tcW w:w="2114" w:type="dxa"/>
            <w:tcMar>
              <w:top w:w="72" w:type="dxa"/>
              <w:left w:w="86" w:type="dxa"/>
              <w:right w:w="58" w:type="dxa"/>
            </w:tcMar>
            <w:hideMark/>
          </w:tcPr>
          <w:p w14:paraId="66666939" w14:textId="77777777" w:rsidR="00C83F18" w:rsidRPr="0038580A" w:rsidRDefault="00C83F18" w:rsidP="007E5EA4">
            <w:pPr>
              <w:pStyle w:val="TableText"/>
              <w:spacing w:before="60"/>
              <w:jc w:val="center"/>
            </w:pPr>
            <w:r w:rsidRPr="0038580A">
              <w:t>96.8% (96.0%, 97.6%)</w:t>
            </w:r>
          </w:p>
        </w:tc>
        <w:tc>
          <w:tcPr>
            <w:tcW w:w="2115" w:type="dxa"/>
            <w:tcMar>
              <w:top w:w="72" w:type="dxa"/>
              <w:left w:w="86" w:type="dxa"/>
              <w:right w:w="58" w:type="dxa"/>
            </w:tcMar>
            <w:hideMark/>
          </w:tcPr>
          <w:p w14:paraId="01DF9FA7" w14:textId="77777777" w:rsidR="00C83F18" w:rsidRPr="0038580A" w:rsidRDefault="00C83F18" w:rsidP="007E5EA4">
            <w:pPr>
              <w:pStyle w:val="TableText"/>
              <w:spacing w:before="60"/>
              <w:jc w:val="center"/>
            </w:pPr>
            <w:r w:rsidRPr="0038580A">
              <w:t>98.1% (97.5%, 98.7%)</w:t>
            </w:r>
          </w:p>
        </w:tc>
        <w:tc>
          <w:tcPr>
            <w:tcW w:w="1621" w:type="dxa"/>
            <w:tcMar>
              <w:top w:w="72" w:type="dxa"/>
              <w:left w:w="86" w:type="dxa"/>
              <w:right w:w="58" w:type="dxa"/>
            </w:tcMar>
            <w:hideMark/>
          </w:tcPr>
          <w:p w14:paraId="7AFC8B60" w14:textId="77777777" w:rsidR="00C83F18" w:rsidRPr="0038580A" w:rsidRDefault="00C83F18" w:rsidP="007E5EA4">
            <w:pPr>
              <w:pStyle w:val="TableText"/>
              <w:spacing w:before="60"/>
              <w:jc w:val="right"/>
            </w:pPr>
            <w:r w:rsidRPr="0038580A">
              <w:t>Difference NPV:</w:t>
            </w:r>
          </w:p>
        </w:tc>
        <w:tc>
          <w:tcPr>
            <w:tcW w:w="1709" w:type="dxa"/>
            <w:tcMar>
              <w:top w:w="72" w:type="dxa"/>
              <w:left w:w="86" w:type="dxa"/>
              <w:right w:w="58" w:type="dxa"/>
            </w:tcMar>
            <w:hideMark/>
          </w:tcPr>
          <w:p w14:paraId="457BED8B" w14:textId="77777777" w:rsidR="00C83F18" w:rsidRPr="0038580A" w:rsidRDefault="00C83F18" w:rsidP="007E5EA4">
            <w:pPr>
              <w:pStyle w:val="TableText"/>
              <w:spacing w:before="60"/>
              <w:jc w:val="center"/>
            </w:pPr>
            <w:r w:rsidRPr="0038580A">
              <w:t>1.3% (0.9%, 1.7%)</w:t>
            </w:r>
          </w:p>
        </w:tc>
        <w:tc>
          <w:tcPr>
            <w:tcW w:w="1051" w:type="dxa"/>
            <w:tcMar>
              <w:top w:w="72" w:type="dxa"/>
              <w:left w:w="86" w:type="dxa"/>
              <w:right w:w="58" w:type="dxa"/>
            </w:tcMar>
            <w:hideMark/>
          </w:tcPr>
          <w:p w14:paraId="3E54CE3B" w14:textId="77777777" w:rsidR="00C83F18" w:rsidRPr="0038580A" w:rsidRDefault="00C83F18" w:rsidP="007E5EA4">
            <w:pPr>
              <w:pStyle w:val="TableText"/>
              <w:spacing w:before="60"/>
              <w:jc w:val="center"/>
            </w:pPr>
            <w:r w:rsidRPr="0038580A">
              <w:t>&lt;.0001</w:t>
            </w:r>
          </w:p>
        </w:tc>
      </w:tr>
    </w:tbl>
    <w:p w14:paraId="66079B56" w14:textId="77777777" w:rsidR="00C83F18" w:rsidRDefault="00C83F18" w:rsidP="00C83F18">
      <w:pPr>
        <w:rPr>
          <w:sz w:val="22"/>
          <w:szCs w:val="22"/>
        </w:rPr>
      </w:pPr>
    </w:p>
    <w:p w14:paraId="4CDF22EF" w14:textId="77777777" w:rsidR="00C83F18" w:rsidRDefault="00C83F18" w:rsidP="00C83F18">
      <w:pPr>
        <w:rPr>
          <w:b/>
          <w:sz w:val="22"/>
          <w:szCs w:val="22"/>
        </w:rPr>
      </w:pPr>
      <w:r>
        <w:rPr>
          <w:b/>
          <w:sz w:val="22"/>
          <w:szCs w:val="22"/>
        </w:rPr>
        <w:t>(B)</w:t>
      </w:r>
    </w:p>
    <w:p w14:paraId="274C0BDC" w14:textId="77777777" w:rsidR="00C83F18" w:rsidRPr="00FC5048" w:rsidRDefault="00C83F18" w:rsidP="00C83F18">
      <w:pPr>
        <w:rPr>
          <w:b/>
          <w:sz w:val="22"/>
          <w:szCs w:val="22"/>
        </w:rPr>
      </w:pPr>
    </w:p>
    <w:tbl>
      <w:tblPr>
        <w:tblStyle w:val="Style2"/>
        <w:tblW w:w="9480" w:type="dxa"/>
        <w:tblLook w:val="04A0" w:firstRow="1" w:lastRow="0" w:firstColumn="1" w:lastColumn="0" w:noHBand="0" w:noVBand="1"/>
      </w:tblPr>
      <w:tblGrid>
        <w:gridCol w:w="897"/>
        <w:gridCol w:w="2042"/>
        <w:gridCol w:w="117"/>
        <w:gridCol w:w="2043"/>
        <w:gridCol w:w="1530"/>
        <w:gridCol w:w="1800"/>
        <w:gridCol w:w="1051"/>
      </w:tblGrid>
      <w:tr w:rsidR="00C83F18" w:rsidRPr="0038580A" w14:paraId="216FF328" w14:textId="77777777" w:rsidTr="007E5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3"/>
        </w:trPr>
        <w:tc>
          <w:tcPr>
            <w:tcW w:w="897" w:type="dxa"/>
            <w:tcMar>
              <w:top w:w="72" w:type="dxa"/>
              <w:left w:w="86" w:type="dxa"/>
              <w:right w:w="58" w:type="dxa"/>
            </w:tcMar>
            <w:hideMark/>
          </w:tcPr>
          <w:p w14:paraId="2B6FB304" w14:textId="77777777" w:rsidR="00C83F18" w:rsidRPr="0038580A" w:rsidRDefault="00C83F18" w:rsidP="007E5EA4">
            <w:pPr>
              <w:pStyle w:val="TableText"/>
              <w:keepNext/>
              <w:spacing w:before="60"/>
            </w:pPr>
            <w:r w:rsidRPr="0038580A">
              <w:t>End</w:t>
            </w:r>
            <w:r>
              <w:t>-</w:t>
            </w:r>
            <w:r w:rsidRPr="0038580A">
              <w:t>point</w:t>
            </w:r>
            <w:r w:rsidRPr="003A011E">
              <w:rPr>
                <w:vertAlign w:val="superscript"/>
              </w:rPr>
              <w:t xml:space="preserve"> [a]</w:t>
            </w:r>
          </w:p>
        </w:tc>
        <w:tc>
          <w:tcPr>
            <w:tcW w:w="2159" w:type="dxa"/>
            <w:gridSpan w:val="2"/>
            <w:tcMar>
              <w:top w:w="72" w:type="dxa"/>
              <w:left w:w="86" w:type="dxa"/>
              <w:right w:w="58" w:type="dxa"/>
            </w:tcMar>
            <w:hideMark/>
          </w:tcPr>
          <w:p w14:paraId="77336DDA" w14:textId="20C708FF" w:rsidR="00C83F18" w:rsidRPr="00E824B9" w:rsidRDefault="00C83F18" w:rsidP="007E5EA4">
            <w:pPr>
              <w:pStyle w:val="TableText"/>
              <w:keepNext/>
              <w:spacing w:before="60"/>
              <w:jc w:val="center"/>
              <w:rPr>
                <w:lang w:val="it-IT"/>
              </w:rPr>
            </w:pPr>
            <w:r w:rsidRPr="00E824B9">
              <w:rPr>
                <w:lang w:val="it-IT"/>
              </w:rPr>
              <w:t>ISP</w:t>
            </w:r>
            <w:r w:rsidR="00C50049" w:rsidRPr="00E824B9">
              <w:rPr>
                <w:vertAlign w:val="subscript"/>
                <w:lang w:val="it-IT"/>
              </w:rPr>
              <w:t>H&amp;E</w:t>
            </w:r>
            <w:r w:rsidRPr="00E824B9">
              <w:rPr>
                <w:lang w:val="it-IT"/>
              </w:rPr>
              <w:t xml:space="preserve"> vs CPR</w:t>
            </w:r>
            <w:r w:rsidRPr="00E824B9">
              <w:rPr>
                <w:vertAlign w:val="subscript"/>
                <w:lang w:val="it-IT"/>
              </w:rPr>
              <w:t>H&amp;E+p16</w:t>
            </w:r>
            <w:r w:rsidRPr="00E824B9">
              <w:rPr>
                <w:lang w:val="it-IT"/>
              </w:rPr>
              <w:t xml:space="preserve"> </w:t>
            </w:r>
          </w:p>
          <w:p w14:paraId="0B0A3664" w14:textId="77777777" w:rsidR="00C83F18" w:rsidRPr="00E824B9" w:rsidRDefault="00C83F18" w:rsidP="007E5EA4">
            <w:pPr>
              <w:pStyle w:val="TableText"/>
              <w:keepNext/>
              <w:jc w:val="center"/>
              <w:rPr>
                <w:lang w:val="it-IT"/>
              </w:rPr>
            </w:pPr>
            <w:r w:rsidRPr="00E824B9">
              <w:rPr>
                <w:lang w:val="it-IT"/>
              </w:rPr>
              <w:t>Point Estimate</w:t>
            </w:r>
          </w:p>
          <w:p w14:paraId="21D546EA" w14:textId="77777777" w:rsidR="00C83F18" w:rsidRPr="00E824B9" w:rsidRDefault="00C83F18" w:rsidP="007E5EA4">
            <w:pPr>
              <w:pStyle w:val="TableText"/>
              <w:keepNext/>
              <w:jc w:val="center"/>
              <w:rPr>
                <w:lang w:val="it-IT"/>
              </w:rPr>
            </w:pPr>
            <w:r w:rsidRPr="00E824B9">
              <w:rPr>
                <w:lang w:val="it-IT"/>
              </w:rPr>
              <w:t>(95% CI)</w:t>
            </w:r>
          </w:p>
        </w:tc>
        <w:tc>
          <w:tcPr>
            <w:tcW w:w="2043" w:type="dxa"/>
            <w:tcMar>
              <w:top w:w="72" w:type="dxa"/>
              <w:left w:w="86" w:type="dxa"/>
              <w:right w:w="58" w:type="dxa"/>
            </w:tcMar>
            <w:hideMark/>
          </w:tcPr>
          <w:p w14:paraId="0E0E3569" w14:textId="0EB0D0EB" w:rsidR="00C83F18" w:rsidRPr="00E824B9" w:rsidRDefault="00C83F18" w:rsidP="007E5EA4">
            <w:pPr>
              <w:pStyle w:val="TableText"/>
              <w:keepNext/>
              <w:spacing w:before="60"/>
              <w:jc w:val="center"/>
              <w:rPr>
                <w:lang w:val="it-IT"/>
              </w:rPr>
            </w:pPr>
            <w:r w:rsidRPr="00E824B9">
              <w:rPr>
                <w:lang w:val="it-IT"/>
              </w:rPr>
              <w:t>ISP</w:t>
            </w:r>
            <w:r w:rsidR="00C50049" w:rsidRPr="00E824B9">
              <w:rPr>
                <w:vertAlign w:val="subscript"/>
                <w:lang w:val="it-IT"/>
              </w:rPr>
              <w:t>H&amp;E+p16</w:t>
            </w:r>
            <w:r w:rsidRPr="00E824B9">
              <w:rPr>
                <w:lang w:val="it-IT"/>
              </w:rPr>
              <w:t xml:space="preserve"> vs CPR</w:t>
            </w:r>
            <w:r w:rsidRPr="00E824B9">
              <w:rPr>
                <w:vertAlign w:val="subscript"/>
                <w:lang w:val="it-IT"/>
              </w:rPr>
              <w:t>H&amp;E+p16</w:t>
            </w:r>
            <w:r w:rsidRPr="00E824B9">
              <w:rPr>
                <w:lang w:val="it-IT"/>
              </w:rPr>
              <w:t xml:space="preserve"> Point Estimate</w:t>
            </w:r>
          </w:p>
          <w:p w14:paraId="5223ABAD" w14:textId="77777777" w:rsidR="00C83F18" w:rsidRPr="00E824B9" w:rsidRDefault="00C83F18" w:rsidP="007E5EA4">
            <w:pPr>
              <w:pStyle w:val="TableText"/>
              <w:keepNext/>
              <w:jc w:val="center"/>
              <w:rPr>
                <w:lang w:val="it-IT"/>
              </w:rPr>
            </w:pPr>
            <w:r w:rsidRPr="00E824B9">
              <w:rPr>
                <w:lang w:val="it-IT"/>
              </w:rPr>
              <w:t>(95% CI)</w:t>
            </w:r>
          </w:p>
        </w:tc>
        <w:tc>
          <w:tcPr>
            <w:tcW w:w="1530" w:type="dxa"/>
            <w:tcMar>
              <w:top w:w="72" w:type="dxa"/>
              <w:left w:w="86" w:type="dxa"/>
              <w:right w:w="58" w:type="dxa"/>
            </w:tcMar>
            <w:hideMark/>
          </w:tcPr>
          <w:p w14:paraId="3D7DDDF8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Statistic for Comparison</w:t>
            </w:r>
            <w:r w:rsidRPr="0038580A">
              <w:rPr>
                <w:vertAlign w:val="superscript"/>
              </w:rPr>
              <w:t xml:space="preserve"> [b]</w:t>
            </w:r>
          </w:p>
        </w:tc>
        <w:tc>
          <w:tcPr>
            <w:tcW w:w="1800" w:type="dxa"/>
            <w:tcMar>
              <w:top w:w="72" w:type="dxa"/>
              <w:left w:w="86" w:type="dxa"/>
              <w:right w:w="58" w:type="dxa"/>
            </w:tcMar>
            <w:hideMark/>
          </w:tcPr>
          <w:p w14:paraId="20B94FEF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Point Estimate (95% CI)</w:t>
            </w:r>
          </w:p>
        </w:tc>
        <w:tc>
          <w:tcPr>
            <w:tcW w:w="1051" w:type="dxa"/>
            <w:tcMar>
              <w:top w:w="72" w:type="dxa"/>
              <w:left w:w="86" w:type="dxa"/>
              <w:right w:w="58" w:type="dxa"/>
            </w:tcMar>
            <w:hideMark/>
          </w:tcPr>
          <w:p w14:paraId="003C3954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rPr>
                <w:i/>
              </w:rPr>
              <w:t>P</w:t>
            </w:r>
            <w:r w:rsidRPr="0038580A">
              <w:t>-value</w:t>
            </w:r>
            <w:r w:rsidRPr="0038580A">
              <w:rPr>
                <w:vertAlign w:val="superscript"/>
              </w:rPr>
              <w:t xml:space="preserve"> [c]</w:t>
            </w:r>
          </w:p>
        </w:tc>
      </w:tr>
      <w:tr w:rsidR="00C83F18" w:rsidRPr="0038580A" w14:paraId="546E8ED5" w14:textId="77777777" w:rsidTr="007E5EA4">
        <w:trPr>
          <w:cantSplit/>
          <w:trHeight w:val="125"/>
        </w:trPr>
        <w:tc>
          <w:tcPr>
            <w:tcW w:w="897" w:type="dxa"/>
            <w:tcBorders>
              <w:top w:val="single" w:sz="12" w:space="0" w:color="auto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5ECFFC61" w14:textId="77777777" w:rsidR="00C83F18" w:rsidRPr="0038580A" w:rsidRDefault="00C83F18" w:rsidP="007E5EA4">
            <w:pPr>
              <w:pStyle w:val="TableText"/>
              <w:keepNext/>
              <w:spacing w:before="60"/>
            </w:pPr>
            <w:r w:rsidRPr="0038580A">
              <w:t>PLR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6C11FBF6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9.43 (8.37, 10.68)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08FC0DB2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17.66 (15.03, 21.27)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48A62CEC" w14:textId="77777777" w:rsidR="00C83F18" w:rsidRPr="0038580A" w:rsidRDefault="00C83F18" w:rsidP="007E5EA4">
            <w:pPr>
              <w:pStyle w:val="TableText"/>
              <w:keepNext/>
              <w:spacing w:before="60"/>
              <w:jc w:val="right"/>
            </w:pPr>
            <w:r w:rsidRPr="0038580A">
              <w:t>Relative PLR: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2A16299C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1.87 (1.64, 2.17)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2F471147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&lt;.0001</w:t>
            </w:r>
          </w:p>
        </w:tc>
      </w:tr>
      <w:tr w:rsidR="00C83F18" w:rsidRPr="0038580A" w14:paraId="6C40E080" w14:textId="77777777" w:rsidTr="007E5EA4">
        <w:trPr>
          <w:cantSplit/>
          <w:trHeight w:val="188"/>
        </w:trPr>
        <w:tc>
          <w:tcPr>
            <w:tcW w:w="897" w:type="dxa"/>
            <w:tcBorders>
              <w:top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306A6A81" w14:textId="77777777" w:rsidR="00C83F18" w:rsidRPr="0038580A" w:rsidRDefault="00C83F18" w:rsidP="007E5EA4">
            <w:pPr>
              <w:pStyle w:val="TableText"/>
              <w:keepNext/>
              <w:spacing w:before="60"/>
            </w:pPr>
            <w:r w:rsidRPr="0038580A">
              <w:t>NLR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7D84AAA1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0.29 (0.25, 0.33)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6592E589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0.16 (0.13, 0.19)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4F7CAD22" w14:textId="77777777" w:rsidR="00C83F18" w:rsidRPr="0038580A" w:rsidRDefault="00C83F18" w:rsidP="007E5EA4">
            <w:pPr>
              <w:pStyle w:val="TableText"/>
              <w:keepNext/>
              <w:spacing w:before="60"/>
              <w:jc w:val="right"/>
            </w:pPr>
            <w:r w:rsidRPr="0038580A">
              <w:t>Relative NLR: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7D0ACE8F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0.55 (0.51, 0.60)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22A342A8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&lt;.0001</w:t>
            </w:r>
          </w:p>
        </w:tc>
      </w:tr>
      <w:tr w:rsidR="00C83F18" w:rsidRPr="0038580A" w14:paraId="5762C7BB" w14:textId="77777777" w:rsidTr="007E5EA4">
        <w:trPr>
          <w:cantSplit/>
          <w:trHeight w:val="170"/>
        </w:trPr>
        <w:tc>
          <w:tcPr>
            <w:tcW w:w="897" w:type="dxa"/>
            <w:tcBorders>
              <w:top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0FF1748E" w14:textId="77777777" w:rsidR="00C83F18" w:rsidRPr="0038580A" w:rsidRDefault="00C83F18" w:rsidP="007E5EA4">
            <w:pPr>
              <w:pStyle w:val="TableText"/>
              <w:keepNext/>
              <w:spacing w:before="60"/>
            </w:pPr>
            <w:r w:rsidRPr="0038580A">
              <w:t>PPV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3D112E59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70.0% (65.7%, 73.9%)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572BE01A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81.4% (77.8%, 84.8%)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49412222" w14:textId="77777777" w:rsidR="00C83F18" w:rsidRPr="0038580A" w:rsidRDefault="00C83F18" w:rsidP="007E5EA4">
            <w:pPr>
              <w:pStyle w:val="TableText"/>
              <w:keepNext/>
              <w:spacing w:before="60"/>
              <w:jc w:val="right"/>
            </w:pPr>
            <w:r w:rsidRPr="0038580A">
              <w:t>Difference PPV: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62C74046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11.4% (9.0%, 13.9%)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10F9BA0A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&lt;.0001</w:t>
            </w:r>
          </w:p>
        </w:tc>
      </w:tr>
      <w:tr w:rsidR="00C83F18" w:rsidRPr="0038580A" w14:paraId="299254AA" w14:textId="77777777" w:rsidTr="007E5EA4">
        <w:trPr>
          <w:cantSplit/>
          <w:trHeight w:val="251"/>
        </w:trPr>
        <w:tc>
          <w:tcPr>
            <w:tcW w:w="897" w:type="dxa"/>
            <w:tcBorders>
              <w:top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03953052" w14:textId="77777777" w:rsidR="00C83F18" w:rsidRPr="0038580A" w:rsidRDefault="00C83F18" w:rsidP="007E5EA4">
            <w:pPr>
              <w:pStyle w:val="TableText"/>
              <w:spacing w:before="60"/>
            </w:pPr>
            <w:r w:rsidRPr="0038580A">
              <w:t>NPV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0D6B7609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93.3% (92.1%, 94.5%)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6E9BEC3E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96.2% (95.4%, 96.9%)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6EC2F078" w14:textId="77777777" w:rsidR="00C83F18" w:rsidRPr="0038580A" w:rsidRDefault="00C83F18" w:rsidP="007E5EA4">
            <w:pPr>
              <w:pStyle w:val="TableText"/>
              <w:spacing w:before="60"/>
              <w:jc w:val="right"/>
            </w:pPr>
            <w:r w:rsidRPr="0038580A">
              <w:t>Difference NPV: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479025CD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2.9% (2.3%, 3.5%)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</w:tcBorders>
            <w:tcMar>
              <w:top w:w="72" w:type="dxa"/>
              <w:left w:w="86" w:type="dxa"/>
              <w:right w:w="58" w:type="dxa"/>
            </w:tcMar>
            <w:hideMark/>
          </w:tcPr>
          <w:p w14:paraId="00070D35" w14:textId="77777777" w:rsidR="00C83F18" w:rsidRPr="0038580A" w:rsidRDefault="00C83F18" w:rsidP="007E5EA4">
            <w:pPr>
              <w:pStyle w:val="TableText"/>
              <w:keepNext/>
              <w:spacing w:before="60"/>
              <w:jc w:val="center"/>
            </w:pPr>
            <w:r w:rsidRPr="0038580A">
              <w:t>&lt;.0001</w:t>
            </w:r>
          </w:p>
        </w:tc>
      </w:tr>
    </w:tbl>
    <w:p w14:paraId="73E77C5E" w14:textId="77777777" w:rsidR="000E3F1A" w:rsidRDefault="000E3F1A">
      <w:pPr>
        <w:rPr>
          <w:sz w:val="22"/>
          <w:szCs w:val="22"/>
        </w:rPr>
      </w:pPr>
    </w:p>
    <w:p w14:paraId="33765E72" w14:textId="77777777" w:rsidR="00E3129C" w:rsidRPr="00035738" w:rsidRDefault="00E3129C" w:rsidP="00E3129C">
      <w:pPr>
        <w:spacing w:line="240" w:lineRule="auto"/>
        <w:rPr>
          <w:lang w:val="en-GB"/>
        </w:rPr>
      </w:pPr>
      <w:r w:rsidRPr="00217C9D">
        <w:rPr>
          <w:lang w:val="en-GB"/>
        </w:rPr>
        <w:t xml:space="preserve">PLR/NLR, positive/negative likelihood ratios; PPV/NPV, positive/negative predictive values; ISP, Individual Surgical Pathologist; CPR, Central Pathology Review; CI, confidence interval.  [a] Likelihood ratios and predictive values were calculated from the reader-specific point estimates for PPA (positive percent agreement) and NPA (negative percent agreement) determined by percentile bootstrapping.  [b] Relative PLR and relative NLR were calculated </w:t>
      </w:r>
      <w:r>
        <w:rPr>
          <w:lang w:val="en-GB"/>
        </w:rPr>
        <w:t xml:space="preserve">for (A) </w:t>
      </w:r>
      <w:r w:rsidRPr="00217C9D">
        <w:rPr>
          <w:lang w:val="en-GB"/>
        </w:rPr>
        <w:t xml:space="preserve">as the </w:t>
      </w:r>
      <w:r>
        <w:rPr>
          <w:szCs w:val="22"/>
        </w:rPr>
        <w:t>ISP</w:t>
      </w:r>
      <w:r w:rsidRPr="00E27BD0">
        <w:rPr>
          <w:szCs w:val="22"/>
          <w:vertAlign w:val="subscript"/>
        </w:rPr>
        <w:t>H&amp;E</w:t>
      </w:r>
      <w:r>
        <w:rPr>
          <w:szCs w:val="22"/>
          <w:vertAlign w:val="subscript"/>
        </w:rPr>
        <w:t>+p16</w:t>
      </w:r>
      <w:r w:rsidRPr="00217C9D">
        <w:rPr>
          <w:lang w:val="en-GB"/>
        </w:rPr>
        <w:t xml:space="preserve"> vs. CPR</w:t>
      </w:r>
      <w:r w:rsidRPr="00217C9D">
        <w:rPr>
          <w:vertAlign w:val="subscript"/>
          <w:lang w:val="en-GB"/>
        </w:rPr>
        <w:t>H&amp;E</w:t>
      </w:r>
      <w:r w:rsidRPr="00217C9D">
        <w:rPr>
          <w:lang w:val="en-GB"/>
        </w:rPr>
        <w:t xml:space="preserve"> point estimates</w:t>
      </w:r>
      <w:r>
        <w:rPr>
          <w:lang w:val="en-GB"/>
        </w:rPr>
        <w:t>,</w:t>
      </w:r>
      <w:r w:rsidRPr="00217C9D">
        <w:rPr>
          <w:lang w:val="en-GB"/>
        </w:rPr>
        <w:t xml:space="preserve"> divided by the </w:t>
      </w:r>
      <w:r>
        <w:rPr>
          <w:szCs w:val="22"/>
        </w:rPr>
        <w:t>ISP</w:t>
      </w:r>
      <w:r w:rsidRPr="00E27BD0">
        <w:rPr>
          <w:szCs w:val="22"/>
          <w:vertAlign w:val="subscript"/>
        </w:rPr>
        <w:t>H&amp;E</w:t>
      </w:r>
      <w:r w:rsidRPr="00217C9D">
        <w:rPr>
          <w:lang w:val="en-GB"/>
        </w:rPr>
        <w:t xml:space="preserve"> vs. CPR</w:t>
      </w:r>
      <w:r w:rsidRPr="00217C9D">
        <w:rPr>
          <w:vertAlign w:val="subscript"/>
          <w:lang w:val="en-GB"/>
        </w:rPr>
        <w:t>H&amp;E</w:t>
      </w:r>
      <w:r w:rsidRPr="00217C9D">
        <w:rPr>
          <w:lang w:val="en-GB"/>
        </w:rPr>
        <w:t xml:space="preserve"> point estimates</w:t>
      </w:r>
      <w:r>
        <w:rPr>
          <w:lang w:val="en-GB"/>
        </w:rPr>
        <w:t xml:space="preserve">, and for (B) as the </w:t>
      </w:r>
      <w:r>
        <w:rPr>
          <w:szCs w:val="22"/>
        </w:rPr>
        <w:t>ISP</w:t>
      </w:r>
      <w:r w:rsidRPr="00E27BD0">
        <w:rPr>
          <w:szCs w:val="22"/>
          <w:vertAlign w:val="subscript"/>
        </w:rPr>
        <w:t>H&amp;E</w:t>
      </w:r>
      <w:r>
        <w:rPr>
          <w:szCs w:val="22"/>
          <w:vertAlign w:val="subscript"/>
        </w:rPr>
        <w:t>+p16</w:t>
      </w:r>
      <w:r w:rsidRPr="00217C9D">
        <w:rPr>
          <w:lang w:val="en-GB"/>
        </w:rPr>
        <w:t xml:space="preserve"> vs. CPR</w:t>
      </w:r>
      <w:r w:rsidRPr="00217C9D">
        <w:rPr>
          <w:vertAlign w:val="subscript"/>
          <w:lang w:val="en-GB"/>
        </w:rPr>
        <w:t>H&amp;E</w:t>
      </w:r>
      <w:r>
        <w:rPr>
          <w:vertAlign w:val="subscript"/>
          <w:lang w:val="en-GB"/>
        </w:rPr>
        <w:t>+p16</w:t>
      </w:r>
      <w:r w:rsidRPr="00217C9D">
        <w:rPr>
          <w:lang w:val="en-GB"/>
        </w:rPr>
        <w:t xml:space="preserve"> point estimates</w:t>
      </w:r>
      <w:r>
        <w:rPr>
          <w:lang w:val="en-GB"/>
        </w:rPr>
        <w:t>,</w:t>
      </w:r>
      <w:r w:rsidRPr="00217C9D">
        <w:rPr>
          <w:lang w:val="en-GB"/>
        </w:rPr>
        <w:t xml:space="preserve"> divided by the </w:t>
      </w:r>
      <w:r>
        <w:rPr>
          <w:szCs w:val="22"/>
        </w:rPr>
        <w:t>ISP</w:t>
      </w:r>
      <w:r w:rsidRPr="00E27BD0">
        <w:rPr>
          <w:szCs w:val="22"/>
          <w:vertAlign w:val="subscript"/>
        </w:rPr>
        <w:t>H&amp;E</w:t>
      </w:r>
      <w:r w:rsidRPr="00217C9D">
        <w:rPr>
          <w:lang w:val="en-GB"/>
        </w:rPr>
        <w:t xml:space="preserve"> vs. CPR</w:t>
      </w:r>
      <w:r w:rsidRPr="00217C9D">
        <w:rPr>
          <w:vertAlign w:val="subscript"/>
          <w:lang w:val="en-GB"/>
        </w:rPr>
        <w:t>H&amp;E</w:t>
      </w:r>
      <w:r>
        <w:rPr>
          <w:vertAlign w:val="subscript"/>
          <w:lang w:val="en-GB"/>
        </w:rPr>
        <w:t>+p16</w:t>
      </w:r>
      <w:r w:rsidRPr="00217C9D">
        <w:rPr>
          <w:lang w:val="en-GB"/>
        </w:rPr>
        <w:t xml:space="preserve"> point estimates; difference PPV and difference NPV were calculated as the Round 2 (</w:t>
      </w:r>
      <w:r>
        <w:rPr>
          <w:szCs w:val="22"/>
        </w:rPr>
        <w:t>ISP</w:t>
      </w:r>
      <w:r w:rsidRPr="00E27BD0">
        <w:rPr>
          <w:szCs w:val="22"/>
          <w:vertAlign w:val="subscript"/>
        </w:rPr>
        <w:t>H&amp;E</w:t>
      </w:r>
      <w:r>
        <w:rPr>
          <w:szCs w:val="22"/>
          <w:vertAlign w:val="subscript"/>
        </w:rPr>
        <w:t>+P16</w:t>
      </w:r>
      <w:r w:rsidRPr="00217C9D">
        <w:rPr>
          <w:lang w:val="en-GB"/>
        </w:rPr>
        <w:t>) point estimates minus the Round 1 (</w:t>
      </w:r>
      <w:r>
        <w:rPr>
          <w:szCs w:val="22"/>
        </w:rPr>
        <w:t>ISP</w:t>
      </w:r>
      <w:r w:rsidRPr="00E27BD0">
        <w:rPr>
          <w:szCs w:val="22"/>
          <w:vertAlign w:val="subscript"/>
        </w:rPr>
        <w:t>H&amp;E</w:t>
      </w:r>
      <w:r w:rsidRPr="00217C9D">
        <w:rPr>
          <w:lang w:val="en-GB"/>
        </w:rPr>
        <w:t xml:space="preserve">) point estimates, respectively.  [c] For relative PLR and NLR, </w:t>
      </w:r>
      <w:r w:rsidRPr="00217C9D">
        <w:rPr>
          <w:i/>
          <w:lang w:val="en-GB"/>
        </w:rPr>
        <w:t>P</w:t>
      </w:r>
      <w:r w:rsidRPr="00217C9D">
        <w:rPr>
          <w:lang w:val="en-GB"/>
        </w:rPr>
        <w:t xml:space="preserve">-values are two-sided comparing with a value of 1; for difference PPV and difference NPV, </w:t>
      </w:r>
      <w:r w:rsidRPr="00217C9D">
        <w:rPr>
          <w:i/>
          <w:lang w:val="en-GB"/>
        </w:rPr>
        <w:t>P</w:t>
      </w:r>
      <w:r w:rsidRPr="00217C9D">
        <w:rPr>
          <w:lang w:val="en-GB"/>
        </w:rPr>
        <w:t>-values are two-sided comparing with a value of 0.</w:t>
      </w:r>
    </w:p>
    <w:p w14:paraId="129B0E33" w14:textId="77777777" w:rsidR="000E3F1A" w:rsidRPr="00E3129C" w:rsidRDefault="000E3F1A">
      <w:pPr>
        <w:rPr>
          <w:sz w:val="22"/>
          <w:szCs w:val="22"/>
          <w:lang w:val="en-GB"/>
        </w:rPr>
      </w:pPr>
    </w:p>
    <w:p w14:paraId="617C6B4E" w14:textId="77777777" w:rsidR="000E3F1A" w:rsidRPr="00C200A3" w:rsidRDefault="000E3F1A">
      <w:pPr>
        <w:rPr>
          <w:sz w:val="22"/>
          <w:szCs w:val="22"/>
        </w:rPr>
      </w:pPr>
      <w:bookmarkStart w:id="0" w:name="_GoBack"/>
      <w:bookmarkEnd w:id="0"/>
    </w:p>
    <w:sectPr w:rsidR="000E3F1A" w:rsidRPr="00C20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5C498" w16cid:durableId="1E0DA5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1E4B" w14:textId="77777777" w:rsidR="00126176" w:rsidRDefault="00126176" w:rsidP="00DF692D">
      <w:pPr>
        <w:spacing w:before="0" w:line="240" w:lineRule="auto"/>
      </w:pPr>
      <w:r>
        <w:separator/>
      </w:r>
    </w:p>
  </w:endnote>
  <w:endnote w:type="continuationSeparator" w:id="0">
    <w:p w14:paraId="40D15AA3" w14:textId="77777777" w:rsidR="00126176" w:rsidRDefault="00126176" w:rsidP="00DF69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4A12E" w14:textId="77777777" w:rsidR="00126176" w:rsidRDefault="00126176" w:rsidP="00DF692D">
      <w:pPr>
        <w:spacing w:before="0" w:line="240" w:lineRule="auto"/>
      </w:pPr>
      <w:r>
        <w:separator/>
      </w:r>
    </w:p>
  </w:footnote>
  <w:footnote w:type="continuationSeparator" w:id="0">
    <w:p w14:paraId="58E36A1D" w14:textId="77777777" w:rsidR="00126176" w:rsidRDefault="00126176" w:rsidP="00DF692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7C"/>
    <w:rsid w:val="00031BF2"/>
    <w:rsid w:val="0005073B"/>
    <w:rsid w:val="000E3F1A"/>
    <w:rsid w:val="000E6D62"/>
    <w:rsid w:val="00126176"/>
    <w:rsid w:val="001B06BE"/>
    <w:rsid w:val="00316ACB"/>
    <w:rsid w:val="00376182"/>
    <w:rsid w:val="003C703D"/>
    <w:rsid w:val="003F2DEC"/>
    <w:rsid w:val="00475BD8"/>
    <w:rsid w:val="004B366E"/>
    <w:rsid w:val="004B6843"/>
    <w:rsid w:val="004F1794"/>
    <w:rsid w:val="00552589"/>
    <w:rsid w:val="005C5577"/>
    <w:rsid w:val="005D577E"/>
    <w:rsid w:val="005D599C"/>
    <w:rsid w:val="007D7A50"/>
    <w:rsid w:val="007E5EA4"/>
    <w:rsid w:val="0084021B"/>
    <w:rsid w:val="009332DB"/>
    <w:rsid w:val="00987B55"/>
    <w:rsid w:val="00A454FB"/>
    <w:rsid w:val="00AC5993"/>
    <w:rsid w:val="00B21868"/>
    <w:rsid w:val="00C200A3"/>
    <w:rsid w:val="00C50049"/>
    <w:rsid w:val="00C827EF"/>
    <w:rsid w:val="00C83F18"/>
    <w:rsid w:val="00CB7D16"/>
    <w:rsid w:val="00CE6471"/>
    <w:rsid w:val="00CF118A"/>
    <w:rsid w:val="00D1357C"/>
    <w:rsid w:val="00D32C38"/>
    <w:rsid w:val="00DF692D"/>
    <w:rsid w:val="00E3129C"/>
    <w:rsid w:val="00E824B9"/>
    <w:rsid w:val="00EA0049"/>
    <w:rsid w:val="00EE3B19"/>
    <w:rsid w:val="00F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8930"/>
  <w15:docId w15:val="{9CDD2CB8-E8A5-4B44-8162-AB1BC78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7C"/>
    <w:pPr>
      <w:spacing w:before="120" w:after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qFormat/>
    <w:rsid w:val="00D1357C"/>
    <w:pPr>
      <w:spacing w:after="0"/>
    </w:pPr>
    <w:rPr>
      <w:rFonts w:eastAsia="SimSun" w:cs="Times New Roman"/>
      <w:szCs w:val="20"/>
      <w:lang w:val="en-GB" w:eastAsia="ru-RU"/>
    </w:rPr>
  </w:style>
  <w:style w:type="character" w:customStyle="1" w:styleId="TableTextChar">
    <w:name w:val="Table Text Char"/>
    <w:basedOn w:val="DefaultParagraphFont"/>
    <w:link w:val="TableText"/>
    <w:rsid w:val="00D1357C"/>
    <w:rPr>
      <w:rFonts w:eastAsia="SimSun" w:cs="Times New Roman"/>
      <w:szCs w:val="20"/>
      <w:lang w:val="en-GB" w:eastAsia="ru-RU"/>
    </w:rPr>
  </w:style>
  <w:style w:type="table" w:customStyle="1" w:styleId="TableCSR1">
    <w:name w:val="Table CSR1"/>
    <w:basedOn w:val="TableNormal"/>
    <w:uiPriority w:val="99"/>
    <w:rsid w:val="000E3F1A"/>
    <w:pPr>
      <w:spacing w:after="0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ppendix5">
    <w:name w:val="Appendix5"/>
    <w:basedOn w:val="TableNormal"/>
    <w:uiPriority w:val="99"/>
    <w:rsid w:val="000E3F1A"/>
    <w:pPr>
      <w:spacing w:after="0"/>
    </w:pPr>
    <w:rPr>
      <w:rFonts w:ascii="Calibri" w:eastAsia="SimSun" w:hAnsi="Calibri" w:cs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table" w:customStyle="1" w:styleId="Style2">
    <w:name w:val="Style2"/>
    <w:basedOn w:val="TableNormal"/>
    <w:uiPriority w:val="99"/>
    <w:rsid w:val="000E3F1A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ootnote">
    <w:name w:val="Table footnote"/>
    <w:basedOn w:val="Normal"/>
    <w:link w:val="TablefootnoteChar"/>
    <w:qFormat/>
    <w:rsid w:val="000E3F1A"/>
    <w:pPr>
      <w:tabs>
        <w:tab w:val="left" w:pos="360"/>
      </w:tabs>
      <w:spacing w:before="40" w:after="20" w:line="240" w:lineRule="auto"/>
      <w:ind w:left="360" w:hanging="360"/>
    </w:pPr>
    <w:rPr>
      <w:rFonts w:asciiTheme="minorHAnsi" w:hAnsiTheme="minorHAnsi" w:cs="Calibri"/>
      <w:sz w:val="18"/>
      <w:szCs w:val="20"/>
      <w:lang w:eastAsia="zh-CN"/>
    </w:rPr>
  </w:style>
  <w:style w:type="character" w:customStyle="1" w:styleId="TablefootnoteChar">
    <w:name w:val="Table footnote Char"/>
    <w:link w:val="Tablefootnote"/>
    <w:rsid w:val="000E3F1A"/>
    <w:rPr>
      <w:rFonts w:eastAsia="SimSun" w:cs="Calibri"/>
      <w:sz w:val="18"/>
      <w:szCs w:val="20"/>
      <w:lang w:eastAsia="zh-CN"/>
    </w:rPr>
  </w:style>
  <w:style w:type="paragraph" w:styleId="Caption">
    <w:name w:val="caption"/>
    <w:basedOn w:val="Normal"/>
    <w:next w:val="Normal"/>
    <w:unhideWhenUsed/>
    <w:qFormat/>
    <w:rsid w:val="000E3F1A"/>
    <w:pPr>
      <w:keepNext/>
      <w:spacing w:before="480" w:after="180"/>
    </w:pPr>
    <w:rPr>
      <w:rFonts w:ascii="Imago" w:hAnsi="Imago"/>
      <w:b/>
      <w:bCs/>
      <w:sz w:val="20"/>
      <w:szCs w:val="22"/>
    </w:rPr>
  </w:style>
  <w:style w:type="table" w:customStyle="1" w:styleId="Style21">
    <w:name w:val="Style21"/>
    <w:basedOn w:val="TableNormal"/>
    <w:uiPriority w:val="99"/>
    <w:rsid w:val="000E3F1A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0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BE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BE"/>
    <w:rPr>
      <w:rFonts w:ascii="Times New Roman" w:eastAsia="SimSu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BE"/>
    <w:pPr>
      <w:spacing w:before="0" w:line="240" w:lineRule="auto"/>
    </w:pPr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BE"/>
    <w:rPr>
      <w:rFonts w:ascii="Times New Roman" w:eastAsia="SimSu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69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2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9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2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CA1D-430D-4174-9D00-B998AA12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Ridder, Ruediger {DTII~Tucson}</dc:creator>
  <cp:lastModifiedBy>Ridder, Ruediger {DMTK~Mannheim}</cp:lastModifiedBy>
  <cp:revision>3</cp:revision>
  <cp:lastPrinted>2018-03-21T00:56:00Z</cp:lastPrinted>
  <dcterms:created xsi:type="dcterms:W3CDTF">2018-04-17T19:27:00Z</dcterms:created>
  <dcterms:modified xsi:type="dcterms:W3CDTF">2018-04-17T21:44:00Z</dcterms:modified>
</cp:coreProperties>
</file>