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8" w:rsidRPr="00571DCA" w:rsidRDefault="006A31A8" w:rsidP="006A31A8">
      <w:pPr>
        <w:spacing w:line="480" w:lineRule="auto"/>
      </w:pPr>
      <w:proofErr w:type="gramStart"/>
      <w:r>
        <w:rPr>
          <w:b/>
        </w:rPr>
        <w:t>Supplemental Table 1.</w:t>
      </w:r>
      <w:proofErr w:type="gramEnd"/>
      <w:r w:rsidR="007A77C0">
        <w:rPr>
          <w:b/>
        </w:rPr>
        <w:t xml:space="preserve"> </w:t>
      </w:r>
      <w:proofErr w:type="gramStart"/>
      <w:r>
        <w:rPr>
          <w:i/>
        </w:rPr>
        <w:t>International Classification of Disease, Ninth Revision, Clinical Modification</w:t>
      </w:r>
      <w:r>
        <w:t xml:space="preserve"> (</w:t>
      </w:r>
      <w:r>
        <w:rPr>
          <w:i/>
        </w:rPr>
        <w:t>ICD-9-CM)</w:t>
      </w:r>
      <w:r>
        <w:t xml:space="preserve"> diagnosis codes.</w:t>
      </w:r>
      <w:proofErr w:type="gramEnd"/>
    </w:p>
    <w:tbl>
      <w:tblPr>
        <w:tblW w:w="8755" w:type="dxa"/>
        <w:tblLook w:val="00A0"/>
      </w:tblPr>
      <w:tblGrid>
        <w:gridCol w:w="2358"/>
        <w:gridCol w:w="6397"/>
      </w:tblGrid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Illness category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ICD-9-CM codes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>Excluded patients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/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Pregnancy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630-679, V22, V23, V27, V28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Injury or poisoning diagnoses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800-997 (except 995.9, 996.8, 997.3)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Diagnoses unrelated to influenza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autoSpaceDE w:val="0"/>
              <w:autoSpaceDN w:val="0"/>
              <w:adjustRightInd w:val="0"/>
              <w:rPr>
                <w:color w:val="0000FF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331.4, 373.13, 375.30, 376.01, 519.09, 530.3, 536.49, 537.0, 537.4, 540.0, 540.9, 560.9, 564.00, 578.1, 592.0, 616.4, 681.00, 681.10, 682.0-682.7,692.9, 693.1, 706.2, 729.72, 736.81, 750.5, 751.0, 751.3, 751.4, 753.21, 753.29, 756.79, 765.02, 765.03, 765.14-765.18, 771.4, 784.2, 786.6, V54.11, V55.0, V55.3, V57.89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ACIP-defined chronic health conditions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/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Influenza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487, 488.1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Asthma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493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Non-asthma chronic pulmonary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010-012, 031.0, 277.0, 446.21, 446.4, 491, 492, 494-496, 500-505, 506.4, 508, 515-517, 518.3, 518.6, 518.83, 518.84, 519.4, 519.9, 748.3-748.6, 750.3, 756.6, 770.7, V44.0, V45.76, V46.1, V46.2, V55.0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Cardiovascular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093, 393-398, 412-416, 425, 428, 429 (except 429.0), 745 (except 745.5), 746, 747, (except 747.5, 747.6, 747.9), V43.3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Renal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403, 404, 588.0, 581, 582, 585, 587, 756.71, V45.1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Hepatic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456.0-456.2, 571, 572, 751.61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Hematologic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282.4, 282.6, 282.7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Metabolic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249, 250, 270-273, 275.0, 275.1, 277 (except 277.0), 756.5, 759.81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Neurological and neuromuscular disease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094, 310.8, 310.9, 317-319, 330-337 (except 331.4, 331.81), 340-345, 348.1, 348.3, 348.4, 348.8, 357.0-357.4, 358, 359.0-359.2, 359.5, 741, 742, 758 768.7, 856.5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Immunosuppression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042, 117.5, 118, 136.3, 140-200 (except 173), 238.7 (except 238.71), 261, 262, 279, 284, 288.0, 288.1, 288.2, 288.4, 695.4, 710, 714.3, 996.8, V08, V42.0, V42.1, V42.6-V42.9, V58.11, V58.44</w:t>
            </w:r>
          </w:p>
        </w:tc>
      </w:tr>
      <w:tr w:rsidR="006A31A8" w:rsidRPr="00CC3E7C" w:rsidTr="004A0BD1">
        <w:trPr>
          <w:trHeight w:val="405"/>
        </w:trPr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Chronic aspirin use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V58.66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tabs>
                <w:tab w:val="left" w:pos="3600"/>
              </w:tabs>
              <w:ind w:left="3600" w:hanging="3600"/>
            </w:pPr>
            <w:r>
              <w:rPr>
                <w:i/>
                <w:sz w:val="22"/>
                <w:szCs w:val="22"/>
              </w:rPr>
              <w:t>Non-ACIP conditions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/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Prematurity</w:t>
            </w:r>
          </w:p>
        </w:tc>
        <w:tc>
          <w:tcPr>
            <w:tcW w:w="639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r>
              <w:rPr>
                <w:sz w:val="22"/>
                <w:szCs w:val="22"/>
              </w:rPr>
              <w:t>Among patients &lt;1 year: 765.00-765.08, 765.11-765.18, 765.21-765.28, V21.3 (except V21.30)</w:t>
            </w:r>
          </w:p>
        </w:tc>
      </w:tr>
      <w:tr w:rsidR="006A31A8" w:rsidRPr="007462AD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Other conditions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123.1, 211.3, 211.8, 212.7, 215.0, 228.00, 228.02, 228.04, 228.09, 228.1, 237.0, 237.70, 237.71, 238.1, 238.71, 243, 244.2, 245.9, 246.9, </w:t>
            </w:r>
            <w:r>
              <w:rPr>
                <w:sz w:val="22"/>
                <w:szCs w:val="22"/>
                <w:lang w:val="it-IT"/>
              </w:rPr>
              <w:lastRenderedPageBreak/>
              <w:t>252.1, 253.0, 253.2, 253.3, 253.6, 253.7, 253.8, 253.9, 255.0, 255.13, 255.2, 255.4, 255.5, 256.4, 259.4, 263.0, 263.8, 263.9, 266.2, 268.0, 269.2, 269.9, 278.00, 278.01, 278.02, 280.0, 280.1, 280.8, 280.9, 282.0, 282.2, 282.5, 283.0, 285.29, 286.0, 286.1, 286.3, 286.4, 286.7, 287.30, 287.31, 287.33, 296.20, 296.33, 305.00, 305.1, 305.20, 310.2, 331.4, 348.0, 348.2, 369.00, 369.4, 417.9, 424.0, 424.1, 424.2, 426.0, 426.10, 426.3, 426.4, 426.7, 426.82, 438.20, 443.89, 474.02, 478.74, 474.8, 519.09, 530.10, 530.11, 530.13, 530.6, 530.89, 531.40, 533.40, 536.41, 536.42, 536.49, 553.3, 556.0, 556.8, 556.9, 560.81, 564.81, 565.0, 569.2, 569.69, 569.81, 577.1, 579.0, 590.00, 596.1, 596.2, 596.54, 614.4, 686.01, 701.2, 703.2, 718.44, 718.89, 721.3, 728.11, 730.11, 730.15, 730.17, 733.00, 733.13, 733.16, 733.6, 737.30, 745.5, 748.0, 749.00, 749.02, 749.10, 749.20, 750.5, 751.1, 751.2, 751.3, 753.0, 753.10, 753.11, 753.14, 753.15, 753.19, 753.21, 753.22, 753.23, 753.29, 753.5, 753.6, 753.7, 754.81, 756.12, 756.16, 756.17, 756.3, 756.4, 756.79, 756.83, 759.0, 759.3, 759.5, 759.82, 759.83, 759.89, 760.8, 761.2, 761.8, 764.99, 770.0, 770.2, 771.1, 771.2, 771.4, 774.2, 783.21, 783.22, 783.3, 783.40, 783.41, 783.42, 783.7, 789.1, 789.2, 807.08, 807.2, 909, 995.52, 995.54, E849.7, V04.82, V10.09, V10.62, V10.81, V10.83, V10.85, V10.86, V10.88, V12.3, V15.1, V15.2, V15.3, V15.5, V15.59, V42.2, V43.0, V44.1, V44.2, V44.3, V44.4, V44.59, V44.6, V45.01, V45.2, V45.3, V45.4, V45.72, V45.73, V45.79, V45.81, V46.3, V49.83, V55.1, V58.61, V58.65, V85.51, V85.53, V85.54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Chronic mechanical ventilation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V46.1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>Tracheostomy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519.0, V44.0, V55.0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>Bacterial pneumonia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i/>
                <w:sz w:val="22"/>
                <w:szCs w:val="22"/>
              </w:rPr>
              <w:t>pneumoniae</w:t>
            </w:r>
            <w:proofErr w:type="spellEnd"/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  <w:rPr>
                <w:i/>
              </w:rPr>
            </w:pPr>
            <w:r>
              <w:rPr>
                <w:i/>
                <w:sz w:val="22"/>
                <w:szCs w:val="22"/>
              </w:rPr>
              <w:t>Staphylococcus aureus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482.41, 482.42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Other Gram-positive organisms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482.3, 482.40, 482.49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Pseudomonas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482.1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Other Gram-negative organisms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482.0, 482.2, 482.81-3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Mycoplasma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pneumoniae</w:t>
            </w:r>
            <w:proofErr w:type="spellEnd"/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483.0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Legionella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482.84</w:t>
            </w:r>
          </w:p>
        </w:tc>
      </w:tr>
      <w:tr w:rsidR="006A31A8" w:rsidRPr="00CC3E7C" w:rsidTr="004A0BD1">
        <w:tc>
          <w:tcPr>
            <w:tcW w:w="2358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6A31A8" w:rsidRDefault="006A31A8" w:rsidP="004A0BD1">
            <w:pPr>
              <w:ind w:left="180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6397" w:type="dxa"/>
            <w:tcMar>
              <w:top w:w="115" w:type="dxa"/>
              <w:left w:w="108" w:type="dxa"/>
              <w:bottom w:w="0" w:type="dxa"/>
              <w:right w:w="108" w:type="dxa"/>
            </w:tcMar>
          </w:tcPr>
          <w:p w:rsidR="006A31A8" w:rsidRDefault="006A31A8" w:rsidP="004A0BD1">
            <w:pPr>
              <w:tabs>
                <w:tab w:val="left" w:pos="360"/>
              </w:tabs>
            </w:pPr>
            <w:r>
              <w:rPr>
                <w:sz w:val="22"/>
                <w:szCs w:val="22"/>
              </w:rPr>
              <w:t>482.89, 482.9</w:t>
            </w:r>
          </w:p>
        </w:tc>
      </w:tr>
    </w:tbl>
    <w:p w:rsidR="00EC56CE" w:rsidRDefault="00EC56CE">
      <w:bookmarkStart w:id="0" w:name="_GoBack"/>
      <w:bookmarkEnd w:id="0"/>
    </w:p>
    <w:sectPr w:rsidR="00EC56CE" w:rsidSect="00ED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31A8"/>
    <w:rsid w:val="006A31A8"/>
    <w:rsid w:val="007A77C0"/>
    <w:rsid w:val="00EC56CE"/>
    <w:rsid w:val="00ED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Toshiba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Eriksson</dc:creator>
  <cp:lastModifiedBy>C.Baeuerlein</cp:lastModifiedBy>
  <cp:revision>2</cp:revision>
  <dcterms:created xsi:type="dcterms:W3CDTF">2012-01-19T04:06:00Z</dcterms:created>
  <dcterms:modified xsi:type="dcterms:W3CDTF">2012-06-04T19:14:00Z</dcterms:modified>
</cp:coreProperties>
</file>