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E" w:rsidRPr="007D3660" w:rsidRDefault="00CA7A3E" w:rsidP="0021624B">
      <w:proofErr w:type="gramStart"/>
      <w:r>
        <w:rPr>
          <w:b/>
        </w:rPr>
        <w:t>Supplemental Table 2.</w:t>
      </w:r>
      <w:proofErr w:type="gramEnd"/>
      <w:r w:rsidR="00915EA4">
        <w:rPr>
          <w:b/>
        </w:rPr>
        <w:t xml:space="preserve"> </w:t>
      </w:r>
      <w:r w:rsidRPr="00761C8D">
        <w:t xml:space="preserve">Characteristics of patients </w:t>
      </w:r>
      <w:r>
        <w:t>who did not receive early mechanical ventilation (excluding those chronically ventilated through a tracheostomy) during admission</w:t>
      </w:r>
      <w:r w:rsidRPr="00761C8D">
        <w:t xml:space="preserve"> with seasonal influenzaand</w:t>
      </w:r>
      <w:r>
        <w:t xml:space="preserve"> presumed</w:t>
      </w:r>
      <w:r w:rsidRPr="00761C8D">
        <w:t xml:space="preserve"> 2009 pandemic H1N1 (pH1N1</w:t>
      </w:r>
      <w:r>
        <w:t>)</w:t>
      </w:r>
      <w:r w:rsidRPr="00761C8D">
        <w:t>.</w:t>
      </w:r>
    </w:p>
    <w:p w:rsidR="00CA7A3E" w:rsidRPr="00B657B3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B657B3">
        <w:rPr>
          <w:rFonts w:ascii="Times New Roman" w:hAnsi="Times New Roman" w:cs="Times New Roman"/>
          <w:sz w:val="24"/>
          <w:szCs w:val="24"/>
        </w:rPr>
        <w:tab/>
        <w:t>Seasonal influenza</w:t>
      </w:r>
      <w:r w:rsidRPr="00B657B3">
        <w:rPr>
          <w:rFonts w:ascii="Times New Roman" w:hAnsi="Times New Roman" w:cs="Times New Roman"/>
          <w:sz w:val="24"/>
          <w:szCs w:val="24"/>
        </w:rPr>
        <w:tab/>
        <w:t>Presumed pH1N1</w:t>
      </w:r>
      <w:r w:rsidRPr="00B657B3">
        <w:rPr>
          <w:rFonts w:ascii="Times New Roman" w:hAnsi="Times New Roman" w:cs="Times New Roman"/>
          <w:sz w:val="24"/>
          <w:szCs w:val="24"/>
        </w:rPr>
        <w:tab/>
      </w:r>
      <w:r w:rsidRPr="00B657B3">
        <w:rPr>
          <w:rFonts w:ascii="Times New Roman" w:hAnsi="Times New Roman" w:cs="Times New Roman"/>
          <w:sz w:val="24"/>
          <w:szCs w:val="24"/>
        </w:rPr>
        <w:tab/>
      </w:r>
      <w:r w:rsidRPr="00B657B3">
        <w:rPr>
          <w:rFonts w:ascii="Times New Roman" w:hAnsi="Times New Roman" w:cs="Times New Roman"/>
          <w:sz w:val="24"/>
          <w:szCs w:val="24"/>
        </w:rPr>
        <w:tab/>
      </w:r>
    </w:p>
    <w:p w:rsidR="00CA7A3E" w:rsidRPr="003F6213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3F6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n=9,417</w:t>
      </w:r>
      <w:r w:rsidRPr="003F6213">
        <w:rPr>
          <w:rFonts w:ascii="Times New Roman" w:hAnsi="Times New Roman" w:cs="Times New Roman"/>
          <w:sz w:val="24"/>
          <w:szCs w:val="24"/>
        </w:rPr>
        <w:t xml:space="preserve"> (%)</w:t>
      </w:r>
      <w:r w:rsidRPr="003F6213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=9,240</w:t>
      </w:r>
      <w:r w:rsidRPr="003F6213">
        <w:rPr>
          <w:rFonts w:ascii="Times New Roman" w:hAnsi="Times New Roman" w:cs="Times New Roman"/>
          <w:sz w:val="24"/>
          <w:szCs w:val="24"/>
        </w:rPr>
        <w:t xml:space="preserve"> (%)</w:t>
      </w:r>
      <w:r w:rsidRPr="003F6213">
        <w:rPr>
          <w:rFonts w:ascii="Times New Roman" w:hAnsi="Times New Roman" w:cs="Times New Roman"/>
          <w:sz w:val="24"/>
          <w:szCs w:val="24"/>
        </w:rPr>
        <w:tab/>
        <w:t>P</w:t>
      </w:r>
      <w:r w:rsidRPr="003F6213">
        <w:rPr>
          <w:rFonts w:ascii="Times New Roman" w:hAnsi="Times New Roman" w:cs="Times New Roman"/>
          <w:sz w:val="24"/>
          <w:szCs w:val="24"/>
        </w:rPr>
        <w:tab/>
      </w:r>
      <w:r w:rsidRPr="003F6213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Gender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  <w:t>0.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Male</w:t>
      </w:r>
      <w:r w:rsidRPr="007D3660">
        <w:rPr>
          <w:rFonts w:ascii="Times New Roman" w:hAnsi="Times New Roman" w:cs="Times New Roman"/>
          <w:sz w:val="24"/>
          <w:szCs w:val="24"/>
        </w:rPr>
        <w:tab/>
        <w:t>5,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7D3660">
        <w:rPr>
          <w:rFonts w:ascii="Times New Roman" w:hAnsi="Times New Roman" w:cs="Times New Roman"/>
          <w:sz w:val="24"/>
          <w:szCs w:val="24"/>
        </w:rPr>
        <w:t xml:space="preserve"> (57%)</w:t>
      </w:r>
      <w:r w:rsidRPr="007D3660">
        <w:rPr>
          <w:rFonts w:ascii="Times New Roman" w:hAnsi="Times New Roman" w:cs="Times New Roman"/>
          <w:sz w:val="24"/>
          <w:szCs w:val="24"/>
        </w:rPr>
        <w:tab/>
        <w:t>5,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7D3660">
        <w:rPr>
          <w:rFonts w:ascii="Times New Roman" w:hAnsi="Times New Roman" w:cs="Times New Roman"/>
          <w:sz w:val="24"/>
          <w:szCs w:val="24"/>
        </w:rPr>
        <w:t xml:space="preserve"> (57%)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ab/>
        <w:t>4,081</w:t>
      </w:r>
      <w:r w:rsidRPr="007D3660">
        <w:rPr>
          <w:rFonts w:ascii="Times New Roman" w:hAnsi="Times New Roman" w:cs="Times New Roman"/>
          <w:sz w:val="24"/>
          <w:szCs w:val="24"/>
        </w:rPr>
        <w:t xml:space="preserve"> (43%)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3,928</w:t>
      </w:r>
      <w:r w:rsidRPr="007D3660">
        <w:rPr>
          <w:rFonts w:ascii="Times New Roman" w:hAnsi="Times New Roman" w:cs="Times New Roman"/>
          <w:sz w:val="24"/>
          <w:szCs w:val="24"/>
        </w:rPr>
        <w:t xml:space="preserve"> (43%)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Age</w:t>
      </w:r>
      <w:r w:rsidRPr="007D3660">
        <w:rPr>
          <w:rFonts w:ascii="Times New Roman" w:hAnsi="Times New Roman" w:cs="Times New Roman"/>
          <w:sz w:val="16"/>
          <w:szCs w:val="16"/>
        </w:rPr>
        <w:t>median (interquartile range)</w:t>
      </w:r>
      <w:r w:rsidRPr="007D3660">
        <w:rPr>
          <w:rFonts w:ascii="Times New Roman" w:hAnsi="Times New Roman" w:cs="Times New Roman"/>
          <w:sz w:val="24"/>
          <w:szCs w:val="24"/>
        </w:rPr>
        <w:tab/>
        <w:t xml:space="preserve">1.9 (0.5, 6.3) 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4.9 (1.4, 9.4</w:t>
      </w:r>
      <w:r w:rsidRPr="007D3660">
        <w:rPr>
          <w:rFonts w:ascii="Times New Roman" w:hAnsi="Times New Roman" w:cs="Times New Roman"/>
          <w:sz w:val="24"/>
          <w:szCs w:val="24"/>
        </w:rPr>
        <w:t xml:space="preserve">) </w:t>
      </w:r>
      <w:r w:rsidRPr="007D3660">
        <w:rPr>
          <w:rFonts w:ascii="Times New Roman" w:hAnsi="Times New Roman" w:cs="Times New Roman"/>
          <w:sz w:val="24"/>
          <w:szCs w:val="24"/>
        </w:rPr>
        <w:tab/>
        <w:t>&lt;0.001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Race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  <w:t>&lt;0.001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White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5,902 (63%)</w:t>
      </w:r>
      <w:r>
        <w:rPr>
          <w:rFonts w:ascii="Times New Roman" w:hAnsi="Times New Roman" w:cs="Times New Roman"/>
          <w:sz w:val="24"/>
          <w:szCs w:val="24"/>
        </w:rPr>
        <w:tab/>
        <w:t>4,591</w:t>
      </w:r>
      <w:r w:rsidRPr="007D3660">
        <w:rPr>
          <w:rFonts w:ascii="Times New Roman" w:hAnsi="Times New Roman" w:cs="Times New Roman"/>
          <w:sz w:val="24"/>
          <w:szCs w:val="24"/>
        </w:rPr>
        <w:t xml:space="preserve"> (50%)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Black</w:t>
      </w:r>
      <w:r w:rsidRPr="007D366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428 (26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 xml:space="preserve">324 </w:t>
      </w:r>
      <w:r w:rsidRPr="007D3660">
        <w:rPr>
          <w:rFonts w:ascii="Times New Roman" w:hAnsi="Times New Roman" w:cs="Times New Roman"/>
          <w:sz w:val="24"/>
          <w:szCs w:val="24"/>
        </w:rPr>
        <w:t>(25%)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Non-White, non-Black</w:t>
      </w:r>
      <w:r w:rsidRPr="007D366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087 (12%)</w:t>
      </w:r>
      <w:r>
        <w:rPr>
          <w:rFonts w:ascii="Times New Roman" w:hAnsi="Times New Roman" w:cs="Times New Roman"/>
          <w:sz w:val="24"/>
          <w:szCs w:val="24"/>
        </w:rPr>
        <w:tab/>
        <w:t>2,325</w:t>
      </w:r>
      <w:r w:rsidRPr="007D3660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Primary payer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  <w:t>&lt;0.001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Government</w:t>
      </w:r>
      <w:r w:rsidRPr="007D3660">
        <w:rPr>
          <w:rFonts w:ascii="Times New Roman" w:hAnsi="Times New Roman" w:cs="Times New Roman"/>
          <w:sz w:val="24"/>
          <w:szCs w:val="24"/>
        </w:rPr>
        <w:tab/>
        <w:t>5,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7D3660">
        <w:rPr>
          <w:rFonts w:ascii="Times New Roman" w:hAnsi="Times New Roman" w:cs="Times New Roman"/>
          <w:sz w:val="24"/>
          <w:szCs w:val="24"/>
        </w:rPr>
        <w:t xml:space="preserve"> (54%)</w:t>
      </w:r>
      <w:r w:rsidRPr="007D3660">
        <w:rPr>
          <w:rFonts w:ascii="Times New Roman" w:hAnsi="Times New Roman" w:cs="Times New Roman"/>
          <w:sz w:val="24"/>
          <w:szCs w:val="24"/>
        </w:rPr>
        <w:tab/>
        <w:t>3,</w:t>
      </w:r>
      <w:r>
        <w:rPr>
          <w:rFonts w:ascii="Times New Roman" w:hAnsi="Times New Roman" w:cs="Times New Roman"/>
          <w:sz w:val="24"/>
          <w:szCs w:val="24"/>
        </w:rPr>
        <w:t>470 (38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Private</w:t>
      </w:r>
      <w:r w:rsidRPr="007D366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7D3660">
        <w:rPr>
          <w:rFonts w:ascii="Times New Roman" w:hAnsi="Times New Roman" w:cs="Times New Roman"/>
          <w:sz w:val="24"/>
          <w:szCs w:val="24"/>
        </w:rPr>
        <w:t xml:space="preserve"> (26%)</w:t>
      </w:r>
      <w:r w:rsidRPr="007D3660">
        <w:rPr>
          <w:rFonts w:ascii="Times New Roman" w:hAnsi="Times New Roman" w:cs="Times New Roman"/>
          <w:sz w:val="24"/>
          <w:szCs w:val="24"/>
        </w:rPr>
        <w:tab/>
        <w:t>3,</w:t>
      </w:r>
      <w:r>
        <w:rPr>
          <w:rFonts w:ascii="Times New Roman" w:hAnsi="Times New Roman" w:cs="Times New Roman"/>
          <w:sz w:val="24"/>
          <w:szCs w:val="24"/>
        </w:rPr>
        <w:t>047</w:t>
      </w:r>
      <w:r w:rsidRPr="007D3660">
        <w:rPr>
          <w:rFonts w:ascii="Times New Roman" w:hAnsi="Times New Roman" w:cs="Times New Roman"/>
          <w:sz w:val="24"/>
          <w:szCs w:val="24"/>
        </w:rPr>
        <w:t xml:space="preserve"> (33%)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Self-pay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 (2.2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158</w:t>
      </w:r>
      <w:r w:rsidRPr="007D3660">
        <w:rPr>
          <w:rFonts w:ascii="Times New Roman" w:hAnsi="Times New Roman" w:cs="Times New Roman"/>
          <w:sz w:val="24"/>
          <w:szCs w:val="24"/>
        </w:rPr>
        <w:t xml:space="preserve"> (1.7%)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Other/missing</w:t>
      </w:r>
      <w:r w:rsidRPr="007D366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690</w:t>
      </w:r>
      <w:r w:rsidRPr="007D3660">
        <w:rPr>
          <w:rFonts w:ascii="Times New Roman" w:hAnsi="Times New Roman" w:cs="Times New Roman"/>
          <w:sz w:val="24"/>
          <w:szCs w:val="24"/>
        </w:rPr>
        <w:t xml:space="preserve"> (18%)</w:t>
      </w:r>
      <w:r w:rsidRPr="007D366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565</w:t>
      </w:r>
      <w:r w:rsidRPr="007D3660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i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Influenza season</w:t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2006 - 07</w:t>
      </w:r>
      <w:r w:rsidRPr="007D3660">
        <w:rPr>
          <w:rFonts w:ascii="Times New Roman" w:hAnsi="Times New Roman" w:cs="Times New Roman"/>
          <w:sz w:val="24"/>
          <w:szCs w:val="24"/>
        </w:rPr>
        <w:tab/>
        <w:t>2,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7D3660">
        <w:rPr>
          <w:rFonts w:ascii="Times New Roman" w:hAnsi="Times New Roman" w:cs="Times New Roman"/>
          <w:sz w:val="24"/>
          <w:szCs w:val="24"/>
        </w:rPr>
        <w:t xml:space="preserve"> (28%)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2007 - 08</w:t>
      </w:r>
      <w:r w:rsidRPr="007D3660">
        <w:rPr>
          <w:rFonts w:ascii="Times New Roman" w:hAnsi="Times New Roman" w:cs="Times New Roman"/>
          <w:sz w:val="24"/>
          <w:szCs w:val="24"/>
        </w:rPr>
        <w:tab/>
        <w:t>4,</w:t>
      </w:r>
      <w:r>
        <w:rPr>
          <w:rFonts w:ascii="Times New Roman" w:hAnsi="Times New Roman" w:cs="Times New Roman"/>
          <w:sz w:val="24"/>
          <w:szCs w:val="24"/>
        </w:rPr>
        <w:t>024</w:t>
      </w:r>
      <w:r w:rsidRPr="007D3660">
        <w:rPr>
          <w:rFonts w:ascii="Times New Roman" w:hAnsi="Times New Roman" w:cs="Times New Roman"/>
          <w:sz w:val="24"/>
          <w:szCs w:val="24"/>
        </w:rPr>
        <w:t xml:space="preserve"> (43%)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2008 - 09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2,749</w:t>
      </w:r>
      <w:r w:rsidRPr="007D3660">
        <w:rPr>
          <w:rFonts w:ascii="Times New Roman" w:hAnsi="Times New Roman" w:cs="Times New Roman"/>
          <w:sz w:val="24"/>
          <w:szCs w:val="24"/>
        </w:rPr>
        <w:t xml:space="preserve"> (29%)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>Health status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</w:r>
      <w:r w:rsidRPr="007D3660">
        <w:rPr>
          <w:rFonts w:ascii="Times New Roman" w:hAnsi="Times New Roman" w:cs="Times New Roman"/>
          <w:sz w:val="24"/>
          <w:szCs w:val="24"/>
        </w:rPr>
        <w:tab/>
        <w:t>&lt;0.001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Previously healthy</w:t>
      </w:r>
      <w:r w:rsidRPr="007D3660">
        <w:rPr>
          <w:rFonts w:ascii="Times New Roman" w:hAnsi="Times New Roman" w:cs="Times New Roman"/>
          <w:sz w:val="24"/>
          <w:szCs w:val="24"/>
        </w:rPr>
        <w:tab/>
        <w:t>4,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  <w:t>3,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Non-ACIP condition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634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6.7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501 (5.4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ACIP-defined condition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4,553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5,413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Asthma</w:t>
      </w:r>
      <w:r w:rsidRPr="004777BE">
        <w:rPr>
          <w:rFonts w:ascii="Times New Roman" w:hAnsi="Times New Roman" w:cs="Times New Roman"/>
          <w:sz w:val="22"/>
          <w:szCs w:val="22"/>
        </w:rPr>
        <w:tab/>
        <w:t>1,</w:t>
      </w:r>
      <w:r>
        <w:rPr>
          <w:rFonts w:ascii="Times New Roman" w:hAnsi="Times New Roman" w:cs="Times New Roman"/>
          <w:sz w:val="22"/>
          <w:szCs w:val="22"/>
        </w:rPr>
        <w:t>762 (19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2,</w:t>
      </w:r>
      <w:r>
        <w:rPr>
          <w:rFonts w:ascii="Times New Roman" w:hAnsi="Times New Roman" w:cs="Times New Roman"/>
          <w:sz w:val="22"/>
          <w:szCs w:val="22"/>
        </w:rPr>
        <w:t>850 (31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&lt;0.001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Non-asthma chronic lung disease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742 (7.9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754 (8.2%)</w:t>
      </w:r>
      <w:r>
        <w:rPr>
          <w:rFonts w:ascii="Times New Roman" w:hAnsi="Times New Roman" w:cs="Times New Roman"/>
          <w:sz w:val="22"/>
          <w:szCs w:val="22"/>
        </w:rPr>
        <w:tab/>
        <w:t>0.48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Cardiovascular disease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540</w:t>
      </w:r>
      <w:r w:rsidRPr="004777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5.7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453</w:t>
      </w:r>
      <w:r w:rsidRPr="004777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4.9%)</w:t>
      </w:r>
      <w:r>
        <w:rPr>
          <w:rFonts w:ascii="Times New Roman" w:hAnsi="Times New Roman" w:cs="Times New Roman"/>
          <w:sz w:val="22"/>
          <w:szCs w:val="22"/>
        </w:rPr>
        <w:tab/>
        <w:t>0.01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Immunosuppression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948</w:t>
      </w:r>
      <w:r w:rsidRPr="004777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840 (9.1%)</w:t>
      </w:r>
      <w:r>
        <w:rPr>
          <w:rFonts w:ascii="Times New Roman" w:hAnsi="Times New Roman" w:cs="Times New Roman"/>
          <w:sz w:val="22"/>
          <w:szCs w:val="22"/>
        </w:rPr>
        <w:tab/>
        <w:t>0.02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Hematologic disease</w:t>
      </w:r>
      <w:r>
        <w:rPr>
          <w:rFonts w:ascii="Times New Roman" w:hAnsi="Times New Roman" w:cs="Times New Roman"/>
          <w:sz w:val="22"/>
          <w:szCs w:val="22"/>
        </w:rPr>
        <w:tab/>
        <w:t>409 (4.3%)</w:t>
      </w:r>
      <w:r>
        <w:rPr>
          <w:rFonts w:ascii="Times New Roman" w:hAnsi="Times New Roman" w:cs="Times New Roman"/>
          <w:sz w:val="22"/>
          <w:szCs w:val="22"/>
        </w:rPr>
        <w:tab/>
        <w:t>459 (5.0%)</w:t>
      </w:r>
      <w:r>
        <w:rPr>
          <w:rFonts w:ascii="Times New Roman" w:hAnsi="Times New Roman" w:cs="Times New Roman"/>
          <w:sz w:val="22"/>
          <w:szCs w:val="22"/>
        </w:rPr>
        <w:tab/>
        <w:t>0.04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Renal disease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102</w:t>
      </w:r>
      <w:r w:rsidRPr="004777BE">
        <w:rPr>
          <w:rFonts w:ascii="Times New Roman" w:hAnsi="Times New Roman" w:cs="Times New Roman"/>
          <w:sz w:val="22"/>
          <w:szCs w:val="22"/>
        </w:rPr>
        <w:t xml:space="preserve"> (1.1%)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109 (1.2%)</w:t>
      </w:r>
      <w:r>
        <w:rPr>
          <w:rFonts w:ascii="Times New Roman" w:hAnsi="Times New Roman" w:cs="Times New Roman"/>
          <w:sz w:val="22"/>
          <w:szCs w:val="22"/>
        </w:rPr>
        <w:tab/>
        <w:t>0.53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Metabolic disease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309 (3.3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401 (4.3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&lt;0.001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Neurological disease</w:t>
      </w:r>
      <w:r w:rsidRPr="004777BE">
        <w:rPr>
          <w:rFonts w:ascii="Times New Roman" w:hAnsi="Times New Roman" w:cs="Times New Roman"/>
          <w:sz w:val="22"/>
          <w:szCs w:val="22"/>
        </w:rPr>
        <w:tab/>
        <w:t>1,</w:t>
      </w:r>
      <w:r>
        <w:rPr>
          <w:rFonts w:ascii="Times New Roman" w:hAnsi="Times New Roman" w:cs="Times New Roman"/>
          <w:sz w:val="22"/>
          <w:szCs w:val="22"/>
        </w:rPr>
        <w:t>146</w:t>
      </w:r>
      <w:r w:rsidRPr="004777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1,</w:t>
      </w:r>
      <w:r>
        <w:rPr>
          <w:rFonts w:ascii="Times New Roman" w:hAnsi="Times New Roman" w:cs="Times New Roman"/>
          <w:sz w:val="22"/>
          <w:szCs w:val="22"/>
        </w:rPr>
        <w:t>144</w:t>
      </w:r>
      <w:r w:rsidRPr="004777B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0.</w:t>
      </w:r>
      <w:r>
        <w:rPr>
          <w:rFonts w:ascii="Times New Roman" w:hAnsi="Times New Roman" w:cs="Times New Roman"/>
          <w:sz w:val="22"/>
          <w:szCs w:val="22"/>
        </w:rPr>
        <w:t>66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Hepatic disease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70 (0.7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55 (0.6</w:t>
      </w:r>
      <w:r w:rsidRPr="004777BE">
        <w:rPr>
          <w:rFonts w:ascii="Times New Roman" w:hAnsi="Times New Roman" w:cs="Times New Roman"/>
          <w:sz w:val="22"/>
          <w:szCs w:val="22"/>
        </w:rPr>
        <w:t>%)</w:t>
      </w:r>
      <w:r w:rsidRPr="004777BE">
        <w:rPr>
          <w:rFonts w:ascii="Times New Roman" w:hAnsi="Times New Roman" w:cs="Times New Roman"/>
          <w:sz w:val="22"/>
          <w:szCs w:val="22"/>
        </w:rPr>
        <w:tab/>
        <w:t>0.</w:t>
      </w:r>
      <w:r>
        <w:rPr>
          <w:rFonts w:ascii="Times New Roman" w:hAnsi="Times New Roman" w:cs="Times New Roman"/>
          <w:sz w:val="22"/>
          <w:szCs w:val="22"/>
        </w:rPr>
        <w:t>22</w:t>
      </w:r>
    </w:p>
    <w:p w:rsidR="00CA7A3E" w:rsidRPr="004777BE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777BE">
        <w:rPr>
          <w:rFonts w:ascii="Times New Roman" w:hAnsi="Times New Roman" w:cs="Times New Roman"/>
          <w:sz w:val="22"/>
          <w:szCs w:val="22"/>
        </w:rPr>
        <w:t>Chronic aspirin use</w:t>
      </w:r>
      <w:r w:rsidRPr="004777BE">
        <w:rPr>
          <w:rFonts w:ascii="Times New Roman" w:hAnsi="Times New Roman" w:cs="Times New Roman"/>
          <w:sz w:val="22"/>
          <w:szCs w:val="22"/>
        </w:rPr>
        <w:tab/>
        <w:t>22 (0.2%)</w:t>
      </w:r>
      <w:r w:rsidRPr="004777BE">
        <w:rPr>
          <w:rFonts w:ascii="Times New Roman" w:hAnsi="Times New Roman" w:cs="Times New Roman"/>
          <w:sz w:val="22"/>
          <w:szCs w:val="22"/>
        </w:rPr>
        <w:tab/>
        <w:t>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777BE">
        <w:rPr>
          <w:rFonts w:ascii="Times New Roman" w:hAnsi="Times New Roman" w:cs="Times New Roman"/>
          <w:sz w:val="22"/>
          <w:szCs w:val="22"/>
        </w:rPr>
        <w:t xml:space="preserve"> (0</w:t>
      </w:r>
      <w:r>
        <w:rPr>
          <w:rFonts w:ascii="Times New Roman" w:hAnsi="Times New Roman" w:cs="Times New Roman"/>
          <w:sz w:val="22"/>
          <w:szCs w:val="22"/>
        </w:rPr>
        <w:t>.3%)</w:t>
      </w:r>
      <w:r>
        <w:rPr>
          <w:rFonts w:ascii="Times New Roman" w:hAnsi="Times New Roman" w:cs="Times New Roman"/>
          <w:sz w:val="22"/>
          <w:szCs w:val="22"/>
        </w:rPr>
        <w:tab/>
        <w:t>0.72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rPr>
          <w:rFonts w:ascii="Times New Roman" w:hAnsi="Times New Roman" w:cs="Times New Roman"/>
          <w:i/>
          <w:sz w:val="24"/>
          <w:szCs w:val="24"/>
        </w:rPr>
      </w:pPr>
      <w:r w:rsidRPr="007D3660">
        <w:rPr>
          <w:rFonts w:ascii="Times New Roman" w:hAnsi="Times New Roman" w:cs="Times New Roman"/>
          <w:i/>
          <w:sz w:val="24"/>
          <w:szCs w:val="24"/>
        </w:rPr>
        <w:t xml:space="preserve">Treatment and </w:t>
      </w:r>
      <w:r>
        <w:rPr>
          <w:rFonts w:ascii="Times New Roman" w:hAnsi="Times New Roman" w:cs="Times New Roman"/>
          <w:i/>
          <w:sz w:val="24"/>
          <w:szCs w:val="24"/>
        </w:rPr>
        <w:t>complications</w:t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  <w:r w:rsidRPr="007D3660">
        <w:rPr>
          <w:rFonts w:ascii="Times New Roman" w:hAnsi="Times New Roman" w:cs="Times New Roman"/>
          <w:i/>
          <w:sz w:val="24"/>
          <w:szCs w:val="24"/>
        </w:rPr>
        <w:tab/>
      </w:r>
    </w:p>
    <w:p w:rsidR="00CA7A3E" w:rsidRPr="00B37475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Influenza antiviral medication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1,791 (19%)</w:t>
      </w:r>
      <w:r>
        <w:rPr>
          <w:rFonts w:ascii="Times New Roman" w:hAnsi="Times New Roman" w:cs="Times New Roman"/>
          <w:sz w:val="22"/>
          <w:szCs w:val="22"/>
        </w:rPr>
        <w:tab/>
        <w:t>6,460 (70</w:t>
      </w:r>
      <w:r w:rsidRPr="00B37475">
        <w:rPr>
          <w:rFonts w:ascii="Times New Roman" w:hAnsi="Times New Roman" w:cs="Times New Roman"/>
          <w:sz w:val="22"/>
          <w:szCs w:val="22"/>
        </w:rPr>
        <w:t>%)</w:t>
      </w:r>
      <w:r w:rsidRPr="00B37475">
        <w:rPr>
          <w:rFonts w:ascii="Times New Roman" w:hAnsi="Times New Roman" w:cs="Times New Roman"/>
          <w:sz w:val="22"/>
          <w:szCs w:val="22"/>
        </w:rPr>
        <w:tab/>
        <w:t>&lt;0.001</w:t>
      </w:r>
    </w:p>
    <w:p w:rsidR="00CA7A3E" w:rsidRPr="00990A13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990A13">
        <w:rPr>
          <w:rFonts w:ascii="Times New Roman" w:hAnsi="Times New Roman" w:cs="Times New Roman"/>
          <w:sz w:val="24"/>
          <w:szCs w:val="24"/>
        </w:rPr>
        <w:t>Bacterial pneumonia</w:t>
      </w:r>
      <w:r w:rsidRPr="00990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409 (4.3</w:t>
      </w:r>
      <w:r w:rsidRPr="00990A13">
        <w:rPr>
          <w:rFonts w:ascii="Times New Roman" w:hAnsi="Times New Roman" w:cs="Times New Roman"/>
          <w:sz w:val="24"/>
          <w:szCs w:val="24"/>
        </w:rPr>
        <w:t>%)</w:t>
      </w:r>
      <w:r w:rsidRPr="00990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666</w:t>
      </w:r>
      <w:r w:rsidRPr="00990A13">
        <w:rPr>
          <w:rFonts w:ascii="Times New Roman" w:hAnsi="Times New Roman" w:cs="Times New Roman"/>
          <w:sz w:val="24"/>
          <w:szCs w:val="24"/>
        </w:rPr>
        <w:t xml:space="preserve"> (7.2%)</w:t>
      </w:r>
      <w:r w:rsidRPr="00990A13">
        <w:rPr>
          <w:rFonts w:ascii="Times New Roman" w:hAnsi="Times New Roman" w:cs="Times New Roman"/>
          <w:sz w:val="24"/>
          <w:szCs w:val="24"/>
        </w:rPr>
        <w:tab/>
        <w:t>&lt;0.001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PICU admission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1,338 (14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1,282 (14%)</w:t>
      </w:r>
      <w:r>
        <w:rPr>
          <w:rFonts w:ascii="Times New Roman" w:hAnsi="Times New Roman" w:cs="Times New Roman"/>
          <w:sz w:val="24"/>
          <w:szCs w:val="24"/>
        </w:rPr>
        <w:tab/>
        <w:t>0.51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ventilation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216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132</w:t>
      </w:r>
      <w:r w:rsidRPr="007D36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1.4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  <w:t>&lt;0.001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High-frequency ventilation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 (0.4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 (0.3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  <w:t>0.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Shock requiring vasopressors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245 (2.6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205 (2.2%)</w:t>
      </w:r>
      <w:r>
        <w:rPr>
          <w:rFonts w:ascii="Times New Roman" w:hAnsi="Times New Roman" w:cs="Times New Roman"/>
          <w:sz w:val="24"/>
          <w:szCs w:val="24"/>
        </w:rPr>
        <w:tab/>
        <w:t>0.09</w:t>
      </w:r>
    </w:p>
    <w:p w:rsidR="00CA7A3E" w:rsidRPr="007D3660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D3660">
        <w:rPr>
          <w:rFonts w:ascii="Times New Roman" w:hAnsi="Times New Roman" w:cs="Times New Roman"/>
          <w:sz w:val="24"/>
          <w:szCs w:val="24"/>
        </w:rPr>
        <w:t>Extracorporeal life support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(0.2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7D3660">
        <w:rPr>
          <w:rFonts w:ascii="Times New Roman" w:hAnsi="Times New Roman" w:cs="Times New Roman"/>
          <w:sz w:val="24"/>
          <w:szCs w:val="24"/>
        </w:rPr>
        <w:t xml:space="preserve"> (0.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3660">
        <w:rPr>
          <w:rFonts w:ascii="Times New Roman" w:hAnsi="Times New Roman" w:cs="Times New Roman"/>
          <w:sz w:val="24"/>
          <w:szCs w:val="24"/>
        </w:rPr>
        <w:t>%)</w:t>
      </w:r>
      <w:r w:rsidRPr="007D3660">
        <w:rPr>
          <w:rFonts w:ascii="Times New Roman" w:hAnsi="Times New Roman" w:cs="Times New Roman"/>
          <w:sz w:val="24"/>
          <w:szCs w:val="24"/>
        </w:rPr>
        <w:tab/>
        <w:t>0.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A7A3E" w:rsidRPr="00F21FFD" w:rsidRDefault="00CA7A3E" w:rsidP="00CA7A3E">
      <w:pPr>
        <w:pStyle w:val="PlainText"/>
        <w:tabs>
          <w:tab w:val="left" w:pos="3420"/>
          <w:tab w:val="left" w:pos="5400"/>
          <w:tab w:val="left" w:pos="7560"/>
          <w:tab w:val="left" w:pos="792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F21FFD">
        <w:rPr>
          <w:rFonts w:ascii="Times New Roman" w:hAnsi="Times New Roman" w:cs="Times New Roman"/>
          <w:sz w:val="24"/>
          <w:szCs w:val="24"/>
        </w:rPr>
        <w:t xml:space="preserve">Mortality </w:t>
      </w:r>
      <w:r w:rsidRPr="00F21FFD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F21FFD">
        <w:rPr>
          <w:rFonts w:ascii="Times New Roman" w:hAnsi="Times New Roman" w:cs="Times New Roman"/>
          <w:sz w:val="24"/>
          <w:szCs w:val="24"/>
        </w:rPr>
        <w:tab/>
        <w:t>58 (0.6%)</w:t>
      </w:r>
      <w:r w:rsidRPr="00F21FFD">
        <w:rPr>
          <w:rFonts w:ascii="Times New Roman" w:hAnsi="Times New Roman" w:cs="Times New Roman"/>
          <w:sz w:val="24"/>
          <w:szCs w:val="24"/>
        </w:rPr>
        <w:tab/>
        <w:t>47 (0.5%)</w:t>
      </w:r>
      <w:r w:rsidRPr="00F21FFD">
        <w:rPr>
          <w:rFonts w:ascii="Times New Roman" w:hAnsi="Times New Roman" w:cs="Times New Roman"/>
          <w:sz w:val="24"/>
          <w:szCs w:val="24"/>
        </w:rPr>
        <w:tab/>
        <w:t>0.44</w:t>
      </w:r>
      <w:r w:rsidRPr="00F21FFD">
        <w:rPr>
          <w:rFonts w:ascii="Times New Roman" w:hAnsi="Times New Roman" w:cs="Times New Roman"/>
          <w:sz w:val="24"/>
          <w:szCs w:val="24"/>
        </w:rPr>
        <w:tab/>
      </w:r>
    </w:p>
    <w:p w:rsidR="00CA7A3E" w:rsidRDefault="00CA7A3E" w:rsidP="00CA7A3E">
      <w:pPr>
        <w:pStyle w:val="PlainText"/>
        <w:tabs>
          <w:tab w:val="left" w:pos="2520"/>
          <w:tab w:val="left" w:pos="3960"/>
          <w:tab w:val="left" w:pos="5400"/>
        </w:tabs>
        <w:ind w:right="720"/>
        <w:rPr>
          <w:rFonts w:ascii="Times New Roman" w:hAnsi="Times New Roman" w:cs="Times New Roman"/>
        </w:rPr>
      </w:pPr>
      <w:proofErr w:type="gramStart"/>
      <w:r w:rsidRPr="00F21FFD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gramEnd"/>
      <w:r w:rsidRPr="004A444D">
        <w:rPr>
          <w:rFonts w:ascii="Times New Roman" w:hAnsi="Times New Roman" w:cs="Times New Roman"/>
        </w:rPr>
        <w:t xml:space="preserve"> Due to </w:t>
      </w:r>
      <w:r>
        <w:rPr>
          <w:rFonts w:ascii="Times New Roman" w:hAnsi="Times New Roman" w:cs="Times New Roman"/>
        </w:rPr>
        <w:t>a change in PHIS disposition variable format in 2009</w:t>
      </w:r>
      <w:r w:rsidRPr="004A444D">
        <w:rPr>
          <w:rFonts w:ascii="Times New Roman" w:hAnsi="Times New Roman" w:cs="Times New Roman"/>
        </w:rPr>
        <w:t xml:space="preserve">, mortality data </w:t>
      </w:r>
      <w:r>
        <w:rPr>
          <w:rFonts w:ascii="Times New Roman" w:hAnsi="Times New Roman" w:cs="Times New Roman"/>
        </w:rPr>
        <w:t>is missing or unreliable for 373</w:t>
      </w:r>
      <w:r w:rsidRPr="004A444D">
        <w:rPr>
          <w:rFonts w:ascii="Times New Roman" w:hAnsi="Times New Roman" w:cs="Times New Roman"/>
        </w:rPr>
        <w:t xml:space="preserve"> patients.These patients were excluded from </w:t>
      </w:r>
      <w:r>
        <w:rPr>
          <w:rFonts w:ascii="Times New Roman" w:hAnsi="Times New Roman" w:cs="Times New Roman"/>
        </w:rPr>
        <w:t>mortality analyses</w:t>
      </w:r>
      <w:r w:rsidRPr="004A444D">
        <w:rPr>
          <w:rFonts w:ascii="Times New Roman" w:hAnsi="Times New Roman" w:cs="Times New Roman"/>
        </w:rPr>
        <w:t>.</w:t>
      </w:r>
    </w:p>
    <w:p w:rsidR="00EC56CE" w:rsidRDefault="00CA7A3E" w:rsidP="0021624B">
      <w:pPr>
        <w:pStyle w:val="PlainText"/>
        <w:tabs>
          <w:tab w:val="left" w:pos="2520"/>
          <w:tab w:val="left" w:pos="3960"/>
          <w:tab w:val="left" w:pos="5400"/>
        </w:tabs>
        <w:ind w:right="720"/>
      </w:pPr>
      <w:r>
        <w:rPr>
          <w:rFonts w:ascii="Times New Roman" w:hAnsi="Times New Roman" w:cs="Times New Roman"/>
        </w:rPr>
        <w:t>Abbreviations: ACIP: Advisory Committee on Immunization Practices. PICU: Pediatric intensive care unit</w:t>
      </w:r>
      <w:bookmarkStart w:id="0" w:name="_GoBack"/>
      <w:bookmarkEnd w:id="0"/>
    </w:p>
    <w:sectPr w:rsidR="00EC56CE" w:rsidSect="00B9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7A3E"/>
    <w:rsid w:val="0021624B"/>
    <w:rsid w:val="00915EA4"/>
    <w:rsid w:val="00B92BA8"/>
    <w:rsid w:val="00CA7A3E"/>
    <w:rsid w:val="00EC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7A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A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7A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A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Toshiba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Eriksson</dc:creator>
  <cp:lastModifiedBy>C.Baeuerlein</cp:lastModifiedBy>
  <cp:revision>3</cp:revision>
  <dcterms:created xsi:type="dcterms:W3CDTF">2012-01-19T04:05:00Z</dcterms:created>
  <dcterms:modified xsi:type="dcterms:W3CDTF">2012-06-04T19:14:00Z</dcterms:modified>
</cp:coreProperties>
</file>