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378" w:tblpY="-402"/>
        <w:tblW w:w="139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544"/>
        <w:gridCol w:w="1440"/>
        <w:gridCol w:w="2700"/>
        <w:gridCol w:w="2803"/>
        <w:gridCol w:w="3690"/>
      </w:tblGrid>
      <w:tr w:rsidR="00261E32" w:rsidRPr="002E12CE" w14:paraId="42634E25" w14:textId="66F151EC" w:rsidTr="00261E32">
        <w:trPr>
          <w:trHeight w:val="1068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1D6AE" w14:textId="2C821636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Study &amp;</w:t>
            </w:r>
          </w:p>
          <w:p w14:paraId="040AF880" w14:textId="4E757FBE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Name of Scale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BF09C" w14:textId="7777777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Study Design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A6DA8" w14:textId="7777777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Number of Participants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DAFD4" w14:textId="7777777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Population Characteristics 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A21FD" w14:textId="3029D458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Study Conclusions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5D0AC" w14:textId="6261417C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Description of tool</w:t>
            </w:r>
          </w:p>
        </w:tc>
      </w:tr>
      <w:tr w:rsidR="00261E32" w:rsidRPr="002E12CE" w14:paraId="720943C2" w14:textId="1315BF0A" w:rsidTr="00261E32">
        <w:trPr>
          <w:cantSplit/>
          <w:trHeight w:val="1572"/>
        </w:trPr>
        <w:tc>
          <w:tcPr>
            <w:tcW w:w="1781" w:type="dxa"/>
            <w:tcBorders>
              <w:top w:val="single" w:sz="4" w:space="0" w:color="auto"/>
            </w:tcBorders>
          </w:tcPr>
          <w:p w14:paraId="3E1A6EE7" w14:textId="171D56C2" w:rsidR="004E2BAD" w:rsidRPr="006F0CA7" w:rsidRDefault="004E2BAD" w:rsidP="00A72536">
            <w:pPr>
              <w:ind w:right="182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 xml:space="preserve">Arnold et al. </w:t>
            </w:r>
          </w:p>
          <w:p w14:paraId="76B9BE59" w14:textId="0AA51D14" w:rsidR="004E2BAD" w:rsidRPr="006F0CA7" w:rsidRDefault="00BA4D06" w:rsidP="00A72536">
            <w:pPr>
              <w:ind w:right="182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HEME</w:t>
            </w:r>
            <w:r w:rsidR="00BE3670" w:rsidRPr="006F0CA7">
              <w:rPr>
                <w:sz w:val="20"/>
                <w:szCs w:val="20"/>
              </w:rPr>
              <w:t xml:space="preserve"> Tool</w:t>
            </w:r>
            <w:r w:rsidR="00CB66B5" w:rsidRPr="00CB66B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4EC86586" w14:textId="482B7B95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Prospective Cohort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8EBB5FE" w14:textId="66731332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5B1DC32" w14:textId="0B42C13E" w:rsidR="004E2BAD" w:rsidRPr="002E12CE" w:rsidRDefault="00BA4D06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  <w:r w:rsidR="004E2BAD" w:rsidRPr="002E12CE">
              <w:rPr>
                <w:sz w:val="20"/>
                <w:szCs w:val="20"/>
              </w:rPr>
              <w:t xml:space="preserve"> patients admitted to t</w:t>
            </w:r>
            <w:bookmarkStart w:id="0" w:name="_GoBack"/>
            <w:bookmarkEnd w:id="0"/>
            <w:r w:rsidR="004E2BAD" w:rsidRPr="002E12CE">
              <w:rPr>
                <w:sz w:val="20"/>
                <w:szCs w:val="20"/>
              </w:rPr>
              <w:t>he m</w:t>
            </w:r>
            <w:r w:rsidR="00AB03EA">
              <w:rPr>
                <w:sz w:val="20"/>
                <w:szCs w:val="20"/>
              </w:rPr>
              <w:t>edical-surgical ICU</w:t>
            </w:r>
            <w:r w:rsidR="00BE36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0D8F7EDA" w14:textId="63E7FED7" w:rsidR="004E2BAD" w:rsidRPr="002E12CE" w:rsidRDefault="004E2BAD" w:rsidP="00BA4D0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1 out of 5 ICU patien</w:t>
            </w:r>
            <w:r w:rsidR="00BA4D06">
              <w:rPr>
                <w:sz w:val="20"/>
                <w:szCs w:val="20"/>
              </w:rPr>
              <w:t>ts experienced major bleed and HEME</w:t>
            </w:r>
            <w:r w:rsidRPr="002E12CE">
              <w:rPr>
                <w:sz w:val="20"/>
                <w:szCs w:val="20"/>
              </w:rPr>
              <w:t xml:space="preserve"> tool </w:t>
            </w:r>
            <w:r w:rsidR="00BA4D06">
              <w:rPr>
                <w:sz w:val="20"/>
                <w:szCs w:val="20"/>
              </w:rPr>
              <w:t>can be useful tool to assess bleeding in critically ill adults.</w:t>
            </w:r>
            <w:r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9CCBD46" w14:textId="77777777" w:rsidR="004E2BAD" w:rsidRDefault="00BE367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Bleeding episodes characterized by site and severity (either fatal, major </w:t>
            </w:r>
            <w:r w:rsidR="00BA4D06">
              <w:rPr>
                <w:sz w:val="20"/>
                <w:szCs w:val="20"/>
              </w:rPr>
              <w:t xml:space="preserve">bleeding, or minor bleeding). </w:t>
            </w:r>
            <w:r w:rsidR="00DB7BF1">
              <w:rPr>
                <w:sz w:val="20"/>
                <w:szCs w:val="20"/>
              </w:rPr>
              <w:t xml:space="preserve">Includes blood pressure, heart rate and drop in hemoglobin as physiologic variables. </w:t>
            </w:r>
            <w:r w:rsidR="00BA4D06">
              <w:rPr>
                <w:sz w:val="20"/>
                <w:szCs w:val="20"/>
              </w:rPr>
              <w:t>Reports inter-rate</w:t>
            </w:r>
            <w:r w:rsidR="00390ED9">
              <w:rPr>
                <w:sz w:val="20"/>
                <w:szCs w:val="20"/>
              </w:rPr>
              <w:t>r</w:t>
            </w:r>
            <w:r w:rsidR="00BA4D06">
              <w:rPr>
                <w:sz w:val="20"/>
                <w:szCs w:val="20"/>
              </w:rPr>
              <w:t xml:space="preserve"> reliability and relationship of major bleeding to outcomes.</w:t>
            </w:r>
          </w:p>
          <w:p w14:paraId="5B79FDC5" w14:textId="7D95E059" w:rsidR="00DB7BF1" w:rsidRPr="002E12CE" w:rsidRDefault="00DB7BF1" w:rsidP="00A72536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403F54B4" w14:textId="146BD2A9" w:rsidTr="00261E32">
        <w:trPr>
          <w:cantSplit/>
          <w:trHeight w:val="1402"/>
        </w:trPr>
        <w:tc>
          <w:tcPr>
            <w:tcW w:w="1781" w:type="dxa"/>
          </w:tcPr>
          <w:p w14:paraId="20A41C8D" w14:textId="7B593B70" w:rsidR="004E2BAD" w:rsidRPr="006F0CA7" w:rsidRDefault="004E2BAD" w:rsidP="00A72536">
            <w:pPr>
              <w:ind w:right="182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Blanchette et al.</w:t>
            </w:r>
            <w:r w:rsidR="00CB66B5" w:rsidRPr="00CB66B5">
              <w:rPr>
                <w:sz w:val="20"/>
                <w:szCs w:val="20"/>
                <w:vertAlign w:val="superscript"/>
              </w:rPr>
              <w:t>11</w:t>
            </w:r>
            <w:r w:rsidRPr="006F0CA7">
              <w:rPr>
                <w:sz w:val="20"/>
                <w:szCs w:val="20"/>
              </w:rPr>
              <w:t xml:space="preserve"> </w:t>
            </w:r>
          </w:p>
          <w:p w14:paraId="68795778" w14:textId="5B0DF3AF" w:rsidR="004E2BAD" w:rsidRPr="006F0CA7" w:rsidRDefault="004E2BAD" w:rsidP="00A72536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121D8950" w14:textId="78583825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Randomized control</w:t>
            </w:r>
            <w:r w:rsidR="002308D9">
              <w:rPr>
                <w:sz w:val="20"/>
                <w:szCs w:val="20"/>
              </w:rPr>
              <w:t>led</w:t>
            </w:r>
            <w:r w:rsidRPr="002E12CE">
              <w:rPr>
                <w:sz w:val="20"/>
                <w:szCs w:val="20"/>
              </w:rPr>
              <w:t xml:space="preserve"> trial </w:t>
            </w:r>
          </w:p>
        </w:tc>
        <w:tc>
          <w:tcPr>
            <w:tcW w:w="1440" w:type="dxa"/>
          </w:tcPr>
          <w:p w14:paraId="12297910" w14:textId="27AE859B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53</w:t>
            </w:r>
          </w:p>
        </w:tc>
        <w:tc>
          <w:tcPr>
            <w:tcW w:w="2700" w:type="dxa"/>
          </w:tcPr>
          <w:p w14:paraId="5C161ABA" w14:textId="4FF7EBEB" w:rsidR="004E2BAD" w:rsidRPr="002E12CE" w:rsidRDefault="00CC2FE7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with acute ITP randomized to receive intravenous immunoglobulin, steroids or no treatment</w:t>
            </w:r>
          </w:p>
        </w:tc>
        <w:tc>
          <w:tcPr>
            <w:tcW w:w="2803" w:type="dxa"/>
          </w:tcPr>
          <w:p w14:paraId="449C58B3" w14:textId="76DA70B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Improvement of thrombocytopenia was faster with IVIG treatment than prednisone</w:t>
            </w:r>
            <w:r w:rsidR="00CC2FE7">
              <w:rPr>
                <w:sz w:val="20"/>
                <w:szCs w:val="20"/>
              </w:rPr>
              <w:t xml:space="preserve"> or no treatment.</w:t>
            </w:r>
            <w:r w:rsidRPr="002E12CE">
              <w:rPr>
                <w:sz w:val="20"/>
                <w:szCs w:val="20"/>
              </w:rPr>
              <w:t xml:space="preserve"> </w:t>
            </w:r>
          </w:p>
          <w:p w14:paraId="519885E0" w14:textId="1D2E9591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89110D4" w14:textId="73DCC0B9" w:rsidR="004E2BAD" w:rsidRPr="002E12CE" w:rsidRDefault="00CC2FE7" w:rsidP="00384DFA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classified as moderate or severe based on site, extent and need for intervention. No validation reported.</w:t>
            </w:r>
            <w:r w:rsidR="004E2BAD" w:rsidRPr="002E12CE">
              <w:rPr>
                <w:sz w:val="20"/>
                <w:szCs w:val="20"/>
              </w:rPr>
              <w:t xml:space="preserve"> </w:t>
            </w:r>
          </w:p>
        </w:tc>
      </w:tr>
      <w:tr w:rsidR="00261E32" w:rsidRPr="002E12CE" w14:paraId="7ED970B7" w14:textId="77777777" w:rsidTr="00261E32">
        <w:trPr>
          <w:cantSplit/>
          <w:trHeight w:val="2293"/>
        </w:trPr>
        <w:tc>
          <w:tcPr>
            <w:tcW w:w="1781" w:type="dxa"/>
          </w:tcPr>
          <w:p w14:paraId="60BB6518" w14:textId="294A3A3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63606B">
              <w:rPr>
                <w:sz w:val="20"/>
                <w:szCs w:val="20"/>
              </w:rPr>
              <w:t>Bolton-</w:t>
            </w:r>
            <w:proofErr w:type="spellStart"/>
            <w:r w:rsidRPr="0063606B">
              <w:rPr>
                <w:sz w:val="20"/>
                <w:szCs w:val="20"/>
              </w:rPr>
              <w:t>Maggs</w:t>
            </w:r>
            <w:proofErr w:type="spellEnd"/>
            <w:r w:rsidRPr="0063606B">
              <w:rPr>
                <w:sz w:val="20"/>
                <w:szCs w:val="20"/>
              </w:rPr>
              <w:t xml:space="preserve"> et al.</w:t>
            </w:r>
            <w:r w:rsidR="00CB66B5" w:rsidRPr="00CB66B5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544" w:type="dxa"/>
          </w:tcPr>
          <w:p w14:paraId="10222536" w14:textId="4BE3E2BC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Prospective Cohort </w:t>
            </w:r>
          </w:p>
        </w:tc>
        <w:tc>
          <w:tcPr>
            <w:tcW w:w="1440" w:type="dxa"/>
          </w:tcPr>
          <w:p w14:paraId="08FA33C8" w14:textId="194C5D41" w:rsidR="004E2BAD" w:rsidRPr="002E12CE" w:rsidRDefault="004E2BAD" w:rsidP="00B625E5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700" w:type="dxa"/>
          </w:tcPr>
          <w:p w14:paraId="01A124C0" w14:textId="7428772C" w:rsidR="004E2BAD" w:rsidRPr="002E12CE" w:rsidRDefault="008C58D7" w:rsidP="008C58D7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(birth to 16 years of age)</w:t>
            </w:r>
            <w:r w:rsidR="004E2BAD" w:rsidRPr="002E12CE">
              <w:rPr>
                <w:sz w:val="20"/>
                <w:szCs w:val="20"/>
              </w:rPr>
              <w:t xml:space="preserve"> presenting with new</w:t>
            </w:r>
            <w:r>
              <w:rPr>
                <w:sz w:val="20"/>
                <w:szCs w:val="20"/>
              </w:rPr>
              <w:t>ly diagnosed</w:t>
            </w:r>
            <w:r w:rsidR="004E2BAD" w:rsidRPr="002E12CE">
              <w:rPr>
                <w:sz w:val="20"/>
                <w:szCs w:val="20"/>
              </w:rPr>
              <w:t xml:space="preserve"> ITP</w:t>
            </w:r>
            <w:r>
              <w:rPr>
                <w:sz w:val="20"/>
                <w:szCs w:val="20"/>
              </w:rPr>
              <w:t xml:space="preserve"> (both inpatient and outpatient)</w:t>
            </w:r>
          </w:p>
        </w:tc>
        <w:tc>
          <w:tcPr>
            <w:tcW w:w="2803" w:type="dxa"/>
          </w:tcPr>
          <w:p w14:paraId="3BB46190" w14:textId="2A9FD65C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Bleeding was clinically mild i</w:t>
            </w:r>
            <w:r w:rsidR="008C58D7">
              <w:rPr>
                <w:sz w:val="20"/>
                <w:szCs w:val="20"/>
              </w:rPr>
              <w:t>n the majority of cases with</w:t>
            </w:r>
            <w:r w:rsidRPr="002E12CE">
              <w:rPr>
                <w:sz w:val="20"/>
                <w:szCs w:val="20"/>
              </w:rPr>
              <w:t xml:space="preserve"> no deat</w:t>
            </w:r>
            <w:r w:rsidR="008C58D7">
              <w:rPr>
                <w:sz w:val="20"/>
                <w:szCs w:val="20"/>
              </w:rPr>
              <w:t>hs or intracranial hemorrhages</w:t>
            </w:r>
            <w:r>
              <w:rPr>
                <w:sz w:val="20"/>
                <w:szCs w:val="20"/>
              </w:rPr>
              <w:t xml:space="preserve"> despite severe th</w:t>
            </w:r>
            <w:r w:rsidR="006F0CA7">
              <w:rPr>
                <w:sz w:val="20"/>
                <w:szCs w:val="20"/>
              </w:rPr>
              <w:t>rombocytopenia in many children</w:t>
            </w:r>
          </w:p>
        </w:tc>
        <w:tc>
          <w:tcPr>
            <w:tcW w:w="3690" w:type="dxa"/>
          </w:tcPr>
          <w:p w14:paraId="120FAFD6" w14:textId="58DC100B" w:rsidR="004E2BAD" w:rsidRPr="002E12CE" w:rsidRDefault="008C58D7" w:rsidP="00384DFA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Physicians rated bleeding as </w:t>
            </w:r>
            <w:r w:rsidR="004E2BAD" w:rsidRPr="002E12CE">
              <w:rPr>
                <w:sz w:val="20"/>
                <w:szCs w:val="20"/>
              </w:rPr>
              <w:t>mild (bruisi</w:t>
            </w:r>
            <w:r w:rsidR="004E2BAD">
              <w:rPr>
                <w:sz w:val="20"/>
                <w:szCs w:val="20"/>
              </w:rPr>
              <w:t xml:space="preserve">ng, petechiae, occasional </w:t>
            </w:r>
            <w:r w:rsidR="004E2BAD" w:rsidRPr="002E12CE">
              <w:rPr>
                <w:sz w:val="20"/>
                <w:szCs w:val="20"/>
              </w:rPr>
              <w:t>epistaxis, little daily interference), moderate (mucosal lesions, epistaxis, menorrhagia)</w:t>
            </w:r>
            <w:r w:rsidR="004E2BAD">
              <w:rPr>
                <w:sz w:val="20"/>
                <w:szCs w:val="20"/>
              </w:rPr>
              <w:t xml:space="preserve"> or severe (bleeding </w:t>
            </w:r>
            <w:r w:rsidR="004E2BAD" w:rsidRPr="002E12CE">
              <w:rPr>
                <w:sz w:val="20"/>
                <w:szCs w:val="20"/>
              </w:rPr>
              <w:t>requiring hos</w:t>
            </w:r>
            <w:r w:rsidR="004E2BAD">
              <w:rPr>
                <w:sz w:val="20"/>
                <w:szCs w:val="20"/>
              </w:rPr>
              <w:t>pital admission or transfusion)</w:t>
            </w:r>
            <w:r>
              <w:rPr>
                <w:sz w:val="20"/>
                <w:szCs w:val="20"/>
              </w:rPr>
              <w:t xml:space="preserve">. No validation reported. </w:t>
            </w:r>
          </w:p>
        </w:tc>
      </w:tr>
      <w:tr w:rsidR="00261E32" w:rsidRPr="002E12CE" w14:paraId="6FEDDE9F" w14:textId="77777777" w:rsidTr="00261E32">
        <w:trPr>
          <w:cantSplit/>
          <w:trHeight w:val="1222"/>
        </w:trPr>
        <w:tc>
          <w:tcPr>
            <w:tcW w:w="1781" w:type="dxa"/>
          </w:tcPr>
          <w:p w14:paraId="138262E4" w14:textId="1FA813A5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Buchanan et al.</w:t>
            </w:r>
            <w:r w:rsidR="00CB66B5" w:rsidRPr="00CB66B5">
              <w:rPr>
                <w:sz w:val="20"/>
                <w:szCs w:val="20"/>
                <w:vertAlign w:val="superscript"/>
              </w:rPr>
              <w:t>12</w:t>
            </w:r>
            <w:r w:rsidRPr="00CB66B5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316B66FD" w14:textId="20E6245B" w:rsidR="004E2BAD" w:rsidRPr="002E12CE" w:rsidRDefault="004E2BAD" w:rsidP="00505606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005ABC53" w14:textId="243D6DC9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Randomized control</w:t>
            </w:r>
            <w:r w:rsidR="00505606">
              <w:rPr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 xml:space="preserve"> trial</w:t>
            </w:r>
          </w:p>
        </w:tc>
        <w:tc>
          <w:tcPr>
            <w:tcW w:w="1440" w:type="dxa"/>
          </w:tcPr>
          <w:p w14:paraId="33F76969" w14:textId="19DF3005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0" w:type="dxa"/>
          </w:tcPr>
          <w:p w14:paraId="3593AFE6" w14:textId="58C0EF90" w:rsidR="004E2BAD" w:rsidRPr="002E12CE" w:rsidRDefault="004E2BAD" w:rsidP="0050560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</w:t>
            </w:r>
            <w:r w:rsidR="00505606">
              <w:rPr>
                <w:sz w:val="20"/>
                <w:szCs w:val="20"/>
              </w:rPr>
              <w:t>(outpatient) with ITP randomized to receive prednisone or placebo</w:t>
            </w:r>
          </w:p>
        </w:tc>
        <w:tc>
          <w:tcPr>
            <w:tcW w:w="2803" w:type="dxa"/>
          </w:tcPr>
          <w:p w14:paraId="27551816" w14:textId="7CB33D8D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5606">
              <w:rPr>
                <w:sz w:val="20"/>
                <w:szCs w:val="20"/>
              </w:rPr>
              <w:t>rednisone did not</w:t>
            </w:r>
            <w:r>
              <w:rPr>
                <w:sz w:val="20"/>
                <w:szCs w:val="20"/>
              </w:rPr>
              <w:t xml:space="preserve"> improve hemostasis in children with acute ITP</w:t>
            </w:r>
            <w:r w:rsidR="00505606">
              <w:rPr>
                <w:sz w:val="20"/>
                <w:szCs w:val="20"/>
              </w:rPr>
              <w:t xml:space="preserve"> as compared to placebo.</w:t>
            </w:r>
          </w:p>
        </w:tc>
        <w:tc>
          <w:tcPr>
            <w:tcW w:w="3690" w:type="dxa"/>
          </w:tcPr>
          <w:p w14:paraId="1A82971A" w14:textId="6746DA9C" w:rsidR="004E2BAD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Bleeding </w:t>
            </w:r>
            <w:r w:rsidR="00505606">
              <w:rPr>
                <w:sz w:val="20"/>
                <w:szCs w:val="20"/>
              </w:rPr>
              <w:t>graded from 1-4 based on appearance and effect on hemoglobin. No validation reported.</w:t>
            </w:r>
          </w:p>
          <w:p w14:paraId="0689CF99" w14:textId="0E717EBB" w:rsidR="00893C81" w:rsidRPr="002E12CE" w:rsidRDefault="00893C81" w:rsidP="00A72536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3DA063B7" w14:textId="77777777" w:rsidTr="00261E32">
        <w:trPr>
          <w:cantSplit/>
          <w:trHeight w:val="1222"/>
        </w:trPr>
        <w:tc>
          <w:tcPr>
            <w:tcW w:w="1781" w:type="dxa"/>
          </w:tcPr>
          <w:p w14:paraId="34295DB6" w14:textId="0E06553F" w:rsidR="006B2EEA" w:rsidRPr="002E12CE" w:rsidRDefault="006B2EEA" w:rsidP="00A72536">
            <w:pPr>
              <w:ind w:right="182"/>
              <w:rPr>
                <w:sz w:val="20"/>
                <w:szCs w:val="20"/>
              </w:rPr>
            </w:pPr>
            <w:r w:rsidRPr="0063606B">
              <w:rPr>
                <w:sz w:val="20"/>
                <w:szCs w:val="20"/>
              </w:rPr>
              <w:lastRenderedPageBreak/>
              <w:t>Connolly et al.</w:t>
            </w:r>
            <w:r w:rsidR="00CB66B5" w:rsidRPr="00CB66B5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544" w:type="dxa"/>
          </w:tcPr>
          <w:p w14:paraId="31FCD76D" w14:textId="65968985" w:rsidR="006B2EEA" w:rsidRDefault="006B2EEA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Randomized controlled trial</w:t>
            </w:r>
          </w:p>
        </w:tc>
        <w:tc>
          <w:tcPr>
            <w:tcW w:w="1440" w:type="dxa"/>
          </w:tcPr>
          <w:p w14:paraId="4BE12EF0" w14:textId="71BFC0AA" w:rsidR="006B2EEA" w:rsidRDefault="006B2EEA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18,113</w:t>
            </w:r>
          </w:p>
        </w:tc>
        <w:tc>
          <w:tcPr>
            <w:tcW w:w="2700" w:type="dxa"/>
          </w:tcPr>
          <w:p w14:paraId="18D28BD3" w14:textId="206A122C" w:rsidR="006B2EEA" w:rsidRDefault="006B2EEA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adults with atrial fibrillation and risk of stroke (randomized to receive warfarin versus dabigatran)</w:t>
            </w:r>
          </w:p>
        </w:tc>
        <w:tc>
          <w:tcPr>
            <w:tcW w:w="2803" w:type="dxa"/>
          </w:tcPr>
          <w:p w14:paraId="54FF039E" w14:textId="77777777" w:rsidR="006B2EEA" w:rsidRDefault="00261E32" w:rsidP="00261E32">
            <w:pPr>
              <w:ind w:right="182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highlight"/>
                <w:rFonts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261E32">
              <w:rPr>
                <w:rStyle w:val="highlight"/>
                <w:rFonts w:cs="Arial"/>
                <w:color w:val="000000"/>
                <w:sz w:val="20"/>
                <w:szCs w:val="20"/>
                <w:shd w:val="clear" w:color="auto" w:fill="FFFFFF"/>
              </w:rPr>
              <w:t>abigatran</w:t>
            </w:r>
            <w:r w:rsidRPr="00261E3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(110mg) </w:t>
            </w:r>
            <w:r w:rsidRPr="00261E3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associated with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similar </w:t>
            </w:r>
            <w:r w:rsidRPr="00261E3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rates of stroke and system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ic embolism as</w:t>
            </w:r>
            <w:r w:rsidRPr="00261E3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those associated with </w:t>
            </w:r>
            <w:r w:rsidRPr="00261E32">
              <w:rPr>
                <w:rStyle w:val="highlight"/>
                <w:rFonts w:cs="Arial"/>
                <w:color w:val="000000"/>
                <w:sz w:val="20"/>
                <w:szCs w:val="20"/>
                <w:shd w:val="clear" w:color="auto" w:fill="FFFFFF"/>
              </w:rPr>
              <w:t>warfarin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and lower rates of major </w:t>
            </w:r>
            <w:r w:rsidRPr="00261E3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hemorrhage. </w:t>
            </w:r>
          </w:p>
          <w:p w14:paraId="604AE0F0" w14:textId="5FFF0210" w:rsidR="00261E32" w:rsidRPr="00261E32" w:rsidRDefault="00261E32" w:rsidP="00261E32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3A43560" w14:textId="1E582FC3" w:rsidR="006B2EEA" w:rsidRPr="001534B3" w:rsidRDefault="001534B3" w:rsidP="001534B3">
            <w:pPr>
              <w:ind w:right="182"/>
              <w:rPr>
                <w:sz w:val="20"/>
                <w:szCs w:val="20"/>
              </w:rPr>
            </w:pPr>
            <w:r w:rsidRPr="001534B3">
              <w:rPr>
                <w:sz w:val="20"/>
                <w:szCs w:val="20"/>
                <w:shd w:val="clear" w:color="auto" w:fill="FFFFFF"/>
              </w:rPr>
              <w:t>Life threatening, major bleeding and minor bleeding defined involving site, severity and need for interventions. No validation reported.</w:t>
            </w:r>
          </w:p>
        </w:tc>
      </w:tr>
      <w:tr w:rsidR="00261E32" w:rsidRPr="002E12CE" w14:paraId="5E7B1C35" w14:textId="6D4F4FC9" w:rsidTr="00261E32">
        <w:trPr>
          <w:cantSplit/>
          <w:trHeight w:val="672"/>
        </w:trPr>
        <w:tc>
          <w:tcPr>
            <w:tcW w:w="1781" w:type="dxa"/>
          </w:tcPr>
          <w:p w14:paraId="6AF95E78" w14:textId="77777777" w:rsidR="004E2BAD" w:rsidRPr="0063606B" w:rsidRDefault="004E2BAD" w:rsidP="00A72536">
            <w:pPr>
              <w:ind w:right="182"/>
              <w:rPr>
                <w:sz w:val="20"/>
                <w:szCs w:val="20"/>
              </w:rPr>
            </w:pPr>
            <w:r w:rsidRPr="0063606B">
              <w:rPr>
                <w:sz w:val="20"/>
                <w:szCs w:val="20"/>
              </w:rPr>
              <w:t xml:space="preserve">Dean et al. </w:t>
            </w:r>
          </w:p>
          <w:p w14:paraId="58A1665D" w14:textId="2400FD1F" w:rsidR="004E2BAD" w:rsidRPr="002E12CE" w:rsidRDefault="000423BF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ISTH and HSC criteria</w:t>
            </w:r>
            <w:r w:rsidR="00CB66B5" w:rsidRPr="00CB66B5">
              <w:rPr>
                <w:sz w:val="20"/>
                <w:szCs w:val="20"/>
                <w:vertAlign w:val="superscript"/>
              </w:rPr>
              <w:t>22</w:t>
            </w:r>
            <w:r w:rsidR="004E2BAD"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14:paraId="42E0E9FB" w14:textId="081E0E04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Case control </w:t>
            </w:r>
          </w:p>
        </w:tc>
        <w:tc>
          <w:tcPr>
            <w:tcW w:w="1440" w:type="dxa"/>
          </w:tcPr>
          <w:p w14:paraId="497D271D" w14:textId="102D4244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158</w:t>
            </w:r>
          </w:p>
        </w:tc>
        <w:tc>
          <w:tcPr>
            <w:tcW w:w="2700" w:type="dxa"/>
          </w:tcPr>
          <w:p w14:paraId="615250B6" w14:textId="559EB56B" w:rsidR="004E2BAD" w:rsidRPr="002E12CE" w:rsidRDefault="00893C81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children registered with Bleeding Disorders Clinic, relatives of these</w:t>
            </w:r>
            <w:r w:rsidR="00AB03EA">
              <w:rPr>
                <w:sz w:val="20"/>
                <w:szCs w:val="20"/>
              </w:rPr>
              <w:t xml:space="preserve"> children, and healthy controls</w:t>
            </w:r>
          </w:p>
        </w:tc>
        <w:tc>
          <w:tcPr>
            <w:tcW w:w="2803" w:type="dxa"/>
          </w:tcPr>
          <w:p w14:paraId="45DF0EFA" w14:textId="452C47B8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Significantly more children classified as “bleeders” using</w:t>
            </w:r>
            <w:r w:rsidR="00893C81">
              <w:rPr>
                <w:sz w:val="20"/>
                <w:szCs w:val="20"/>
              </w:rPr>
              <w:t xml:space="preserve"> the Hospital for Sick Children (HSC) criteria </w:t>
            </w:r>
          </w:p>
        </w:tc>
        <w:tc>
          <w:tcPr>
            <w:tcW w:w="3690" w:type="dxa"/>
          </w:tcPr>
          <w:p w14:paraId="12A21692" w14:textId="77777777" w:rsidR="004E2BAD" w:rsidRDefault="00893C81" w:rsidP="00893C81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criteria for significant mucocutaneous bleeding by a consensus of the ISTH and HSC. Each criteria addresses site, timing and/or required interventions. Reported inter-rate</w:t>
            </w:r>
            <w:r w:rsidR="00BE3670">
              <w:rPr>
                <w:sz w:val="20"/>
                <w:szCs w:val="20"/>
              </w:rPr>
              <w:t>r reliability for each separate list of criteria (ISTH and HSC).</w:t>
            </w:r>
          </w:p>
          <w:p w14:paraId="4C93D5BA" w14:textId="18A2E292" w:rsidR="0063606B" w:rsidRPr="002E12CE" w:rsidRDefault="0063606B" w:rsidP="00893C81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64A10BFC" w14:textId="27EE1E83" w:rsidTr="00261E32">
        <w:trPr>
          <w:cantSplit/>
          <w:trHeight w:val="512"/>
        </w:trPr>
        <w:tc>
          <w:tcPr>
            <w:tcW w:w="1781" w:type="dxa"/>
          </w:tcPr>
          <w:p w14:paraId="6C57089C" w14:textId="61F23B3C" w:rsidR="004E2BAD" w:rsidRPr="0063606B" w:rsidRDefault="004E2BAD" w:rsidP="00A72536">
            <w:pPr>
              <w:ind w:right="182"/>
              <w:rPr>
                <w:sz w:val="20"/>
                <w:szCs w:val="20"/>
              </w:rPr>
            </w:pPr>
            <w:proofErr w:type="spellStart"/>
            <w:r w:rsidRPr="0063606B">
              <w:rPr>
                <w:sz w:val="20"/>
                <w:szCs w:val="20"/>
              </w:rPr>
              <w:t>Graafsma</w:t>
            </w:r>
            <w:proofErr w:type="spellEnd"/>
            <w:r w:rsidRPr="0063606B">
              <w:rPr>
                <w:sz w:val="20"/>
                <w:szCs w:val="20"/>
              </w:rPr>
              <w:t xml:space="preserve"> et al. </w:t>
            </w:r>
          </w:p>
          <w:p w14:paraId="24C060B8" w14:textId="54FB60AF" w:rsidR="004E2BAD" w:rsidRPr="002E12CE" w:rsidRDefault="000423BF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Severity Index</w:t>
            </w:r>
            <w:r w:rsidR="00CB66B5" w:rsidRPr="00CB66B5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544" w:type="dxa"/>
          </w:tcPr>
          <w:p w14:paraId="034B2905" w14:textId="3A6779B2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Random</w:t>
            </w:r>
            <w:r w:rsidR="00C44D2B">
              <w:rPr>
                <w:sz w:val="20"/>
                <w:szCs w:val="20"/>
              </w:rPr>
              <w:t>ized</w:t>
            </w:r>
            <w:r w:rsidRPr="002E12CE">
              <w:rPr>
                <w:sz w:val="20"/>
                <w:szCs w:val="20"/>
              </w:rPr>
              <w:t xml:space="preserve"> Control</w:t>
            </w:r>
            <w:r w:rsidR="00C44D2B">
              <w:rPr>
                <w:sz w:val="20"/>
                <w:szCs w:val="20"/>
              </w:rPr>
              <w:t>led</w:t>
            </w:r>
            <w:r w:rsidRPr="002E12CE">
              <w:rPr>
                <w:sz w:val="20"/>
                <w:szCs w:val="20"/>
              </w:rPr>
              <w:t xml:space="preserve"> Trial </w:t>
            </w:r>
            <w:r w:rsidR="00C44D2B">
              <w:rPr>
                <w:sz w:val="20"/>
                <w:szCs w:val="20"/>
              </w:rPr>
              <w:t>(Tasman Trial)</w:t>
            </w:r>
          </w:p>
        </w:tc>
        <w:tc>
          <w:tcPr>
            <w:tcW w:w="1440" w:type="dxa"/>
          </w:tcPr>
          <w:p w14:paraId="757164CD" w14:textId="3EB8DB64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58</w:t>
            </w:r>
          </w:p>
        </w:tc>
        <w:tc>
          <w:tcPr>
            <w:tcW w:w="2700" w:type="dxa"/>
          </w:tcPr>
          <w:p w14:paraId="43535EDD" w14:textId="48E33419" w:rsidR="004E2BAD" w:rsidRDefault="0037024D" w:rsidP="00BB1DFF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receiving low molecular weight versus standard unfractionated heparin for initial treatment of deep venous thrombosis</w:t>
            </w:r>
          </w:p>
          <w:p w14:paraId="1A351153" w14:textId="285A58CE" w:rsidR="002903A0" w:rsidRPr="002E12CE" w:rsidRDefault="002903A0" w:rsidP="00BB1DFF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3DA3E15D" w14:textId="5230267B" w:rsidR="004E2BAD" w:rsidRPr="002E12CE" w:rsidRDefault="0037024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criteria for major bleeding are reproducible and clinically relevant but criteria for minor bleeding are not.</w:t>
            </w:r>
            <w:r w:rsidR="004E2BAD"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C61FB1C" w14:textId="77777777" w:rsidR="0037024D" w:rsidRDefault="0037024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E2BAD" w:rsidRPr="002E12CE">
              <w:rPr>
                <w:sz w:val="20"/>
                <w:szCs w:val="20"/>
              </w:rPr>
              <w:t xml:space="preserve">vents </w:t>
            </w:r>
            <w:r>
              <w:rPr>
                <w:sz w:val="20"/>
                <w:szCs w:val="20"/>
              </w:rPr>
              <w:t xml:space="preserve">classified </w:t>
            </w:r>
            <w:r w:rsidR="004E2BAD" w:rsidRPr="002E12CE">
              <w:rPr>
                <w:sz w:val="20"/>
                <w:szCs w:val="20"/>
              </w:rPr>
              <w:t>as major bleeding, minor bleeding, or no bleeding</w:t>
            </w:r>
            <w:r>
              <w:rPr>
                <w:sz w:val="20"/>
                <w:szCs w:val="20"/>
              </w:rPr>
              <w:t xml:space="preserve"> based on site, signs and need for intervention</w:t>
            </w:r>
            <w:r w:rsidR="004E2BAD" w:rsidRPr="002E12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Event then graded for severity and predicted clinical impact. Inter-rater and intra-rater reliability reported. </w:t>
            </w:r>
          </w:p>
          <w:p w14:paraId="226A573A" w14:textId="05EB50AB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 </w:t>
            </w:r>
          </w:p>
        </w:tc>
      </w:tr>
      <w:tr w:rsidR="00261E32" w:rsidRPr="002E12CE" w14:paraId="45BBE27B" w14:textId="77777777" w:rsidTr="00261E32">
        <w:trPr>
          <w:cantSplit/>
          <w:trHeight w:val="512"/>
        </w:trPr>
        <w:tc>
          <w:tcPr>
            <w:tcW w:w="1781" w:type="dxa"/>
          </w:tcPr>
          <w:p w14:paraId="6F1B1098" w14:textId="4AB8EBEC" w:rsidR="003A2B9C" w:rsidRPr="002E12CE" w:rsidRDefault="003A2B9C" w:rsidP="00A72536">
            <w:pPr>
              <w:ind w:right="182"/>
              <w:rPr>
                <w:sz w:val="20"/>
                <w:szCs w:val="20"/>
              </w:rPr>
            </w:pPr>
            <w:proofErr w:type="spellStart"/>
            <w:r w:rsidRPr="0063606B">
              <w:rPr>
                <w:sz w:val="20"/>
                <w:szCs w:val="20"/>
              </w:rPr>
              <w:t>Khellaf</w:t>
            </w:r>
            <w:proofErr w:type="spellEnd"/>
            <w:r w:rsidRPr="0063606B">
              <w:rPr>
                <w:sz w:val="20"/>
                <w:szCs w:val="20"/>
              </w:rPr>
              <w:t xml:space="preserve"> et al.</w:t>
            </w:r>
            <w:r w:rsidR="00CB66B5" w:rsidRPr="00CB66B5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544" w:type="dxa"/>
          </w:tcPr>
          <w:p w14:paraId="7C58783F" w14:textId="2FF0F051" w:rsidR="003A2B9C" w:rsidRPr="002E12CE" w:rsidRDefault="003A2B9C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Cohort</w:t>
            </w:r>
          </w:p>
        </w:tc>
        <w:tc>
          <w:tcPr>
            <w:tcW w:w="1440" w:type="dxa"/>
          </w:tcPr>
          <w:p w14:paraId="690A11C7" w14:textId="49402087" w:rsidR="003A2B9C" w:rsidRPr="002E12CE" w:rsidRDefault="003A2B9C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00" w:type="dxa"/>
          </w:tcPr>
          <w:p w14:paraId="4258FA1A" w14:textId="430D0A64" w:rsidR="003A2B9C" w:rsidRPr="002E12CE" w:rsidRDefault="002903A0" w:rsidP="00BB1DFF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(ages 16 years and older) admitted with ITP</w:t>
            </w:r>
          </w:p>
        </w:tc>
        <w:tc>
          <w:tcPr>
            <w:tcW w:w="2803" w:type="dxa"/>
          </w:tcPr>
          <w:p w14:paraId="6A7F861E" w14:textId="0431BB85" w:rsidR="003A2B9C" w:rsidRPr="002E12CE" w:rsidRDefault="002903A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Therapeutic interventions based on bleeding score, rather than platelet count, was safe and spared exposure of patients to </w:t>
            </w:r>
            <w:proofErr w:type="spellStart"/>
            <w:r>
              <w:rPr>
                <w:sz w:val="20"/>
                <w:szCs w:val="20"/>
              </w:rPr>
              <w:t>IVIg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59E072D4" w14:textId="608D3BC8" w:rsidR="003A2B9C" w:rsidRDefault="002903A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 based on seven domains (one age-related and remainder based on site of bleeding) and assigned number based on severity within each domain. </w:t>
            </w:r>
            <w:r w:rsidR="00DB7BF1">
              <w:rPr>
                <w:sz w:val="20"/>
                <w:szCs w:val="20"/>
              </w:rPr>
              <w:t xml:space="preserve">Includes hemoglobin as physiologic variable. </w:t>
            </w:r>
            <w:r>
              <w:rPr>
                <w:sz w:val="20"/>
                <w:szCs w:val="20"/>
              </w:rPr>
              <w:t>No validation provided.</w:t>
            </w:r>
          </w:p>
          <w:p w14:paraId="39492276" w14:textId="4C7971D0" w:rsidR="0063606B" w:rsidRPr="002E12CE" w:rsidRDefault="0063606B" w:rsidP="00A72536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2E0CA08C" w14:textId="31DAA1D4" w:rsidTr="00261E32">
        <w:trPr>
          <w:cantSplit/>
          <w:trHeight w:val="477"/>
        </w:trPr>
        <w:tc>
          <w:tcPr>
            <w:tcW w:w="1781" w:type="dxa"/>
          </w:tcPr>
          <w:p w14:paraId="1CD34BF7" w14:textId="333F881D" w:rsidR="004E2BAD" w:rsidRPr="0063606B" w:rsidRDefault="004E2BAD" w:rsidP="00A72536">
            <w:pPr>
              <w:ind w:right="182"/>
              <w:rPr>
                <w:sz w:val="20"/>
                <w:szCs w:val="20"/>
              </w:rPr>
            </w:pPr>
            <w:r w:rsidRPr="0063606B">
              <w:rPr>
                <w:sz w:val="20"/>
                <w:szCs w:val="20"/>
              </w:rPr>
              <w:t>Lacey et al.</w:t>
            </w:r>
            <w:r w:rsidR="00CB66B5" w:rsidRPr="00CB66B5">
              <w:rPr>
                <w:sz w:val="20"/>
                <w:szCs w:val="20"/>
                <w:vertAlign w:val="superscript"/>
              </w:rPr>
              <w:t>19</w:t>
            </w:r>
            <w:r w:rsidRPr="0063606B">
              <w:rPr>
                <w:sz w:val="20"/>
                <w:szCs w:val="20"/>
              </w:rPr>
              <w:t xml:space="preserve"> </w:t>
            </w:r>
          </w:p>
          <w:p w14:paraId="2B2E6D88" w14:textId="77777777" w:rsidR="004E2BAD" w:rsidRPr="0063606B" w:rsidRDefault="004E2BAD" w:rsidP="002903A0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F2CC676" w14:textId="396CC96D" w:rsidR="004E2BAD" w:rsidRPr="002E12CE" w:rsidRDefault="00161509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Cohort</w:t>
            </w:r>
            <w:r w:rsidR="004E2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3C65E5A" w14:textId="5674F99E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00" w:type="dxa"/>
          </w:tcPr>
          <w:p w14:paraId="6098FC3C" w14:textId="23C1209E" w:rsidR="004E2BAD" w:rsidRDefault="002903A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Adults </w:t>
            </w:r>
            <w:r w:rsidR="004E2BAD">
              <w:rPr>
                <w:sz w:val="20"/>
                <w:szCs w:val="20"/>
              </w:rPr>
              <w:t xml:space="preserve">with thrombocytopenia of various etiologies </w:t>
            </w:r>
          </w:p>
          <w:p w14:paraId="4C1E9975" w14:textId="7777777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478AC45B" w14:textId="02AEA1C6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major bleeding is minimal with platelet count &gt; 10,000</w:t>
            </w:r>
          </w:p>
        </w:tc>
        <w:tc>
          <w:tcPr>
            <w:tcW w:w="3690" w:type="dxa"/>
          </w:tcPr>
          <w:p w14:paraId="1BF3E517" w14:textId="1D7249F2" w:rsidR="004E2BAD" w:rsidRDefault="00CC2FE7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scored as 0-4 with little detail. No validation reported.</w:t>
            </w:r>
          </w:p>
          <w:p w14:paraId="7918233C" w14:textId="66D6CAE5" w:rsidR="009741B4" w:rsidRPr="002E12CE" w:rsidRDefault="009741B4" w:rsidP="00A72536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3FA47607" w14:textId="77777777" w:rsidTr="00261E32">
        <w:trPr>
          <w:cantSplit/>
          <w:trHeight w:val="477"/>
        </w:trPr>
        <w:tc>
          <w:tcPr>
            <w:tcW w:w="1781" w:type="dxa"/>
          </w:tcPr>
          <w:p w14:paraId="477AEF0F" w14:textId="27559009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Medeiros et al.</w:t>
            </w:r>
            <w:r w:rsidR="00CB66B5" w:rsidRPr="00CB66B5">
              <w:rPr>
                <w:sz w:val="20"/>
                <w:szCs w:val="20"/>
                <w:vertAlign w:val="superscript"/>
              </w:rPr>
              <w:t>25</w:t>
            </w:r>
            <w:r w:rsidRPr="002E12CE">
              <w:rPr>
                <w:sz w:val="20"/>
                <w:szCs w:val="20"/>
              </w:rPr>
              <w:t xml:space="preserve"> </w:t>
            </w:r>
          </w:p>
          <w:p w14:paraId="246FFCCA" w14:textId="77777777" w:rsidR="004E2BAD" w:rsidRPr="002E12CE" w:rsidRDefault="004E2BAD" w:rsidP="0063606B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7741878E" w14:textId="51777954" w:rsidR="004E2BAD" w:rsidRPr="002E12CE" w:rsidRDefault="0063606B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Retrospective Cohort</w:t>
            </w:r>
          </w:p>
        </w:tc>
        <w:tc>
          <w:tcPr>
            <w:tcW w:w="1440" w:type="dxa"/>
          </w:tcPr>
          <w:p w14:paraId="27FA38F1" w14:textId="00B1BC6F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332</w:t>
            </w:r>
          </w:p>
        </w:tc>
        <w:tc>
          <w:tcPr>
            <w:tcW w:w="2700" w:type="dxa"/>
          </w:tcPr>
          <w:p w14:paraId="45672DD2" w14:textId="5A27654E" w:rsidR="004E2BAD" w:rsidRPr="002E12CE" w:rsidRDefault="0063606B" w:rsidP="0063606B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="004E2BAD" w:rsidRPr="002E12CE">
              <w:rPr>
                <w:sz w:val="20"/>
                <w:szCs w:val="20"/>
              </w:rPr>
              <w:t xml:space="preserve"> with ITP </w:t>
            </w:r>
          </w:p>
        </w:tc>
        <w:tc>
          <w:tcPr>
            <w:tcW w:w="2803" w:type="dxa"/>
          </w:tcPr>
          <w:p w14:paraId="4DF1675F" w14:textId="6F766F64" w:rsidR="004E2BAD" w:rsidRPr="002E12CE" w:rsidRDefault="004E2BAD" w:rsidP="00F94542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17% of children with ITP had major hemorrhage</w:t>
            </w:r>
            <w:r w:rsidR="0063606B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615EBDAC" w14:textId="64C7A3B6" w:rsidR="004E2BAD" w:rsidRDefault="0063606B" w:rsidP="0063606B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defined as major based on site, intervention or effect on hemoglobin. No validation reported.</w:t>
            </w:r>
          </w:p>
          <w:p w14:paraId="41178DB7" w14:textId="2D9C5467" w:rsidR="0063606B" w:rsidRPr="002E12CE" w:rsidRDefault="0063606B" w:rsidP="0063606B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63EF2821" w14:textId="341503F4" w:rsidTr="00261E32">
        <w:trPr>
          <w:cantSplit/>
          <w:trHeight w:val="477"/>
        </w:trPr>
        <w:tc>
          <w:tcPr>
            <w:tcW w:w="1781" w:type="dxa"/>
          </w:tcPr>
          <w:p w14:paraId="5537E2C3" w14:textId="18837866" w:rsidR="004E2BAD" w:rsidRPr="0063606B" w:rsidRDefault="004E2BAD" w:rsidP="00A72536">
            <w:pPr>
              <w:ind w:right="182"/>
              <w:rPr>
                <w:sz w:val="20"/>
                <w:szCs w:val="20"/>
              </w:rPr>
            </w:pPr>
            <w:proofErr w:type="spellStart"/>
            <w:r w:rsidRPr="0063606B">
              <w:rPr>
                <w:sz w:val="20"/>
                <w:szCs w:val="20"/>
              </w:rPr>
              <w:lastRenderedPageBreak/>
              <w:t>Nevo</w:t>
            </w:r>
            <w:proofErr w:type="spellEnd"/>
            <w:r w:rsidRPr="0063606B">
              <w:rPr>
                <w:sz w:val="20"/>
                <w:szCs w:val="20"/>
              </w:rPr>
              <w:t xml:space="preserve"> et al.</w:t>
            </w:r>
            <w:r w:rsidR="00CB66B5" w:rsidRPr="00CB66B5">
              <w:rPr>
                <w:sz w:val="20"/>
                <w:szCs w:val="20"/>
                <w:vertAlign w:val="superscript"/>
              </w:rPr>
              <w:t>5</w:t>
            </w:r>
          </w:p>
          <w:p w14:paraId="24CEE477" w14:textId="02F382A2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01F737C" w14:textId="711C66C4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Prospective Cohort</w:t>
            </w:r>
          </w:p>
        </w:tc>
        <w:tc>
          <w:tcPr>
            <w:tcW w:w="1440" w:type="dxa"/>
          </w:tcPr>
          <w:p w14:paraId="419E361C" w14:textId="288B57CE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1,402</w:t>
            </w:r>
          </w:p>
        </w:tc>
        <w:tc>
          <w:tcPr>
            <w:tcW w:w="2700" w:type="dxa"/>
          </w:tcPr>
          <w:p w14:paraId="6D8EB6BF" w14:textId="4245BA9F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294 pediatric patients, 1,108 adult pati</w:t>
            </w:r>
            <w:r w:rsidR="00122C1D">
              <w:rPr>
                <w:sz w:val="20"/>
                <w:szCs w:val="20"/>
              </w:rPr>
              <w:t>ents admitted to the hospital for</w:t>
            </w:r>
            <w:r w:rsidR="00D53D8C">
              <w:rPr>
                <w:sz w:val="20"/>
                <w:szCs w:val="20"/>
              </w:rPr>
              <w:t xml:space="preserve"> BMT (1986-1995)</w:t>
            </w:r>
            <w:r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</w:tcPr>
          <w:p w14:paraId="073DCFE9" w14:textId="46EFE0A8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Bleeding was associated with reduced survival in BMT</w:t>
            </w:r>
            <w:r w:rsidR="00122C1D">
              <w:rPr>
                <w:sz w:val="20"/>
                <w:szCs w:val="20"/>
              </w:rPr>
              <w:t xml:space="preserve"> and bleeding intensity correlated with survival estimates</w:t>
            </w:r>
          </w:p>
        </w:tc>
        <w:tc>
          <w:tcPr>
            <w:tcW w:w="3690" w:type="dxa"/>
          </w:tcPr>
          <w:p w14:paraId="268163B1" w14:textId="64181573" w:rsidR="004E2BAD" w:rsidRDefault="00D53D8C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Severity of bleeding graded on a 5-point scale and also listed according to site. Assignment of moderate and severe scores reviewed by second evaluator and concordance reported. </w:t>
            </w:r>
            <w:r w:rsidR="00122C1D">
              <w:rPr>
                <w:sz w:val="20"/>
                <w:szCs w:val="20"/>
              </w:rPr>
              <w:t>Scoring criteria did not differ between children and adults.</w:t>
            </w:r>
            <w:r w:rsidR="0063606B">
              <w:rPr>
                <w:sz w:val="20"/>
                <w:szCs w:val="20"/>
              </w:rPr>
              <w:t xml:space="preserve"> No validation reported.</w:t>
            </w:r>
          </w:p>
          <w:p w14:paraId="505B91A4" w14:textId="7B8A6299" w:rsidR="00E87B90" w:rsidRPr="002E12CE" w:rsidRDefault="00E87B90" w:rsidP="00A72536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59B54A50" w14:textId="74463738" w:rsidTr="00261E32">
        <w:trPr>
          <w:cantSplit/>
          <w:trHeight w:val="1467"/>
        </w:trPr>
        <w:tc>
          <w:tcPr>
            <w:tcW w:w="1781" w:type="dxa"/>
          </w:tcPr>
          <w:p w14:paraId="68E354E0" w14:textId="06AE8D57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63606B">
              <w:rPr>
                <w:sz w:val="20"/>
                <w:szCs w:val="20"/>
              </w:rPr>
              <w:t>NCI Toxicity Criteria</w:t>
            </w:r>
            <w:r w:rsidR="00CB66B5" w:rsidRPr="00CB66B5">
              <w:rPr>
                <w:sz w:val="20"/>
                <w:szCs w:val="20"/>
                <w:vertAlign w:val="superscript"/>
              </w:rPr>
              <w:t>8</w:t>
            </w:r>
            <w:r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14:paraId="743BFBE0" w14:textId="7F589FC2" w:rsidR="004E2BAD" w:rsidRPr="002E12CE" w:rsidRDefault="00E87B90" w:rsidP="00E87B90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Consensus S</w:t>
            </w:r>
            <w:r w:rsidR="004E2BAD" w:rsidRPr="002E12CE">
              <w:rPr>
                <w:sz w:val="20"/>
                <w:szCs w:val="20"/>
              </w:rPr>
              <w:t xml:space="preserve">tatement </w:t>
            </w:r>
          </w:p>
        </w:tc>
        <w:tc>
          <w:tcPr>
            <w:tcW w:w="1440" w:type="dxa"/>
          </w:tcPr>
          <w:p w14:paraId="3C3AACCC" w14:textId="05F5D89B" w:rsidR="004E2BAD" w:rsidRPr="002E12CE" w:rsidRDefault="00E87B9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</w:tcPr>
          <w:p w14:paraId="3203E1A8" w14:textId="438360FD" w:rsidR="004E2BAD" w:rsidRPr="002E12CE" w:rsidRDefault="00E87B9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803" w:type="dxa"/>
          </w:tcPr>
          <w:p w14:paraId="51E404A3" w14:textId="222CA9F8" w:rsidR="004E2BAD" w:rsidRPr="002E12CE" w:rsidRDefault="00E87B90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3690" w:type="dxa"/>
          </w:tcPr>
          <w:p w14:paraId="1B5652DB" w14:textId="381A4D66" w:rsidR="004E2BAD" w:rsidRPr="002E12CE" w:rsidRDefault="00E87B90" w:rsidP="0063606B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Grades severity of </w:t>
            </w:r>
            <w:r w:rsidR="009741B4">
              <w:rPr>
                <w:sz w:val="20"/>
                <w:szCs w:val="20"/>
              </w:rPr>
              <w:t xml:space="preserve">bleeding on scale of 0-4 with </w:t>
            </w:r>
            <w:r w:rsidR="0063606B">
              <w:rPr>
                <w:sz w:val="20"/>
                <w:szCs w:val="20"/>
              </w:rPr>
              <w:t>little detail. No validation reported.</w:t>
            </w:r>
          </w:p>
        </w:tc>
      </w:tr>
      <w:tr w:rsidR="00261E32" w:rsidRPr="002E12CE" w14:paraId="25DAC1DC" w14:textId="46733286" w:rsidTr="00261E32">
        <w:trPr>
          <w:cantSplit/>
          <w:trHeight w:val="477"/>
        </w:trPr>
        <w:tc>
          <w:tcPr>
            <w:tcW w:w="1781" w:type="dxa"/>
          </w:tcPr>
          <w:p w14:paraId="400B4D81" w14:textId="0CA92DED" w:rsidR="004E2BAD" w:rsidRPr="00CC2FE7" w:rsidRDefault="004E2BAD" w:rsidP="00A72536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 xml:space="preserve">Page et al. </w:t>
            </w:r>
          </w:p>
          <w:p w14:paraId="1AF0C617" w14:textId="7171037E" w:rsidR="004E2BAD" w:rsidRPr="002E12CE" w:rsidRDefault="00161509" w:rsidP="00A72536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>ITP Bleeding Score</w:t>
            </w:r>
            <w:r w:rsidR="00CB66B5" w:rsidRPr="00CB66B5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44" w:type="dxa"/>
          </w:tcPr>
          <w:p w14:paraId="21EC30D5" w14:textId="2E50FF9B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Prospective Cohort </w:t>
            </w:r>
          </w:p>
        </w:tc>
        <w:tc>
          <w:tcPr>
            <w:tcW w:w="1440" w:type="dxa"/>
          </w:tcPr>
          <w:p w14:paraId="7D1A1200" w14:textId="06453E0A" w:rsidR="004E2BAD" w:rsidRPr="002E12CE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65</w:t>
            </w:r>
          </w:p>
        </w:tc>
        <w:tc>
          <w:tcPr>
            <w:tcW w:w="2700" w:type="dxa"/>
          </w:tcPr>
          <w:p w14:paraId="6C3173CC" w14:textId="57478775" w:rsidR="004E2BAD" w:rsidRPr="002E12CE" w:rsidRDefault="00161509" w:rsidP="00A72536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</w:t>
            </w:r>
            <w:r w:rsidR="004E2BAD" w:rsidRPr="002E12CE">
              <w:rPr>
                <w:sz w:val="20"/>
                <w:szCs w:val="20"/>
              </w:rPr>
              <w:t>patients with</w:t>
            </w:r>
            <w:r>
              <w:rPr>
                <w:sz w:val="20"/>
                <w:szCs w:val="20"/>
              </w:rPr>
              <w:t xml:space="preserve"> ITP</w:t>
            </w:r>
            <w:r w:rsidR="004E2BAD" w:rsidRPr="002E12CE">
              <w:rPr>
                <w:sz w:val="20"/>
                <w:szCs w:val="20"/>
              </w:rPr>
              <w:t>. Primarily adults with chronic ITP but did in</w:t>
            </w:r>
            <w:r w:rsidR="0063606B">
              <w:rPr>
                <w:sz w:val="20"/>
                <w:szCs w:val="20"/>
              </w:rPr>
              <w:t xml:space="preserve">clude 20 patients &lt; 18 </w:t>
            </w:r>
            <w:proofErr w:type="spellStart"/>
            <w:r w:rsidR="0063606B">
              <w:rPr>
                <w:sz w:val="20"/>
                <w:szCs w:val="20"/>
              </w:rPr>
              <w:t>yrs</w:t>
            </w:r>
            <w:proofErr w:type="spellEnd"/>
            <w:r w:rsidR="0063606B">
              <w:rPr>
                <w:sz w:val="20"/>
                <w:szCs w:val="20"/>
              </w:rPr>
              <w:t xml:space="preserve"> old</w:t>
            </w:r>
          </w:p>
        </w:tc>
        <w:tc>
          <w:tcPr>
            <w:tcW w:w="2803" w:type="dxa"/>
          </w:tcPr>
          <w:p w14:paraId="4D345424" w14:textId="6EEA6D20" w:rsidR="004E2BAD" w:rsidRDefault="004E2BAD" w:rsidP="00226E8F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ITP bleeding score useful for monitoring bleeding in ITP patients. </w:t>
            </w:r>
          </w:p>
          <w:p w14:paraId="1F135A47" w14:textId="384FAB3B" w:rsidR="00656633" w:rsidRPr="002E12CE" w:rsidRDefault="00656633" w:rsidP="00226E8F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3E3AB982" w14:textId="77777777" w:rsidR="004E2BAD" w:rsidRDefault="004E2BAD" w:rsidP="00A72536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11 site specific grades, </w:t>
            </w:r>
            <w:r w:rsidR="00161509">
              <w:rPr>
                <w:sz w:val="20"/>
                <w:szCs w:val="20"/>
              </w:rPr>
              <w:t xml:space="preserve">the severity of </w:t>
            </w:r>
            <w:r w:rsidRPr="002E12CE">
              <w:rPr>
                <w:sz w:val="20"/>
                <w:szCs w:val="20"/>
              </w:rPr>
              <w:t>each site rated</w:t>
            </w:r>
            <w:r>
              <w:rPr>
                <w:sz w:val="20"/>
                <w:szCs w:val="20"/>
              </w:rPr>
              <w:t xml:space="preserve"> </w:t>
            </w:r>
            <w:r w:rsidRPr="002E12CE">
              <w:rPr>
                <w:sz w:val="20"/>
                <w:szCs w:val="20"/>
              </w:rPr>
              <w:t xml:space="preserve">on a scale from 0-2. </w:t>
            </w:r>
            <w:r w:rsidR="00072E02">
              <w:rPr>
                <w:sz w:val="20"/>
                <w:szCs w:val="20"/>
              </w:rPr>
              <w:t>Inter-rater reliability reported for each anatomic site.</w:t>
            </w:r>
          </w:p>
          <w:p w14:paraId="3050C678" w14:textId="3719AC0E" w:rsidR="00072E02" w:rsidRPr="002E12CE" w:rsidRDefault="00072E02" w:rsidP="00A72536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311926CC" w14:textId="68CE9ED5" w:rsidTr="00261E32">
        <w:trPr>
          <w:cantSplit/>
          <w:trHeight w:val="515"/>
        </w:trPr>
        <w:tc>
          <w:tcPr>
            <w:tcW w:w="1781" w:type="dxa"/>
          </w:tcPr>
          <w:p w14:paraId="6072612C" w14:textId="179FDE27" w:rsidR="004E2BAD" w:rsidRPr="00CC2FE7" w:rsidRDefault="004E2BAD" w:rsidP="00E84438">
            <w:pPr>
              <w:ind w:right="182"/>
              <w:rPr>
                <w:sz w:val="20"/>
                <w:szCs w:val="20"/>
              </w:rPr>
            </w:pPr>
            <w:proofErr w:type="spellStart"/>
            <w:r w:rsidRPr="00CC2FE7">
              <w:rPr>
                <w:sz w:val="20"/>
                <w:szCs w:val="20"/>
              </w:rPr>
              <w:t>Rebulla</w:t>
            </w:r>
            <w:proofErr w:type="spellEnd"/>
            <w:r w:rsidRPr="00CC2FE7">
              <w:rPr>
                <w:sz w:val="20"/>
                <w:szCs w:val="20"/>
              </w:rPr>
              <w:t xml:space="preserve"> et al.</w:t>
            </w:r>
            <w:r w:rsidR="00CB66B5" w:rsidRPr="00CB66B5">
              <w:rPr>
                <w:sz w:val="20"/>
                <w:szCs w:val="20"/>
                <w:vertAlign w:val="superscript"/>
              </w:rPr>
              <w:t>15</w:t>
            </w:r>
          </w:p>
          <w:p w14:paraId="4062F1DE" w14:textId="62E71ED8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EE5A917" w14:textId="37F23D25" w:rsidR="004E2BAD" w:rsidRPr="002E12CE" w:rsidRDefault="000423BF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E2BAD" w:rsidRPr="002E12CE">
              <w:rPr>
                <w:sz w:val="20"/>
                <w:szCs w:val="20"/>
              </w:rPr>
              <w:t>andomized clinical trial</w:t>
            </w:r>
            <w:r w:rsidR="009F081C">
              <w:rPr>
                <w:sz w:val="20"/>
                <w:szCs w:val="20"/>
              </w:rPr>
              <w:t xml:space="preserve"> (Platelet Transfusion Trigger Trial)</w:t>
            </w:r>
            <w:r w:rsidR="004E2BAD"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B94B039" w14:textId="336F4DCD" w:rsidR="004E2BAD" w:rsidRPr="002E12CE" w:rsidRDefault="009F081C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700" w:type="dxa"/>
          </w:tcPr>
          <w:p w14:paraId="6E248A90" w14:textId="77777777" w:rsidR="004E2BAD" w:rsidRDefault="004E2BAD" w:rsidP="002207AE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Adolescents and adults age 16 </w:t>
            </w:r>
            <w:proofErr w:type="spellStart"/>
            <w:r w:rsidRPr="002E12CE">
              <w:rPr>
                <w:sz w:val="20"/>
                <w:szCs w:val="20"/>
              </w:rPr>
              <w:t>yr</w:t>
            </w:r>
            <w:proofErr w:type="spellEnd"/>
            <w:r w:rsidRPr="002E12CE">
              <w:rPr>
                <w:sz w:val="20"/>
                <w:szCs w:val="20"/>
              </w:rPr>
              <w:t xml:space="preserve"> to 70 </w:t>
            </w:r>
            <w:proofErr w:type="spellStart"/>
            <w:r w:rsidRPr="002E12CE">
              <w:rPr>
                <w:sz w:val="20"/>
                <w:szCs w:val="20"/>
              </w:rPr>
              <w:t>yrs</w:t>
            </w:r>
            <w:proofErr w:type="spellEnd"/>
            <w:r w:rsidRPr="002E12CE">
              <w:rPr>
                <w:sz w:val="20"/>
                <w:szCs w:val="20"/>
              </w:rPr>
              <w:t xml:space="preserve"> (median age= 51) with acute myeloid leukemia</w:t>
            </w:r>
            <w:r w:rsidR="00656633">
              <w:rPr>
                <w:sz w:val="20"/>
                <w:szCs w:val="20"/>
              </w:rPr>
              <w:t xml:space="preserve"> admitted to the hospital for induction chemotherapy</w:t>
            </w:r>
          </w:p>
          <w:p w14:paraId="52393E84" w14:textId="7669A037" w:rsidR="0063606B" w:rsidRPr="002E12CE" w:rsidRDefault="0063606B" w:rsidP="002207AE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457EC4E6" w14:textId="27ACA4B9" w:rsidR="004E2BAD" w:rsidRPr="002E12CE" w:rsidRDefault="004E2BAD" w:rsidP="002207AE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Risk of major bleeding in induction chemotherapy  is similar with </w:t>
            </w:r>
            <w:r w:rsidR="00656633">
              <w:rPr>
                <w:sz w:val="20"/>
                <w:szCs w:val="20"/>
              </w:rPr>
              <w:t>platelet transfusion thresholds of either &gt;10 or &gt;20</w:t>
            </w:r>
            <w:r w:rsidRPr="002E12CE">
              <w:rPr>
                <w:sz w:val="20"/>
                <w:szCs w:val="20"/>
              </w:rPr>
              <w:t xml:space="preserve"> </w:t>
            </w:r>
            <w:r w:rsidR="00656633">
              <w:rPr>
                <w:sz w:val="20"/>
                <w:szCs w:val="20"/>
              </w:rPr>
              <w:t>x10</w:t>
            </w:r>
            <w:r w:rsidR="00656633" w:rsidRPr="00656633">
              <w:rPr>
                <w:sz w:val="20"/>
                <w:szCs w:val="20"/>
                <w:vertAlign w:val="superscript"/>
              </w:rPr>
              <w:t>9</w:t>
            </w:r>
            <w:r w:rsidR="00656633">
              <w:rPr>
                <w:sz w:val="20"/>
                <w:szCs w:val="20"/>
              </w:rPr>
              <w:t xml:space="preserve"> cells/L</w:t>
            </w:r>
          </w:p>
          <w:p w14:paraId="62C79879" w14:textId="7373B189" w:rsidR="004E2BAD" w:rsidRPr="002E12CE" w:rsidRDefault="004E2BAD" w:rsidP="002207AE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3D9AEF0" w14:textId="06EADD9C" w:rsidR="004E2BAD" w:rsidRPr="002E12CE" w:rsidRDefault="00D53D8C" w:rsidP="00656633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Severity of bleeding</w:t>
            </w:r>
            <w:r w:rsidR="004E2BAD" w:rsidRPr="002E12CE">
              <w:rPr>
                <w:sz w:val="20"/>
                <w:szCs w:val="20"/>
              </w:rPr>
              <w:t xml:space="preserve"> graded on an 8-point scale. </w:t>
            </w:r>
            <w:r w:rsidR="00656633">
              <w:rPr>
                <w:sz w:val="20"/>
                <w:szCs w:val="20"/>
              </w:rPr>
              <w:t>No validation provided.</w:t>
            </w:r>
          </w:p>
        </w:tc>
      </w:tr>
      <w:tr w:rsidR="00261E32" w:rsidRPr="002E12CE" w14:paraId="5CD2E31E" w14:textId="77777777" w:rsidTr="00261E32">
        <w:trPr>
          <w:cantSplit/>
          <w:trHeight w:val="558"/>
        </w:trPr>
        <w:tc>
          <w:tcPr>
            <w:tcW w:w="1781" w:type="dxa"/>
          </w:tcPr>
          <w:p w14:paraId="215FF0B5" w14:textId="6B1A4EDD" w:rsidR="004E2BAD" w:rsidRPr="00CC2FE7" w:rsidRDefault="004E2BAD" w:rsidP="00E84438">
            <w:pPr>
              <w:ind w:right="182"/>
              <w:rPr>
                <w:sz w:val="20"/>
                <w:szCs w:val="20"/>
              </w:rPr>
            </w:pPr>
            <w:proofErr w:type="spellStart"/>
            <w:r w:rsidRPr="00CC2FE7">
              <w:rPr>
                <w:sz w:val="20"/>
                <w:szCs w:val="20"/>
              </w:rPr>
              <w:t>Rodeghiero</w:t>
            </w:r>
            <w:proofErr w:type="spellEnd"/>
            <w:r w:rsidRPr="00CC2FE7">
              <w:rPr>
                <w:sz w:val="20"/>
                <w:szCs w:val="20"/>
              </w:rPr>
              <w:t xml:space="preserve"> et al.</w:t>
            </w:r>
            <w:r w:rsidR="00CB66B5" w:rsidRPr="00CB66B5">
              <w:rPr>
                <w:sz w:val="20"/>
                <w:szCs w:val="20"/>
                <w:vertAlign w:val="superscript"/>
              </w:rPr>
              <w:t>23</w:t>
            </w:r>
          </w:p>
          <w:p w14:paraId="66227058" w14:textId="77777777" w:rsidR="004E2BAD" w:rsidRPr="002E12CE" w:rsidRDefault="004E2BAD" w:rsidP="005B058B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523CDB9A" w14:textId="338A2B08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Case Control </w:t>
            </w:r>
          </w:p>
        </w:tc>
        <w:tc>
          <w:tcPr>
            <w:tcW w:w="1440" w:type="dxa"/>
          </w:tcPr>
          <w:p w14:paraId="03C1718D" w14:textId="42CF8B80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341</w:t>
            </w:r>
          </w:p>
        </w:tc>
        <w:tc>
          <w:tcPr>
            <w:tcW w:w="2700" w:type="dxa"/>
          </w:tcPr>
          <w:p w14:paraId="71706177" w14:textId="77777777" w:rsidR="004E2BAD" w:rsidRDefault="0010538B" w:rsidP="002207AE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Outpatient adults and children who had von Willebrand disease, were obliga</w:t>
            </w:r>
            <w:r w:rsidR="00240C84">
              <w:rPr>
                <w:sz w:val="20"/>
                <w:szCs w:val="20"/>
              </w:rPr>
              <w:t>te carriers or healthy controls</w:t>
            </w:r>
          </w:p>
          <w:p w14:paraId="2F2DD017" w14:textId="338E3412" w:rsidR="00240C84" w:rsidRPr="002E12CE" w:rsidRDefault="00240C84" w:rsidP="002207AE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56090C72" w14:textId="2EAF0C90" w:rsidR="004E2BAD" w:rsidRDefault="00BA4362" w:rsidP="002207AE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E2BAD" w:rsidRPr="002E12CE">
              <w:rPr>
                <w:sz w:val="20"/>
                <w:szCs w:val="20"/>
              </w:rPr>
              <w:t>t leas</w:t>
            </w:r>
            <w:r>
              <w:rPr>
                <w:sz w:val="20"/>
                <w:szCs w:val="20"/>
              </w:rPr>
              <w:t>t 3 hemorrhagic symptoms can</w:t>
            </w:r>
            <w:r w:rsidR="004E2BAD" w:rsidRPr="002E12CE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istinguish VWD obligate carriers</w:t>
            </w:r>
            <w:r w:rsidR="004E2BAD" w:rsidRPr="002E12CE">
              <w:rPr>
                <w:sz w:val="20"/>
                <w:szCs w:val="20"/>
              </w:rPr>
              <w:t xml:space="preserve"> and controls</w:t>
            </w:r>
            <w:r>
              <w:rPr>
                <w:sz w:val="20"/>
                <w:szCs w:val="20"/>
              </w:rPr>
              <w:t>.</w:t>
            </w:r>
            <w:r w:rsidR="004E2BAD" w:rsidRPr="002E12CE">
              <w:rPr>
                <w:sz w:val="20"/>
                <w:szCs w:val="20"/>
              </w:rPr>
              <w:t xml:space="preserve"> </w:t>
            </w:r>
          </w:p>
          <w:p w14:paraId="6965B51C" w14:textId="0CA4011E" w:rsidR="004E2BAD" w:rsidRPr="002E12CE" w:rsidRDefault="004E2BAD" w:rsidP="002207AE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DE1DC71" w14:textId="17BB7070" w:rsidR="004E2BAD" w:rsidRPr="002E12CE" w:rsidRDefault="00BA4362" w:rsidP="00BA4362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10 different symptoms</w:t>
            </w:r>
            <w:r w:rsidR="004E2BAD" w:rsidRPr="002E12CE">
              <w:rPr>
                <w:sz w:val="20"/>
                <w:szCs w:val="20"/>
              </w:rPr>
              <w:t xml:space="preserve"> of bleeding, with the severity of each</w:t>
            </w:r>
            <w:r>
              <w:rPr>
                <w:sz w:val="20"/>
                <w:szCs w:val="20"/>
              </w:rPr>
              <w:t xml:space="preserve"> scored from 0-3.</w:t>
            </w:r>
            <w:r w:rsidR="00161509">
              <w:rPr>
                <w:sz w:val="20"/>
                <w:szCs w:val="20"/>
              </w:rPr>
              <w:t xml:space="preserve"> No validation provided.</w:t>
            </w:r>
          </w:p>
        </w:tc>
      </w:tr>
      <w:tr w:rsidR="0024583C" w:rsidRPr="002E12CE" w14:paraId="711E3279" w14:textId="77777777" w:rsidTr="00261E32">
        <w:trPr>
          <w:cantSplit/>
          <w:trHeight w:val="558"/>
        </w:trPr>
        <w:tc>
          <w:tcPr>
            <w:tcW w:w="1781" w:type="dxa"/>
          </w:tcPr>
          <w:p w14:paraId="6A70AC69" w14:textId="6B50662D" w:rsidR="0024583C" w:rsidRPr="00CC2FE7" w:rsidRDefault="0024583C" w:rsidP="00E84438">
            <w:pPr>
              <w:ind w:right="1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Slichter</w:t>
            </w:r>
            <w:proofErr w:type="spellEnd"/>
            <w:r>
              <w:rPr>
                <w:sz w:val="20"/>
                <w:szCs w:val="20"/>
              </w:rPr>
              <w:t xml:space="preserve"> et al.</w:t>
            </w:r>
            <w:r w:rsidR="00CB66B5" w:rsidRPr="00CB66B5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544" w:type="dxa"/>
          </w:tcPr>
          <w:p w14:paraId="0D70E45F" w14:textId="77777777" w:rsidR="0024583C" w:rsidRDefault="0024583C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Randomized Controlled Trial (PLADO)</w:t>
            </w:r>
          </w:p>
          <w:p w14:paraId="7F933964" w14:textId="7C9223B5" w:rsidR="0024583C" w:rsidRPr="002E12CE" w:rsidRDefault="0024583C" w:rsidP="00E84438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E0DBE31" w14:textId="3EF5CFAD" w:rsidR="0024583C" w:rsidRPr="002E12CE" w:rsidRDefault="0024583C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1351</w:t>
            </w:r>
          </w:p>
        </w:tc>
        <w:tc>
          <w:tcPr>
            <w:tcW w:w="2700" w:type="dxa"/>
          </w:tcPr>
          <w:p w14:paraId="3E55C0FE" w14:textId="77777777" w:rsidR="0024583C" w:rsidRPr="001E28F9" w:rsidRDefault="001E28F9" w:rsidP="001E28F9">
            <w:pPr>
              <w:ind w:right="182"/>
              <w:rPr>
                <w:sz w:val="20"/>
                <w:szCs w:val="20"/>
                <w:shd w:val="clear" w:color="auto" w:fill="FFFFFF"/>
              </w:rPr>
            </w:pPr>
            <w:r w:rsidRPr="001E28F9">
              <w:rPr>
                <w:sz w:val="20"/>
                <w:szCs w:val="20"/>
              </w:rPr>
              <w:t xml:space="preserve">Inpatient adults </w:t>
            </w:r>
            <w:r w:rsidRPr="001E28F9">
              <w:rPr>
                <w:sz w:val="20"/>
                <w:szCs w:val="20"/>
                <w:shd w:val="clear" w:color="auto" w:fill="FFFFFF"/>
              </w:rPr>
              <w:t xml:space="preserve">undergoing hematopoietic stem-cell transplantation or </w:t>
            </w:r>
            <w:r w:rsidRPr="001E28F9">
              <w:rPr>
                <w:sz w:val="20"/>
                <w:szCs w:val="20"/>
                <w:shd w:val="clear" w:color="auto" w:fill="FFFFFF"/>
              </w:rPr>
              <w:lastRenderedPageBreak/>
              <w:t>chemotherapy randomized to low dose, medium dose or high dose platelets</w:t>
            </w:r>
          </w:p>
          <w:p w14:paraId="00464A3A" w14:textId="29BC7809" w:rsidR="001E28F9" w:rsidRPr="001E28F9" w:rsidRDefault="001E28F9" w:rsidP="001E28F9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239A402E" w14:textId="55D1804B" w:rsidR="0024583C" w:rsidRPr="001E28F9" w:rsidRDefault="001E28F9" w:rsidP="001E28F9">
            <w:pPr>
              <w:ind w:right="182"/>
              <w:rPr>
                <w:sz w:val="20"/>
                <w:szCs w:val="20"/>
              </w:rPr>
            </w:pPr>
            <w:r w:rsidRPr="001E28F9">
              <w:rPr>
                <w:sz w:val="20"/>
                <w:szCs w:val="20"/>
                <w:shd w:val="clear" w:color="auto" w:fill="FFFFFF"/>
              </w:rPr>
              <w:lastRenderedPageBreak/>
              <w:t xml:space="preserve">When prophylactic transfusions are given for </w:t>
            </w:r>
            <w:proofErr w:type="spellStart"/>
            <w:r w:rsidRPr="001E28F9">
              <w:rPr>
                <w:sz w:val="20"/>
                <w:szCs w:val="20"/>
                <w:shd w:val="clear" w:color="auto" w:fill="FFFFFF"/>
              </w:rPr>
              <w:t>hypoproliferative</w:t>
            </w:r>
            <w:proofErr w:type="spellEnd"/>
            <w:r w:rsidRPr="001E28F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E28F9">
              <w:rPr>
                <w:sz w:val="20"/>
                <w:szCs w:val="20"/>
                <w:shd w:val="clear" w:color="auto" w:fill="FFFFFF"/>
              </w:rPr>
              <w:lastRenderedPageBreak/>
              <w:t>thrombocytopenia, platelet dose has no effect on the incidence of bleeding.</w:t>
            </w:r>
          </w:p>
        </w:tc>
        <w:tc>
          <w:tcPr>
            <w:tcW w:w="3690" w:type="dxa"/>
          </w:tcPr>
          <w:p w14:paraId="6F9CE586" w14:textId="61339A3B" w:rsidR="0024583C" w:rsidRDefault="001E28F9" w:rsidP="00BA4362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Bleeding categorized into 8 sites and severity graded from 0-4. No validation provided.</w:t>
            </w:r>
          </w:p>
        </w:tc>
      </w:tr>
      <w:tr w:rsidR="00261E32" w:rsidRPr="002E12CE" w14:paraId="7CE5BB43" w14:textId="5B171FBB" w:rsidTr="00261E32">
        <w:trPr>
          <w:cantSplit/>
          <w:trHeight w:val="449"/>
        </w:trPr>
        <w:tc>
          <w:tcPr>
            <w:tcW w:w="1781" w:type="dxa"/>
          </w:tcPr>
          <w:p w14:paraId="613094D9" w14:textId="7AD9B44D" w:rsidR="004E2BAD" w:rsidRPr="00CC2FE7" w:rsidRDefault="004E2BAD" w:rsidP="00E84438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 xml:space="preserve">Venkatesh et al. </w:t>
            </w:r>
          </w:p>
          <w:p w14:paraId="2CF23262" w14:textId="066CA9C9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>NeoBAT</w:t>
            </w:r>
            <w:r w:rsidR="00CB66B5" w:rsidRPr="00CB66B5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544" w:type="dxa"/>
          </w:tcPr>
          <w:p w14:paraId="62839E02" w14:textId="77777777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Prospective Cohort Study</w:t>
            </w:r>
          </w:p>
        </w:tc>
        <w:tc>
          <w:tcPr>
            <w:tcW w:w="1440" w:type="dxa"/>
          </w:tcPr>
          <w:p w14:paraId="6E51ACB5" w14:textId="77777777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146</w:t>
            </w:r>
          </w:p>
        </w:tc>
        <w:tc>
          <w:tcPr>
            <w:tcW w:w="2700" w:type="dxa"/>
          </w:tcPr>
          <w:p w14:paraId="4E5B90DE" w14:textId="6EB715DD" w:rsidR="004E2BAD" w:rsidRPr="002E12CE" w:rsidRDefault="004E2BAD" w:rsidP="00072E02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Neonates</w:t>
            </w:r>
            <w:r w:rsidR="00072E02">
              <w:rPr>
                <w:sz w:val="20"/>
                <w:szCs w:val="20"/>
              </w:rPr>
              <w:t xml:space="preserve"> admitted to NICU</w:t>
            </w:r>
          </w:p>
        </w:tc>
        <w:tc>
          <w:tcPr>
            <w:tcW w:w="2803" w:type="dxa"/>
          </w:tcPr>
          <w:p w14:paraId="236F2FE0" w14:textId="49A93465" w:rsidR="004E2BAD" w:rsidRPr="002E12CE" w:rsidRDefault="004E2BAD" w:rsidP="00680F70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Duplicate assessments of major bleeds were highly correlative between clinical staff</w:t>
            </w:r>
            <w:r w:rsidR="009F081C">
              <w:rPr>
                <w:sz w:val="20"/>
                <w:szCs w:val="20"/>
              </w:rPr>
              <w:t>, Needs to be correlated to clinical outcomes.</w:t>
            </w:r>
            <w:r w:rsidRPr="002E12CE">
              <w:rPr>
                <w:sz w:val="20"/>
                <w:szCs w:val="20"/>
              </w:rPr>
              <w:t xml:space="preserve"> </w:t>
            </w:r>
          </w:p>
          <w:p w14:paraId="62A5335F" w14:textId="29EA6ACE" w:rsidR="004E2BAD" w:rsidRPr="002E12CE" w:rsidRDefault="004E2BAD" w:rsidP="00680F70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50CB673" w14:textId="253B5F78" w:rsidR="004E2BAD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Creation of a new bleeding assessment tool for neonatal population, adapted and modified from the WHO bleeding score.</w:t>
            </w:r>
            <w:r>
              <w:rPr>
                <w:sz w:val="20"/>
                <w:szCs w:val="20"/>
              </w:rPr>
              <w:t xml:space="preserve"> Includes site, severity and duration of bleeding events.</w:t>
            </w:r>
            <w:r w:rsidR="00DB7BF1">
              <w:rPr>
                <w:sz w:val="20"/>
                <w:szCs w:val="20"/>
              </w:rPr>
              <w:t xml:space="preserve"> Includes hypotension and hemodynamic instability as variables but not defined.</w:t>
            </w:r>
            <w:r w:rsidR="00072E02">
              <w:rPr>
                <w:sz w:val="20"/>
                <w:szCs w:val="20"/>
              </w:rPr>
              <w:t xml:space="preserve"> Inter-rater reliability reported.</w:t>
            </w:r>
          </w:p>
          <w:p w14:paraId="61FE894A" w14:textId="03C047A0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 </w:t>
            </w:r>
          </w:p>
        </w:tc>
      </w:tr>
      <w:tr w:rsidR="00261E32" w:rsidRPr="002E12CE" w14:paraId="6DC0BCBE" w14:textId="77777777" w:rsidTr="00261E32">
        <w:trPr>
          <w:cantSplit/>
          <w:trHeight w:val="449"/>
        </w:trPr>
        <w:tc>
          <w:tcPr>
            <w:tcW w:w="1781" w:type="dxa"/>
          </w:tcPr>
          <w:p w14:paraId="1615B797" w14:textId="77777777" w:rsidR="004E2BAD" w:rsidRPr="00CC2FE7" w:rsidRDefault="004E2BAD" w:rsidP="00CD0D69">
            <w:pPr>
              <w:ind w:right="182"/>
              <w:rPr>
                <w:sz w:val="20"/>
                <w:szCs w:val="20"/>
              </w:rPr>
            </w:pPr>
            <w:proofErr w:type="spellStart"/>
            <w:r w:rsidRPr="00CC2FE7">
              <w:rPr>
                <w:sz w:val="20"/>
                <w:szCs w:val="20"/>
              </w:rPr>
              <w:t>Webert</w:t>
            </w:r>
            <w:proofErr w:type="spellEnd"/>
            <w:r w:rsidRPr="00CC2FE7">
              <w:rPr>
                <w:sz w:val="20"/>
                <w:szCs w:val="20"/>
              </w:rPr>
              <w:t xml:space="preserve"> et al. </w:t>
            </w:r>
          </w:p>
          <w:p w14:paraId="21C1D12F" w14:textId="11BA4AFB" w:rsidR="004E2BAD" w:rsidRPr="002E12CE" w:rsidRDefault="004E2BAD" w:rsidP="00CD0D69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>Bleeding Severity Measurement Scale</w:t>
            </w:r>
            <w:r w:rsidR="008C58D7" w:rsidRPr="00CC2FE7">
              <w:rPr>
                <w:sz w:val="20"/>
                <w:szCs w:val="20"/>
              </w:rPr>
              <w:t xml:space="preserve"> (BSMS)</w:t>
            </w:r>
            <w:r w:rsidR="00CB66B5" w:rsidRPr="00CB66B5">
              <w:rPr>
                <w:sz w:val="20"/>
                <w:szCs w:val="20"/>
                <w:vertAlign w:val="superscript"/>
              </w:rPr>
              <w:t>24</w:t>
            </w:r>
          </w:p>
          <w:p w14:paraId="320FACAA" w14:textId="5A30EB5A" w:rsidR="004E2BAD" w:rsidRPr="002E12CE" w:rsidRDefault="004E2BAD" w:rsidP="00CD0D69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1E5FBF57" w14:textId="27BB8156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Case Control </w:t>
            </w:r>
          </w:p>
        </w:tc>
        <w:tc>
          <w:tcPr>
            <w:tcW w:w="1440" w:type="dxa"/>
          </w:tcPr>
          <w:p w14:paraId="5A3C2E51" w14:textId="00FE8421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78</w:t>
            </w:r>
          </w:p>
        </w:tc>
        <w:tc>
          <w:tcPr>
            <w:tcW w:w="2700" w:type="dxa"/>
          </w:tcPr>
          <w:p w14:paraId="30CC9573" w14:textId="77777777" w:rsidR="004E2BAD" w:rsidRDefault="00240C84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Adults (both inpatient and outpatient) </w:t>
            </w:r>
            <w:r w:rsidR="004E2BAD" w:rsidRPr="002E12CE">
              <w:rPr>
                <w:sz w:val="20"/>
                <w:szCs w:val="20"/>
              </w:rPr>
              <w:t>with chemotherapy induced thrombocytopenia (CIT), compared with</w:t>
            </w:r>
            <w:r>
              <w:rPr>
                <w:sz w:val="20"/>
                <w:szCs w:val="20"/>
              </w:rPr>
              <w:t xml:space="preserve"> healthy</w:t>
            </w:r>
            <w:r w:rsidR="004E2BAD" w:rsidRPr="002E12CE">
              <w:rPr>
                <w:sz w:val="20"/>
                <w:szCs w:val="20"/>
              </w:rPr>
              <w:t xml:space="preserve"> controls </w:t>
            </w:r>
          </w:p>
          <w:p w14:paraId="51C9BEBA" w14:textId="1AD9CE50" w:rsidR="00240C84" w:rsidRPr="002E12CE" w:rsidRDefault="00240C84" w:rsidP="00E84438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14:paraId="711AF050" w14:textId="2DAEEA13" w:rsidR="004E2BAD" w:rsidRPr="002E12CE" w:rsidRDefault="00240C84" w:rsidP="00680F70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BSMS had excellent intra-</w:t>
            </w:r>
            <w:r w:rsidR="004E2BAD" w:rsidRPr="002E12CE">
              <w:rPr>
                <w:sz w:val="20"/>
                <w:szCs w:val="20"/>
              </w:rPr>
              <w:t>rate</w:t>
            </w:r>
            <w:r>
              <w:rPr>
                <w:sz w:val="20"/>
                <w:szCs w:val="20"/>
              </w:rPr>
              <w:t>r</w:t>
            </w:r>
            <w:r w:rsidR="004E2BAD" w:rsidRPr="002E12C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inter-</w:t>
            </w:r>
            <w:r w:rsidR="004E2BAD" w:rsidRPr="002E12CE">
              <w:rPr>
                <w:sz w:val="20"/>
                <w:szCs w:val="20"/>
              </w:rPr>
              <w:t xml:space="preserve">rater reliability and </w:t>
            </w:r>
            <w:r>
              <w:rPr>
                <w:sz w:val="20"/>
                <w:szCs w:val="20"/>
              </w:rPr>
              <w:t>correlated with the WHO bleeding scale.</w:t>
            </w:r>
          </w:p>
          <w:p w14:paraId="725CCA88" w14:textId="4E997B45" w:rsidR="004E2BAD" w:rsidRPr="002E12CE" w:rsidRDefault="004E2BAD" w:rsidP="00680F70">
            <w:pPr>
              <w:ind w:right="18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CD2CAF3" w14:textId="1BD0504A" w:rsidR="004E2BAD" w:rsidRPr="007E3F90" w:rsidRDefault="00784C64" w:rsidP="007E3F90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seven sites of bleeding and each ass</w:t>
            </w:r>
            <w:r w:rsidR="00CC2FE7">
              <w:rPr>
                <w:sz w:val="20"/>
                <w:szCs w:val="20"/>
              </w:rPr>
              <w:t xml:space="preserve">essed with three grades. </w:t>
            </w:r>
            <w:r w:rsidR="00DB7BF1">
              <w:rPr>
                <w:sz w:val="20"/>
                <w:szCs w:val="20"/>
              </w:rPr>
              <w:t xml:space="preserve">Includes heart rate and blood pressure as physiologic variables. </w:t>
            </w:r>
            <w:r w:rsidR="00CC2FE7">
              <w:rPr>
                <w:sz w:val="20"/>
                <w:szCs w:val="20"/>
              </w:rPr>
              <w:t>Reported</w:t>
            </w:r>
            <w:r>
              <w:rPr>
                <w:sz w:val="20"/>
                <w:szCs w:val="20"/>
              </w:rPr>
              <w:t xml:space="preserve"> validation extensively.</w:t>
            </w:r>
          </w:p>
        </w:tc>
      </w:tr>
      <w:tr w:rsidR="00261E32" w:rsidRPr="002E12CE" w14:paraId="2BE428E5" w14:textId="465AE73C" w:rsidTr="00261E32">
        <w:trPr>
          <w:cantSplit/>
          <w:trHeight w:val="359"/>
        </w:trPr>
        <w:tc>
          <w:tcPr>
            <w:tcW w:w="1781" w:type="dxa"/>
          </w:tcPr>
          <w:p w14:paraId="12FA4615" w14:textId="31821CA2" w:rsidR="004E2BAD" w:rsidRPr="00CC2FE7" w:rsidRDefault="004E2BAD" w:rsidP="00E84438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 xml:space="preserve">White et al. </w:t>
            </w:r>
          </w:p>
          <w:p w14:paraId="144E0250" w14:textId="32DB332F" w:rsidR="004E2BAD" w:rsidRPr="002E12CE" w:rsidRDefault="004E2BAD" w:rsidP="00063F01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>Bleeding Assessment Tool</w:t>
            </w:r>
            <w:r w:rsidR="00CB66B5" w:rsidRPr="00CB66B5">
              <w:rPr>
                <w:sz w:val="20"/>
                <w:szCs w:val="20"/>
                <w:vertAlign w:val="superscript"/>
              </w:rPr>
              <w:t>2</w:t>
            </w:r>
            <w:r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14:paraId="0FBB6C0A" w14:textId="65CA13C2" w:rsidR="004E2BAD" w:rsidRPr="002E12CE" w:rsidRDefault="004E2BAD" w:rsidP="00072E02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Prospective Cohort </w:t>
            </w:r>
          </w:p>
        </w:tc>
        <w:tc>
          <w:tcPr>
            <w:tcW w:w="1440" w:type="dxa"/>
          </w:tcPr>
          <w:p w14:paraId="242C7F38" w14:textId="1CE070D2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>405</w:t>
            </w:r>
          </w:p>
        </w:tc>
        <w:tc>
          <w:tcPr>
            <w:tcW w:w="2700" w:type="dxa"/>
          </w:tcPr>
          <w:p w14:paraId="5A195B0A" w14:textId="20AED9FE" w:rsidR="004E2BAD" w:rsidRPr="002E12CE" w:rsidRDefault="004E2BAD" w:rsidP="00072E02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Children &lt; 18 yrs old admitted to </w:t>
            </w:r>
            <w:r w:rsidR="00C73FE5">
              <w:rPr>
                <w:sz w:val="20"/>
                <w:szCs w:val="20"/>
              </w:rPr>
              <w:t>PICU without clinically relevant bleeding (CRB) on admission</w:t>
            </w:r>
            <w:r w:rsidRPr="002E12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3" w:type="dxa"/>
          </w:tcPr>
          <w:p w14:paraId="15FDE737" w14:textId="5B5D8E8E" w:rsidR="004E2BAD" w:rsidRPr="002E12CE" w:rsidRDefault="00C73FE5" w:rsidP="00F94542">
            <w:pPr>
              <w:ind w:right="182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CRB developed in 9.1% of admissions. CRB associated with longer time to discharge from PICU and hospital.</w:t>
            </w:r>
          </w:p>
          <w:p w14:paraId="73B35348" w14:textId="638C5993" w:rsidR="004E2BAD" w:rsidRPr="002E12CE" w:rsidRDefault="004E2BAD" w:rsidP="00F94542">
            <w:pPr>
              <w:ind w:right="18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7E816AC" w14:textId="77777777" w:rsidR="004E2BAD" w:rsidRDefault="00C73FE5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site of bleed and then classifies each site based on ISTH criteria for major, clinically relevant non-major and minor bleeds</w:t>
            </w:r>
            <w:r w:rsidR="004E2BAD" w:rsidRPr="002E12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Inter-rater reliability reported. Some outcomes reported.</w:t>
            </w:r>
            <w:r w:rsidR="004E2BAD" w:rsidRPr="002E12CE">
              <w:rPr>
                <w:sz w:val="20"/>
                <w:szCs w:val="20"/>
              </w:rPr>
              <w:t xml:space="preserve"> </w:t>
            </w:r>
          </w:p>
          <w:p w14:paraId="6B04A2BD" w14:textId="2B1401FE" w:rsidR="00BE3670" w:rsidRPr="002E12CE" w:rsidRDefault="00BE3670" w:rsidP="00E84438">
            <w:pPr>
              <w:ind w:right="182"/>
              <w:rPr>
                <w:sz w:val="20"/>
                <w:szCs w:val="20"/>
              </w:rPr>
            </w:pPr>
          </w:p>
        </w:tc>
      </w:tr>
      <w:tr w:rsidR="00261E32" w:rsidRPr="002E12CE" w14:paraId="76D68E72" w14:textId="77777777" w:rsidTr="00261E32">
        <w:trPr>
          <w:cantSplit/>
          <w:trHeight w:val="359"/>
        </w:trPr>
        <w:tc>
          <w:tcPr>
            <w:tcW w:w="1781" w:type="dxa"/>
          </w:tcPr>
          <w:p w14:paraId="227ABADA" w14:textId="1E476E2A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CC2FE7">
              <w:rPr>
                <w:sz w:val="20"/>
                <w:szCs w:val="20"/>
              </w:rPr>
              <w:t>WHO scale</w:t>
            </w:r>
            <w:r w:rsidR="00CB66B5" w:rsidRPr="00CB66B5">
              <w:rPr>
                <w:sz w:val="20"/>
                <w:szCs w:val="20"/>
                <w:vertAlign w:val="superscript"/>
              </w:rPr>
              <w:t>7</w:t>
            </w:r>
            <w:r w:rsidRPr="002E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14:paraId="595EF34B" w14:textId="1250AB99" w:rsidR="004E2BAD" w:rsidRPr="002E12CE" w:rsidRDefault="004E2BAD" w:rsidP="00E84438">
            <w:pPr>
              <w:ind w:right="182"/>
              <w:rPr>
                <w:sz w:val="20"/>
                <w:szCs w:val="20"/>
              </w:rPr>
            </w:pPr>
            <w:r w:rsidRPr="002E12CE">
              <w:rPr>
                <w:sz w:val="20"/>
                <w:szCs w:val="20"/>
              </w:rPr>
              <w:t xml:space="preserve">Based on consensus statement from experts </w:t>
            </w:r>
          </w:p>
        </w:tc>
        <w:tc>
          <w:tcPr>
            <w:tcW w:w="1440" w:type="dxa"/>
          </w:tcPr>
          <w:p w14:paraId="2AA863A2" w14:textId="1BCA1F77" w:rsidR="004E2BAD" w:rsidRPr="002E12CE" w:rsidRDefault="00CC2FE7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</w:tcPr>
          <w:p w14:paraId="1902FA19" w14:textId="3425E735" w:rsidR="004E2BAD" w:rsidRPr="002E12CE" w:rsidRDefault="00CC2FE7" w:rsidP="00E84438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803" w:type="dxa"/>
          </w:tcPr>
          <w:p w14:paraId="3D297109" w14:textId="2D23A0F7" w:rsidR="004E2BAD" w:rsidRPr="002E12CE" w:rsidRDefault="00CC2FE7" w:rsidP="00F94542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3690" w:type="dxa"/>
          </w:tcPr>
          <w:p w14:paraId="79E239F6" w14:textId="39F8E085" w:rsidR="00BE3670" w:rsidRPr="002E12CE" w:rsidRDefault="00BE3670" w:rsidP="00CC2FE7">
            <w:pPr>
              <w:ind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Bleeding graded on scale of 0-4 </w:t>
            </w:r>
            <w:r w:rsidR="00CC2FE7">
              <w:rPr>
                <w:sz w:val="20"/>
                <w:szCs w:val="20"/>
              </w:rPr>
              <w:t>with little detail and no site specificity. No validation reported.</w:t>
            </w:r>
          </w:p>
        </w:tc>
      </w:tr>
    </w:tbl>
    <w:p w14:paraId="0478C2EA" w14:textId="613DF702" w:rsidR="00F94542" w:rsidRPr="002E12CE" w:rsidRDefault="00F94542">
      <w:pPr>
        <w:rPr>
          <w:rFonts w:ascii="Arial" w:eastAsiaTheme="minorEastAsia" w:hAnsi="Arial" w:cs="Arial"/>
          <w:sz w:val="20"/>
          <w:szCs w:val="20"/>
        </w:rPr>
      </w:pPr>
    </w:p>
    <w:sectPr w:rsidR="00F94542" w:rsidRPr="002E12CE" w:rsidSect="00A2099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6B2D" w14:textId="77777777" w:rsidR="00A87589" w:rsidRDefault="00A87589" w:rsidP="00A87589">
      <w:r>
        <w:separator/>
      </w:r>
    </w:p>
  </w:endnote>
  <w:endnote w:type="continuationSeparator" w:id="0">
    <w:p w14:paraId="7ABD21FA" w14:textId="77777777" w:rsidR="00A87589" w:rsidRDefault="00A87589" w:rsidP="00A8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FB6B" w14:textId="77777777" w:rsidR="00A87589" w:rsidRDefault="00A87589" w:rsidP="00A87589">
      <w:r>
        <w:separator/>
      </w:r>
    </w:p>
  </w:footnote>
  <w:footnote w:type="continuationSeparator" w:id="0">
    <w:p w14:paraId="09507E72" w14:textId="77777777" w:rsidR="00A87589" w:rsidRDefault="00A87589" w:rsidP="00A8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D100" w14:textId="77777777" w:rsidR="00A87589" w:rsidRPr="001D2060" w:rsidRDefault="00A87589" w:rsidP="00A87589">
    <w:pPr>
      <w:spacing w:line="48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Supplemental </w:t>
    </w:r>
    <w:r w:rsidRPr="00B843A2">
      <w:rPr>
        <w:rFonts w:ascii="Times New Roman" w:hAnsi="Times New Roman" w:cs="Times New Roman"/>
        <w:b/>
      </w:rPr>
      <w:t>Table 2. Summary of Studies</w:t>
    </w:r>
  </w:p>
  <w:p w14:paraId="78009D1E" w14:textId="77777777" w:rsidR="00A87589" w:rsidRDefault="00A87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9B"/>
    <w:rsid w:val="000268EF"/>
    <w:rsid w:val="000423BF"/>
    <w:rsid w:val="00063F01"/>
    <w:rsid w:val="00066CD9"/>
    <w:rsid w:val="00070CA0"/>
    <w:rsid w:val="00072E02"/>
    <w:rsid w:val="00073EEE"/>
    <w:rsid w:val="000C7F11"/>
    <w:rsid w:val="000E2B00"/>
    <w:rsid w:val="0010538B"/>
    <w:rsid w:val="001217CB"/>
    <w:rsid w:val="00122C1D"/>
    <w:rsid w:val="00122ED7"/>
    <w:rsid w:val="00137B46"/>
    <w:rsid w:val="001534B3"/>
    <w:rsid w:val="00161509"/>
    <w:rsid w:val="00174449"/>
    <w:rsid w:val="00176C3F"/>
    <w:rsid w:val="001770E7"/>
    <w:rsid w:val="001D55CE"/>
    <w:rsid w:val="001E28F9"/>
    <w:rsid w:val="0021780A"/>
    <w:rsid w:val="002207AE"/>
    <w:rsid w:val="00223D19"/>
    <w:rsid w:val="00226E8F"/>
    <w:rsid w:val="002308D9"/>
    <w:rsid w:val="002353ED"/>
    <w:rsid w:val="00240C84"/>
    <w:rsid w:val="0024583C"/>
    <w:rsid w:val="002601EB"/>
    <w:rsid w:val="00261E32"/>
    <w:rsid w:val="00263FBE"/>
    <w:rsid w:val="00286785"/>
    <w:rsid w:val="00286D5E"/>
    <w:rsid w:val="002903A0"/>
    <w:rsid w:val="0029216E"/>
    <w:rsid w:val="002B77B5"/>
    <w:rsid w:val="002D5DAF"/>
    <w:rsid w:val="002E12CE"/>
    <w:rsid w:val="00314398"/>
    <w:rsid w:val="00315A84"/>
    <w:rsid w:val="0032373C"/>
    <w:rsid w:val="00327B6A"/>
    <w:rsid w:val="003426EF"/>
    <w:rsid w:val="00364853"/>
    <w:rsid w:val="003653D1"/>
    <w:rsid w:val="00365CAC"/>
    <w:rsid w:val="0037024D"/>
    <w:rsid w:val="00373C30"/>
    <w:rsid w:val="00384DFA"/>
    <w:rsid w:val="00390ED9"/>
    <w:rsid w:val="003A2B9C"/>
    <w:rsid w:val="003D4FF8"/>
    <w:rsid w:val="00405913"/>
    <w:rsid w:val="00406B81"/>
    <w:rsid w:val="00406EDF"/>
    <w:rsid w:val="004127DD"/>
    <w:rsid w:val="004168EC"/>
    <w:rsid w:val="00420550"/>
    <w:rsid w:val="0046052C"/>
    <w:rsid w:val="004605F1"/>
    <w:rsid w:val="00482B1A"/>
    <w:rsid w:val="00493D0B"/>
    <w:rsid w:val="004A3D30"/>
    <w:rsid w:val="004D2237"/>
    <w:rsid w:val="004D659A"/>
    <w:rsid w:val="004D7E8A"/>
    <w:rsid w:val="004E2BAD"/>
    <w:rsid w:val="00505606"/>
    <w:rsid w:val="00506253"/>
    <w:rsid w:val="00515FAC"/>
    <w:rsid w:val="005342C0"/>
    <w:rsid w:val="00576945"/>
    <w:rsid w:val="005A4E05"/>
    <w:rsid w:val="005B058B"/>
    <w:rsid w:val="005C57B6"/>
    <w:rsid w:val="005D0A63"/>
    <w:rsid w:val="005E733E"/>
    <w:rsid w:val="006022A0"/>
    <w:rsid w:val="006130D9"/>
    <w:rsid w:val="0063606B"/>
    <w:rsid w:val="00646CEB"/>
    <w:rsid w:val="00656633"/>
    <w:rsid w:val="00680F70"/>
    <w:rsid w:val="006862F4"/>
    <w:rsid w:val="0069281D"/>
    <w:rsid w:val="00693851"/>
    <w:rsid w:val="006A0FC2"/>
    <w:rsid w:val="006A257D"/>
    <w:rsid w:val="006A7C8C"/>
    <w:rsid w:val="006B2EEA"/>
    <w:rsid w:val="006B3478"/>
    <w:rsid w:val="006D609A"/>
    <w:rsid w:val="006E551A"/>
    <w:rsid w:val="006F0CA7"/>
    <w:rsid w:val="00701D6F"/>
    <w:rsid w:val="00717ABC"/>
    <w:rsid w:val="00743C7C"/>
    <w:rsid w:val="00744C54"/>
    <w:rsid w:val="00762FA4"/>
    <w:rsid w:val="00773309"/>
    <w:rsid w:val="00775913"/>
    <w:rsid w:val="00784C64"/>
    <w:rsid w:val="007C6268"/>
    <w:rsid w:val="007E3F90"/>
    <w:rsid w:val="008007A0"/>
    <w:rsid w:val="00801716"/>
    <w:rsid w:val="00831E81"/>
    <w:rsid w:val="00832461"/>
    <w:rsid w:val="008351AE"/>
    <w:rsid w:val="00856E42"/>
    <w:rsid w:val="00882E99"/>
    <w:rsid w:val="0088606D"/>
    <w:rsid w:val="00893C81"/>
    <w:rsid w:val="00894ED0"/>
    <w:rsid w:val="008B6D8B"/>
    <w:rsid w:val="008C36BD"/>
    <w:rsid w:val="008C58D7"/>
    <w:rsid w:val="0096597F"/>
    <w:rsid w:val="00965CB3"/>
    <w:rsid w:val="009741B4"/>
    <w:rsid w:val="00985E50"/>
    <w:rsid w:val="009B2EC2"/>
    <w:rsid w:val="009F081C"/>
    <w:rsid w:val="00A07125"/>
    <w:rsid w:val="00A2099B"/>
    <w:rsid w:val="00A704AD"/>
    <w:rsid w:val="00A72536"/>
    <w:rsid w:val="00A87589"/>
    <w:rsid w:val="00A91AE8"/>
    <w:rsid w:val="00AB03EA"/>
    <w:rsid w:val="00AB661A"/>
    <w:rsid w:val="00AC2F27"/>
    <w:rsid w:val="00AD21A7"/>
    <w:rsid w:val="00AD6179"/>
    <w:rsid w:val="00AD6D28"/>
    <w:rsid w:val="00AE3F31"/>
    <w:rsid w:val="00B06FF9"/>
    <w:rsid w:val="00B07191"/>
    <w:rsid w:val="00B115ED"/>
    <w:rsid w:val="00B14D5B"/>
    <w:rsid w:val="00B2416B"/>
    <w:rsid w:val="00B625E5"/>
    <w:rsid w:val="00B653DC"/>
    <w:rsid w:val="00B750FA"/>
    <w:rsid w:val="00B8259B"/>
    <w:rsid w:val="00B92975"/>
    <w:rsid w:val="00B92B40"/>
    <w:rsid w:val="00BA36A8"/>
    <w:rsid w:val="00BA4362"/>
    <w:rsid w:val="00BA4D06"/>
    <w:rsid w:val="00BB1DFF"/>
    <w:rsid w:val="00BC1C9E"/>
    <w:rsid w:val="00BE3670"/>
    <w:rsid w:val="00BF12B3"/>
    <w:rsid w:val="00BF182E"/>
    <w:rsid w:val="00C27864"/>
    <w:rsid w:val="00C30AB2"/>
    <w:rsid w:val="00C44D2B"/>
    <w:rsid w:val="00C45D15"/>
    <w:rsid w:val="00C73FE5"/>
    <w:rsid w:val="00CA677D"/>
    <w:rsid w:val="00CB66B5"/>
    <w:rsid w:val="00CC2FE7"/>
    <w:rsid w:val="00CC3549"/>
    <w:rsid w:val="00CD0D69"/>
    <w:rsid w:val="00CD33B3"/>
    <w:rsid w:val="00CE12CB"/>
    <w:rsid w:val="00CE2197"/>
    <w:rsid w:val="00D2290A"/>
    <w:rsid w:val="00D336EA"/>
    <w:rsid w:val="00D35AAE"/>
    <w:rsid w:val="00D53D8C"/>
    <w:rsid w:val="00D6214C"/>
    <w:rsid w:val="00D84249"/>
    <w:rsid w:val="00D84B93"/>
    <w:rsid w:val="00DA04CE"/>
    <w:rsid w:val="00DB2614"/>
    <w:rsid w:val="00DB7BF1"/>
    <w:rsid w:val="00DC0119"/>
    <w:rsid w:val="00DC6F26"/>
    <w:rsid w:val="00E45B05"/>
    <w:rsid w:val="00E465C0"/>
    <w:rsid w:val="00E630FC"/>
    <w:rsid w:val="00E705CD"/>
    <w:rsid w:val="00E770BB"/>
    <w:rsid w:val="00E84438"/>
    <w:rsid w:val="00E87B90"/>
    <w:rsid w:val="00E91D12"/>
    <w:rsid w:val="00E93E80"/>
    <w:rsid w:val="00EA67CE"/>
    <w:rsid w:val="00EB7D10"/>
    <w:rsid w:val="00F94542"/>
    <w:rsid w:val="00FB1983"/>
    <w:rsid w:val="00FC7952"/>
    <w:rsid w:val="00FD188E"/>
    <w:rsid w:val="00FF039D"/>
    <w:rsid w:val="00FF0B22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09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2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217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1217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1217C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4542"/>
    <w:rPr>
      <w:color w:val="808080"/>
    </w:rPr>
  </w:style>
  <w:style w:type="character" w:customStyle="1" w:styleId="highlight">
    <w:name w:val="highlight"/>
    <w:basedOn w:val="DefaultParagraphFont"/>
    <w:rsid w:val="00261E32"/>
  </w:style>
  <w:style w:type="paragraph" w:styleId="Header">
    <w:name w:val="header"/>
    <w:basedOn w:val="Normal"/>
    <w:link w:val="HeaderChar"/>
    <w:uiPriority w:val="99"/>
    <w:unhideWhenUsed/>
    <w:rsid w:val="00A87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589"/>
  </w:style>
  <w:style w:type="paragraph" w:styleId="Footer">
    <w:name w:val="footer"/>
    <w:basedOn w:val="Normal"/>
    <w:link w:val="FooterChar"/>
    <w:uiPriority w:val="99"/>
    <w:unhideWhenUsed/>
    <w:rsid w:val="00A87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NewYork-Prebyterian Hospital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jlevasse@gmail.com</dc:creator>
  <cp:keywords/>
  <dc:description/>
  <cp:lastModifiedBy>Baeuerlein, Christopher</cp:lastModifiedBy>
  <cp:revision>4</cp:revision>
  <dcterms:created xsi:type="dcterms:W3CDTF">2018-10-29T17:26:00Z</dcterms:created>
  <dcterms:modified xsi:type="dcterms:W3CDTF">2019-02-28T15:02:00Z</dcterms:modified>
</cp:coreProperties>
</file>