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6B4D" w14:textId="77777777" w:rsidR="00B05FC2" w:rsidRDefault="004A2182" w:rsidP="00A64A84">
      <w:pPr>
        <w:pStyle w:val="NoSpacing"/>
        <w:spacing w:line="360" w:lineRule="auto"/>
        <w:jc w:val="center"/>
        <w:rPr>
          <w:rFonts w:ascii="Times New Roman" w:hAnsi="Times New Roman" w:cs="Times New Roman"/>
          <w:b/>
          <w:iCs/>
          <w:sz w:val="28"/>
          <w:szCs w:val="24"/>
        </w:rPr>
      </w:pPr>
      <w:r>
        <w:rPr>
          <w:rFonts w:ascii="Times New Roman" w:hAnsi="Times New Roman" w:cs="Times New Roman"/>
          <w:b/>
          <w:iCs/>
          <w:sz w:val="28"/>
          <w:szCs w:val="24"/>
        </w:rPr>
        <w:t xml:space="preserve">Identification of </w:t>
      </w:r>
      <w:r w:rsidR="00A64A84" w:rsidRPr="000C14A1">
        <w:rPr>
          <w:rFonts w:ascii="Times New Roman" w:hAnsi="Times New Roman" w:cs="Times New Roman"/>
          <w:b/>
          <w:iCs/>
          <w:sz w:val="28"/>
          <w:szCs w:val="24"/>
        </w:rPr>
        <w:t>Pediatric Sepsis</w:t>
      </w:r>
      <w:r w:rsidR="00B05FC2">
        <w:rPr>
          <w:rFonts w:ascii="Times New Roman" w:hAnsi="Times New Roman" w:cs="Times New Roman"/>
          <w:b/>
          <w:iCs/>
          <w:sz w:val="28"/>
          <w:szCs w:val="24"/>
        </w:rPr>
        <w:t xml:space="preserve"> for Epidemiologic Surveillance</w:t>
      </w:r>
    </w:p>
    <w:p w14:paraId="17946B4E" w14:textId="77777777" w:rsidR="00A64A84" w:rsidRPr="000C14A1" w:rsidRDefault="00A64A84" w:rsidP="00A64A84">
      <w:pPr>
        <w:pStyle w:val="NoSpacing"/>
        <w:spacing w:line="360" w:lineRule="auto"/>
        <w:jc w:val="center"/>
        <w:rPr>
          <w:rFonts w:ascii="Times New Roman" w:hAnsi="Times New Roman" w:cs="Times New Roman"/>
          <w:b/>
          <w:iCs/>
          <w:sz w:val="28"/>
          <w:szCs w:val="24"/>
        </w:rPr>
      </w:pPr>
      <w:r w:rsidRPr="000C14A1">
        <w:rPr>
          <w:rFonts w:ascii="Times New Roman" w:hAnsi="Times New Roman" w:cs="Times New Roman"/>
          <w:b/>
          <w:iCs/>
          <w:sz w:val="28"/>
          <w:szCs w:val="24"/>
        </w:rPr>
        <w:t xml:space="preserve">Using Electronic Clinical Data </w:t>
      </w:r>
    </w:p>
    <w:p w14:paraId="17946B4F" w14:textId="77777777" w:rsidR="00A64A84" w:rsidRPr="000C14A1" w:rsidRDefault="00A64A84" w:rsidP="00A64A84">
      <w:pPr>
        <w:pStyle w:val="NoSpacing"/>
        <w:spacing w:line="360" w:lineRule="auto"/>
        <w:jc w:val="center"/>
        <w:rPr>
          <w:rFonts w:ascii="Times New Roman" w:hAnsi="Times New Roman" w:cs="Times New Roman"/>
          <w:b/>
          <w:sz w:val="28"/>
          <w:szCs w:val="24"/>
        </w:rPr>
      </w:pPr>
    </w:p>
    <w:p w14:paraId="17946B50" w14:textId="77777777" w:rsidR="00E96716" w:rsidRPr="000C14A1" w:rsidRDefault="00A64A84" w:rsidP="00A64A84">
      <w:pPr>
        <w:pStyle w:val="NoSpacing"/>
        <w:spacing w:line="360" w:lineRule="auto"/>
        <w:jc w:val="center"/>
        <w:rPr>
          <w:rFonts w:ascii="Times New Roman" w:hAnsi="Times New Roman" w:cs="Times New Roman"/>
          <w:sz w:val="24"/>
          <w:szCs w:val="24"/>
        </w:rPr>
      </w:pPr>
      <w:r w:rsidRPr="000C14A1">
        <w:rPr>
          <w:rFonts w:ascii="Times New Roman" w:hAnsi="Times New Roman" w:cs="Times New Roman"/>
          <w:sz w:val="24"/>
          <w:szCs w:val="24"/>
        </w:rPr>
        <w:t>Scott L. Weiss, MD MSCE</w:t>
      </w:r>
      <w:r w:rsidRPr="000C14A1">
        <w:rPr>
          <w:rFonts w:ascii="Times New Roman" w:hAnsi="Times New Roman" w:cs="Times New Roman"/>
          <w:sz w:val="24"/>
          <w:szCs w:val="24"/>
          <w:vertAlign w:val="superscript"/>
        </w:rPr>
        <w:t>1,2,3</w:t>
      </w:r>
      <w:r w:rsidRPr="000C14A1">
        <w:rPr>
          <w:rFonts w:ascii="Times New Roman" w:hAnsi="Times New Roman" w:cs="Times New Roman"/>
          <w:sz w:val="24"/>
          <w:szCs w:val="24"/>
        </w:rPr>
        <w:t xml:space="preserve">; Fran </w:t>
      </w:r>
      <w:proofErr w:type="spellStart"/>
      <w:r w:rsidRPr="000C14A1">
        <w:rPr>
          <w:rFonts w:ascii="Times New Roman" w:hAnsi="Times New Roman" w:cs="Times New Roman"/>
          <w:sz w:val="24"/>
          <w:szCs w:val="24"/>
        </w:rPr>
        <w:t>Balamuth</w:t>
      </w:r>
      <w:proofErr w:type="spellEnd"/>
      <w:r w:rsidRPr="000C14A1">
        <w:rPr>
          <w:rFonts w:ascii="Times New Roman" w:hAnsi="Times New Roman" w:cs="Times New Roman"/>
          <w:sz w:val="24"/>
          <w:szCs w:val="24"/>
        </w:rPr>
        <w:t>, MD PhD MSCE</w:t>
      </w:r>
      <w:r w:rsidRPr="000C14A1">
        <w:rPr>
          <w:rFonts w:ascii="Times New Roman" w:hAnsi="Times New Roman" w:cs="Times New Roman"/>
          <w:sz w:val="24"/>
          <w:szCs w:val="24"/>
          <w:vertAlign w:val="superscript"/>
        </w:rPr>
        <w:t>2,4</w:t>
      </w:r>
      <w:r w:rsidRPr="000C14A1">
        <w:rPr>
          <w:rFonts w:ascii="Times New Roman" w:hAnsi="Times New Roman" w:cs="Times New Roman"/>
          <w:sz w:val="24"/>
          <w:szCs w:val="24"/>
        </w:rPr>
        <w:t xml:space="preserve">; </w:t>
      </w:r>
    </w:p>
    <w:p w14:paraId="17946B51" w14:textId="77777777" w:rsidR="00E96716" w:rsidRPr="000C14A1" w:rsidRDefault="00A64A84" w:rsidP="00A64A84">
      <w:pPr>
        <w:pStyle w:val="NoSpacing"/>
        <w:spacing w:line="360" w:lineRule="auto"/>
        <w:jc w:val="center"/>
        <w:rPr>
          <w:rFonts w:ascii="Times New Roman" w:hAnsi="Times New Roman" w:cs="Times New Roman"/>
          <w:sz w:val="24"/>
          <w:szCs w:val="24"/>
        </w:rPr>
      </w:pPr>
      <w:r w:rsidRPr="000C14A1">
        <w:rPr>
          <w:rFonts w:ascii="Times New Roman" w:hAnsi="Times New Roman" w:cs="Times New Roman"/>
          <w:sz w:val="24"/>
          <w:szCs w:val="24"/>
        </w:rPr>
        <w:t xml:space="preserve">Marianne </w:t>
      </w:r>
      <w:proofErr w:type="spellStart"/>
      <w:r w:rsidRPr="000C14A1">
        <w:rPr>
          <w:rFonts w:ascii="Times New Roman" w:hAnsi="Times New Roman" w:cs="Times New Roman"/>
          <w:sz w:val="24"/>
          <w:szCs w:val="24"/>
        </w:rPr>
        <w:t>Chilutti</w:t>
      </w:r>
      <w:proofErr w:type="spellEnd"/>
      <w:r w:rsidRPr="000C14A1">
        <w:rPr>
          <w:rFonts w:ascii="Times New Roman" w:hAnsi="Times New Roman" w:cs="Times New Roman"/>
          <w:sz w:val="24"/>
          <w:szCs w:val="24"/>
        </w:rPr>
        <w:t>, MS</w:t>
      </w:r>
      <w:r w:rsidRPr="000C14A1">
        <w:rPr>
          <w:rFonts w:ascii="Times New Roman" w:hAnsi="Times New Roman" w:cs="Times New Roman"/>
          <w:sz w:val="24"/>
          <w:szCs w:val="24"/>
          <w:vertAlign w:val="superscript"/>
        </w:rPr>
        <w:t>5</w:t>
      </w:r>
      <w:r w:rsidRPr="000C14A1">
        <w:rPr>
          <w:rFonts w:ascii="Times New Roman" w:hAnsi="Times New Roman" w:cs="Times New Roman"/>
          <w:sz w:val="24"/>
          <w:szCs w:val="24"/>
        </w:rPr>
        <w:t>;</w:t>
      </w:r>
      <w:r w:rsidR="00E96716" w:rsidRPr="000C14A1">
        <w:rPr>
          <w:rFonts w:ascii="Times New Roman" w:hAnsi="Times New Roman" w:cs="Times New Roman"/>
          <w:sz w:val="24"/>
          <w:szCs w:val="24"/>
        </w:rPr>
        <w:t xml:space="preserve"> </w:t>
      </w:r>
      <w:r w:rsidRPr="000C14A1">
        <w:rPr>
          <w:rFonts w:ascii="Times New Roman" w:hAnsi="Times New Roman" w:cs="Times New Roman"/>
          <w:sz w:val="24"/>
          <w:szCs w:val="24"/>
        </w:rPr>
        <w:t>Mark Jason Ramos</w:t>
      </w:r>
      <w:r w:rsidRPr="000C14A1">
        <w:rPr>
          <w:rFonts w:ascii="Times New Roman" w:hAnsi="Times New Roman" w:cs="Times New Roman"/>
          <w:sz w:val="24"/>
          <w:szCs w:val="24"/>
          <w:vertAlign w:val="superscript"/>
        </w:rPr>
        <w:t>5</w:t>
      </w:r>
      <w:r w:rsidRPr="000C14A1">
        <w:rPr>
          <w:rFonts w:ascii="Times New Roman" w:hAnsi="Times New Roman" w:cs="Times New Roman"/>
          <w:sz w:val="24"/>
          <w:szCs w:val="24"/>
        </w:rPr>
        <w:t>; Peter McBride</w:t>
      </w:r>
      <w:r w:rsidRPr="000C14A1">
        <w:rPr>
          <w:rFonts w:ascii="Times New Roman" w:hAnsi="Times New Roman" w:cs="Times New Roman"/>
          <w:sz w:val="24"/>
          <w:szCs w:val="24"/>
          <w:vertAlign w:val="superscript"/>
        </w:rPr>
        <w:t>4</w:t>
      </w:r>
      <w:r w:rsidRPr="000C14A1">
        <w:rPr>
          <w:rFonts w:ascii="Times New Roman" w:hAnsi="Times New Roman" w:cs="Times New Roman"/>
          <w:sz w:val="24"/>
          <w:szCs w:val="24"/>
        </w:rPr>
        <w:t xml:space="preserve">; </w:t>
      </w:r>
    </w:p>
    <w:p w14:paraId="17946B52" w14:textId="77777777" w:rsidR="00A64A84" w:rsidRPr="000C14A1" w:rsidRDefault="00A64A84" w:rsidP="00A64A84">
      <w:pPr>
        <w:pStyle w:val="NoSpacing"/>
        <w:spacing w:line="360" w:lineRule="auto"/>
        <w:jc w:val="center"/>
        <w:rPr>
          <w:rFonts w:ascii="Times New Roman" w:hAnsi="Times New Roman" w:cs="Times New Roman"/>
          <w:sz w:val="24"/>
          <w:szCs w:val="24"/>
        </w:rPr>
      </w:pPr>
      <w:r w:rsidRPr="000C14A1">
        <w:rPr>
          <w:rFonts w:ascii="Times New Roman" w:hAnsi="Times New Roman" w:cs="Times New Roman"/>
          <w:sz w:val="24"/>
          <w:szCs w:val="24"/>
        </w:rPr>
        <w:t>Nancy-Ann Kelly, RN BSN</w:t>
      </w:r>
      <w:r w:rsidRPr="000C14A1">
        <w:rPr>
          <w:rFonts w:ascii="Times New Roman" w:hAnsi="Times New Roman" w:cs="Times New Roman"/>
          <w:sz w:val="24"/>
          <w:szCs w:val="24"/>
          <w:vertAlign w:val="superscript"/>
        </w:rPr>
        <w:t>1,2,6</w:t>
      </w:r>
      <w:r w:rsidRPr="000C14A1">
        <w:rPr>
          <w:rFonts w:ascii="Times New Roman" w:hAnsi="Times New Roman" w:cs="Times New Roman"/>
          <w:sz w:val="24"/>
          <w:szCs w:val="24"/>
        </w:rPr>
        <w:t>; K. Joy Payton, MS</w:t>
      </w:r>
      <w:r w:rsidRPr="000C14A1">
        <w:rPr>
          <w:rFonts w:ascii="Times New Roman" w:hAnsi="Times New Roman" w:cs="Times New Roman"/>
          <w:sz w:val="24"/>
          <w:szCs w:val="24"/>
          <w:vertAlign w:val="superscript"/>
        </w:rPr>
        <w:t>5</w:t>
      </w:r>
      <w:r w:rsidRPr="000C14A1">
        <w:rPr>
          <w:rFonts w:ascii="Times New Roman" w:hAnsi="Times New Roman" w:cs="Times New Roman"/>
          <w:sz w:val="24"/>
          <w:szCs w:val="24"/>
        </w:rPr>
        <w:t>;</w:t>
      </w:r>
    </w:p>
    <w:p w14:paraId="17946B53" w14:textId="77777777" w:rsidR="00A64A84" w:rsidRPr="000C14A1" w:rsidRDefault="00A64A84" w:rsidP="00A64A84">
      <w:pPr>
        <w:pStyle w:val="NoSpacing"/>
        <w:spacing w:line="360" w:lineRule="auto"/>
        <w:jc w:val="center"/>
        <w:rPr>
          <w:rFonts w:ascii="Times New Roman" w:hAnsi="Times New Roman" w:cs="Times New Roman"/>
          <w:sz w:val="24"/>
          <w:szCs w:val="24"/>
        </w:rPr>
      </w:pPr>
      <w:r w:rsidRPr="000C14A1">
        <w:rPr>
          <w:rFonts w:ascii="Times New Roman" w:hAnsi="Times New Roman" w:cs="Times New Roman"/>
          <w:sz w:val="24"/>
          <w:szCs w:val="24"/>
        </w:rPr>
        <w:t>Julie C. Fitzgerald, MD PhD MSCE</w:t>
      </w:r>
      <w:r w:rsidRPr="000C14A1">
        <w:rPr>
          <w:rFonts w:ascii="Times New Roman" w:hAnsi="Times New Roman" w:cs="Times New Roman"/>
          <w:sz w:val="24"/>
          <w:szCs w:val="24"/>
          <w:vertAlign w:val="superscript"/>
        </w:rPr>
        <w:t>1,2</w:t>
      </w:r>
      <w:r w:rsidRPr="000C14A1">
        <w:rPr>
          <w:rFonts w:ascii="Times New Roman" w:hAnsi="Times New Roman" w:cs="Times New Roman"/>
          <w:sz w:val="24"/>
          <w:szCs w:val="24"/>
        </w:rPr>
        <w:t>; Jeffrey W. Pennington</w:t>
      </w:r>
      <w:r w:rsidRPr="000C14A1">
        <w:rPr>
          <w:rFonts w:ascii="Times New Roman" w:hAnsi="Times New Roman" w:cs="Times New Roman"/>
          <w:sz w:val="24"/>
          <w:szCs w:val="24"/>
          <w:vertAlign w:val="superscript"/>
        </w:rPr>
        <w:t>5</w:t>
      </w:r>
    </w:p>
    <w:p w14:paraId="17946B54" w14:textId="77777777" w:rsidR="00A64A84" w:rsidRPr="000C14A1" w:rsidRDefault="00A64A84" w:rsidP="00A64A84">
      <w:pPr>
        <w:pStyle w:val="NoSpacing"/>
        <w:spacing w:line="360" w:lineRule="auto"/>
        <w:ind w:left="540" w:hanging="180"/>
        <w:rPr>
          <w:rFonts w:ascii="Times New Roman" w:hAnsi="Times New Roman" w:cs="Times New Roman"/>
          <w:sz w:val="28"/>
          <w:szCs w:val="24"/>
          <w:vertAlign w:val="superscript"/>
        </w:rPr>
      </w:pPr>
    </w:p>
    <w:p w14:paraId="17946B55" w14:textId="77777777" w:rsidR="00363564" w:rsidRPr="000C14A1" w:rsidRDefault="00363564" w:rsidP="00F53833">
      <w:pPr>
        <w:pStyle w:val="NoSpacing"/>
        <w:spacing w:line="480" w:lineRule="auto"/>
        <w:jc w:val="center"/>
        <w:rPr>
          <w:rFonts w:ascii="Times New Roman" w:hAnsi="Times New Roman" w:cs="Times New Roman"/>
          <w:sz w:val="28"/>
          <w:szCs w:val="24"/>
        </w:rPr>
      </w:pPr>
    </w:p>
    <w:p w14:paraId="17946B56" w14:textId="77777777" w:rsidR="002D6392" w:rsidRPr="000C14A1" w:rsidRDefault="004A037B" w:rsidP="004A037B">
      <w:pPr>
        <w:pStyle w:val="NoSpacing"/>
        <w:tabs>
          <w:tab w:val="left" w:pos="2070"/>
          <w:tab w:val="center" w:pos="4680"/>
        </w:tabs>
        <w:spacing w:line="480" w:lineRule="auto"/>
        <w:rPr>
          <w:rFonts w:ascii="Times New Roman" w:hAnsi="Times New Roman" w:cs="Times New Roman"/>
          <w:b/>
          <w:sz w:val="28"/>
          <w:szCs w:val="24"/>
        </w:rPr>
      </w:pPr>
      <w:r w:rsidRPr="000C14A1">
        <w:rPr>
          <w:rFonts w:ascii="Times New Roman" w:hAnsi="Times New Roman" w:cs="Times New Roman"/>
          <w:b/>
          <w:sz w:val="28"/>
          <w:szCs w:val="24"/>
        </w:rPr>
        <w:tab/>
      </w:r>
      <w:r w:rsidRPr="000C14A1">
        <w:rPr>
          <w:rFonts w:ascii="Times New Roman" w:hAnsi="Times New Roman" w:cs="Times New Roman"/>
          <w:b/>
          <w:sz w:val="28"/>
          <w:szCs w:val="24"/>
        </w:rPr>
        <w:tab/>
      </w:r>
      <w:r w:rsidR="002D6392" w:rsidRPr="000C14A1">
        <w:rPr>
          <w:rFonts w:ascii="Times New Roman" w:hAnsi="Times New Roman" w:cs="Times New Roman"/>
          <w:b/>
          <w:sz w:val="32"/>
          <w:szCs w:val="24"/>
        </w:rPr>
        <w:t>Supplement</w:t>
      </w:r>
      <w:r w:rsidR="00E45AEB" w:rsidRPr="000C14A1">
        <w:rPr>
          <w:rFonts w:ascii="Times New Roman" w:hAnsi="Times New Roman" w:cs="Times New Roman"/>
          <w:b/>
          <w:sz w:val="32"/>
          <w:szCs w:val="24"/>
        </w:rPr>
        <w:t xml:space="preserve">al </w:t>
      </w:r>
      <w:r w:rsidR="000C14A1" w:rsidRPr="000C14A1">
        <w:rPr>
          <w:rFonts w:ascii="Times New Roman" w:hAnsi="Times New Roman" w:cs="Times New Roman"/>
          <w:b/>
          <w:sz w:val="32"/>
          <w:szCs w:val="24"/>
        </w:rPr>
        <w:t xml:space="preserve">Digital </w:t>
      </w:r>
      <w:r w:rsidR="00E45AEB" w:rsidRPr="000C14A1">
        <w:rPr>
          <w:rFonts w:ascii="Times New Roman" w:hAnsi="Times New Roman" w:cs="Times New Roman"/>
          <w:b/>
          <w:sz w:val="32"/>
          <w:szCs w:val="24"/>
        </w:rPr>
        <w:t>Content</w:t>
      </w:r>
    </w:p>
    <w:p w14:paraId="17946B57" w14:textId="77777777" w:rsidR="00A64A84" w:rsidRPr="000C14A1" w:rsidRDefault="00A64A84" w:rsidP="004A037B">
      <w:pPr>
        <w:spacing w:after="160" w:line="240" w:lineRule="auto"/>
        <w:ind w:left="1620" w:hanging="1170"/>
        <w:rPr>
          <w:rFonts w:ascii="Times New Roman" w:hAnsi="Times New Roman" w:cs="Times New Roman"/>
          <w:sz w:val="24"/>
          <w:szCs w:val="24"/>
        </w:rPr>
      </w:pPr>
      <w:proofErr w:type="spellStart"/>
      <w:r w:rsidRPr="000C14A1">
        <w:rPr>
          <w:rFonts w:ascii="Times New Roman" w:hAnsi="Times New Roman" w:cs="Times New Roman"/>
          <w:sz w:val="24"/>
          <w:szCs w:val="24"/>
        </w:rPr>
        <w:t>eTable</w:t>
      </w:r>
      <w:proofErr w:type="spellEnd"/>
      <w:r w:rsidRPr="000C14A1">
        <w:rPr>
          <w:rFonts w:ascii="Times New Roman" w:hAnsi="Times New Roman" w:cs="Times New Roman"/>
          <w:sz w:val="24"/>
          <w:szCs w:val="24"/>
        </w:rPr>
        <w:t xml:space="preserve"> 1:  Quality Improvement Electronic Criteria to Identify Sepsis</w:t>
      </w:r>
    </w:p>
    <w:p w14:paraId="17946B58" w14:textId="77777777" w:rsidR="00A64A84" w:rsidRPr="000C14A1" w:rsidRDefault="00A64A84" w:rsidP="004A037B">
      <w:pPr>
        <w:spacing w:after="160" w:line="240" w:lineRule="auto"/>
        <w:ind w:left="1620" w:hanging="1170"/>
        <w:rPr>
          <w:rFonts w:ascii="Times New Roman" w:hAnsi="Times New Roman" w:cs="Times New Roman"/>
          <w:sz w:val="24"/>
          <w:szCs w:val="24"/>
        </w:rPr>
      </w:pPr>
      <w:proofErr w:type="spellStart"/>
      <w:r w:rsidRPr="000C14A1">
        <w:rPr>
          <w:rFonts w:ascii="Times New Roman" w:hAnsi="Times New Roman" w:cs="Times New Roman"/>
          <w:sz w:val="24"/>
          <w:szCs w:val="24"/>
        </w:rPr>
        <w:t>eTable</w:t>
      </w:r>
      <w:proofErr w:type="spellEnd"/>
      <w:r w:rsidRPr="000C14A1">
        <w:rPr>
          <w:rFonts w:ascii="Times New Roman" w:hAnsi="Times New Roman" w:cs="Times New Roman"/>
          <w:sz w:val="24"/>
          <w:szCs w:val="24"/>
        </w:rPr>
        <w:t xml:space="preserve"> 2:  Adjudication Criteria for Severe Sepsis and Septic Shock</w:t>
      </w:r>
    </w:p>
    <w:p w14:paraId="17946B59" w14:textId="77777777" w:rsidR="00A64A84" w:rsidRPr="000C14A1" w:rsidRDefault="00A64A84" w:rsidP="004A037B">
      <w:pPr>
        <w:spacing w:after="160" w:line="240" w:lineRule="auto"/>
        <w:ind w:left="1620" w:hanging="1170"/>
        <w:rPr>
          <w:rFonts w:ascii="Times New Roman" w:hAnsi="Times New Roman" w:cs="Times New Roman"/>
          <w:sz w:val="24"/>
          <w:szCs w:val="24"/>
        </w:rPr>
      </w:pPr>
      <w:proofErr w:type="spellStart"/>
      <w:r w:rsidRPr="000C14A1">
        <w:rPr>
          <w:rFonts w:ascii="Times New Roman" w:hAnsi="Times New Roman" w:cs="Times New Roman"/>
          <w:sz w:val="24"/>
          <w:szCs w:val="24"/>
        </w:rPr>
        <w:t>eTable</w:t>
      </w:r>
      <w:proofErr w:type="spellEnd"/>
      <w:r w:rsidRPr="000C14A1">
        <w:rPr>
          <w:rFonts w:ascii="Times New Roman" w:hAnsi="Times New Roman" w:cs="Times New Roman"/>
          <w:sz w:val="24"/>
          <w:szCs w:val="24"/>
        </w:rPr>
        <w:t xml:space="preserve"> 3:  Patient Characteristics for All Eligible Hospital Encounters</w:t>
      </w:r>
    </w:p>
    <w:p w14:paraId="17946B5A" w14:textId="77777777" w:rsidR="00A64A84" w:rsidRPr="000C14A1" w:rsidRDefault="00A64A84" w:rsidP="004A037B">
      <w:pPr>
        <w:spacing w:after="160" w:line="240" w:lineRule="auto"/>
        <w:ind w:left="1620" w:hanging="1170"/>
        <w:rPr>
          <w:rFonts w:ascii="Times New Roman" w:hAnsi="Times New Roman" w:cs="Times New Roman"/>
          <w:sz w:val="24"/>
          <w:szCs w:val="24"/>
        </w:rPr>
      </w:pPr>
      <w:proofErr w:type="spellStart"/>
      <w:r w:rsidRPr="000C14A1">
        <w:rPr>
          <w:rFonts w:ascii="Times New Roman" w:hAnsi="Times New Roman" w:cs="Times New Roman"/>
          <w:sz w:val="24"/>
          <w:szCs w:val="24"/>
        </w:rPr>
        <w:t>eTable</w:t>
      </w:r>
      <w:proofErr w:type="spellEnd"/>
      <w:r w:rsidRPr="000C14A1">
        <w:rPr>
          <w:rFonts w:ascii="Times New Roman" w:hAnsi="Times New Roman" w:cs="Times New Roman"/>
          <w:sz w:val="24"/>
          <w:szCs w:val="24"/>
        </w:rPr>
        <w:t xml:space="preserve"> 4:  Multivariable Poisson Regression Model for Incidence of Sepsis Episodes Among All Hospital Encounters, 2011-2018</w:t>
      </w:r>
    </w:p>
    <w:p w14:paraId="17946B5B" w14:textId="77777777" w:rsidR="00A64A84" w:rsidRPr="000C14A1" w:rsidRDefault="00A64A84" w:rsidP="004A037B">
      <w:pPr>
        <w:spacing w:after="160" w:line="240" w:lineRule="auto"/>
        <w:ind w:left="1620" w:hanging="1170"/>
        <w:rPr>
          <w:rFonts w:ascii="Times New Roman" w:hAnsi="Times New Roman" w:cs="Times New Roman"/>
          <w:sz w:val="24"/>
          <w:szCs w:val="24"/>
        </w:rPr>
      </w:pPr>
      <w:proofErr w:type="spellStart"/>
      <w:r w:rsidRPr="000C14A1">
        <w:rPr>
          <w:rFonts w:ascii="Times New Roman" w:hAnsi="Times New Roman" w:cs="Times New Roman"/>
          <w:sz w:val="24"/>
          <w:szCs w:val="24"/>
        </w:rPr>
        <w:t>eTable</w:t>
      </w:r>
      <w:proofErr w:type="spellEnd"/>
      <w:r w:rsidRPr="000C14A1">
        <w:rPr>
          <w:rFonts w:ascii="Times New Roman" w:hAnsi="Times New Roman" w:cs="Times New Roman"/>
          <w:sz w:val="24"/>
          <w:szCs w:val="24"/>
        </w:rPr>
        <w:t xml:space="preserve"> 5:  Multivariable Logistic Regression Model for Mortality Among Sepsis Episodes Identified by the </w:t>
      </w:r>
      <w:r w:rsidR="004A2182">
        <w:rPr>
          <w:rFonts w:ascii="Times New Roman" w:hAnsi="Times New Roman" w:cs="Times New Roman"/>
          <w:sz w:val="24"/>
          <w:szCs w:val="24"/>
        </w:rPr>
        <w:t xml:space="preserve">Surveillance </w:t>
      </w:r>
      <w:r w:rsidRPr="000C14A1">
        <w:rPr>
          <w:rFonts w:ascii="Times New Roman" w:hAnsi="Times New Roman" w:cs="Times New Roman"/>
          <w:sz w:val="24"/>
          <w:szCs w:val="24"/>
        </w:rPr>
        <w:t>Algorithm, 2011-2018</w:t>
      </w:r>
    </w:p>
    <w:p w14:paraId="17946B5C" w14:textId="77777777" w:rsidR="00A64A84" w:rsidRPr="000C14A1" w:rsidRDefault="00A64A84" w:rsidP="004A037B">
      <w:pPr>
        <w:spacing w:after="160" w:line="240" w:lineRule="auto"/>
        <w:ind w:left="1620" w:hanging="1170"/>
        <w:rPr>
          <w:rFonts w:ascii="Times New Roman" w:hAnsi="Times New Roman" w:cs="Times New Roman"/>
          <w:sz w:val="24"/>
          <w:szCs w:val="24"/>
        </w:rPr>
      </w:pPr>
      <w:proofErr w:type="spellStart"/>
      <w:r w:rsidRPr="000C14A1">
        <w:rPr>
          <w:rFonts w:ascii="Times New Roman" w:hAnsi="Times New Roman" w:cs="Times New Roman"/>
          <w:sz w:val="24"/>
          <w:szCs w:val="24"/>
        </w:rPr>
        <w:t>eFigure</w:t>
      </w:r>
      <w:proofErr w:type="spellEnd"/>
      <w:r w:rsidRPr="000C14A1">
        <w:rPr>
          <w:rFonts w:ascii="Times New Roman" w:hAnsi="Times New Roman" w:cs="Times New Roman"/>
          <w:sz w:val="24"/>
          <w:szCs w:val="24"/>
        </w:rPr>
        <w:t xml:space="preserve"> 1:  Patient Flow Diagram</w:t>
      </w:r>
    </w:p>
    <w:p w14:paraId="17946B5D" w14:textId="77777777" w:rsidR="004A037B" w:rsidRPr="000C14A1" w:rsidRDefault="004A037B" w:rsidP="004A037B">
      <w:pPr>
        <w:spacing w:after="160" w:line="240" w:lineRule="auto"/>
        <w:ind w:left="1620" w:hanging="1170"/>
        <w:rPr>
          <w:rFonts w:ascii="Times New Roman" w:hAnsi="Times New Roman" w:cs="Times New Roman"/>
          <w:sz w:val="24"/>
          <w:szCs w:val="24"/>
        </w:rPr>
      </w:pPr>
      <w:proofErr w:type="spellStart"/>
      <w:r w:rsidRPr="000C14A1">
        <w:rPr>
          <w:rFonts w:ascii="Times New Roman" w:hAnsi="Times New Roman" w:cs="Times New Roman"/>
          <w:sz w:val="24"/>
          <w:szCs w:val="24"/>
        </w:rPr>
        <w:t>eFigure</w:t>
      </w:r>
      <w:proofErr w:type="spellEnd"/>
      <w:r w:rsidRPr="000C14A1">
        <w:rPr>
          <w:rFonts w:ascii="Times New Roman" w:hAnsi="Times New Roman" w:cs="Times New Roman"/>
          <w:sz w:val="24"/>
          <w:szCs w:val="24"/>
        </w:rPr>
        <w:t xml:space="preserve"> 2:  Test Characteristics using Derivation and Validation Cohorts</w:t>
      </w:r>
    </w:p>
    <w:p w14:paraId="17946B5E" w14:textId="77777777" w:rsidR="004A037B" w:rsidRPr="000C14A1" w:rsidRDefault="004A037B" w:rsidP="004A037B">
      <w:pPr>
        <w:spacing w:after="160" w:line="240" w:lineRule="auto"/>
        <w:ind w:left="1620" w:hanging="1170"/>
        <w:rPr>
          <w:rFonts w:ascii="Times New Roman" w:hAnsi="Times New Roman" w:cs="Times New Roman"/>
          <w:sz w:val="24"/>
          <w:szCs w:val="24"/>
        </w:rPr>
      </w:pPr>
      <w:proofErr w:type="spellStart"/>
      <w:r w:rsidRPr="000C14A1">
        <w:rPr>
          <w:rFonts w:ascii="Times New Roman" w:hAnsi="Times New Roman" w:cs="Times New Roman"/>
          <w:sz w:val="24"/>
          <w:szCs w:val="24"/>
        </w:rPr>
        <w:t>eFigure</w:t>
      </w:r>
      <w:proofErr w:type="spellEnd"/>
      <w:r w:rsidRPr="000C14A1">
        <w:rPr>
          <w:rFonts w:ascii="Times New Roman" w:hAnsi="Times New Roman" w:cs="Times New Roman"/>
          <w:sz w:val="24"/>
          <w:szCs w:val="24"/>
        </w:rPr>
        <w:t xml:space="preserve"> 3:  Proportion of Sepsis Episodes that Included Hyperlactatemia Over Time</w:t>
      </w:r>
    </w:p>
    <w:p w14:paraId="17946B5F" w14:textId="77777777" w:rsidR="00A64A84" w:rsidRPr="000C14A1" w:rsidRDefault="00A64A84" w:rsidP="00A64A84">
      <w:pPr>
        <w:rPr>
          <w:rFonts w:ascii="Times New Roman" w:hAnsi="Times New Roman" w:cs="Times New Roman"/>
          <w:b/>
          <w:sz w:val="24"/>
          <w:szCs w:val="24"/>
        </w:rPr>
      </w:pPr>
    </w:p>
    <w:p w14:paraId="17946B60" w14:textId="77777777" w:rsidR="00A64A84" w:rsidRPr="000C14A1" w:rsidRDefault="00A64A84">
      <w:pPr>
        <w:rPr>
          <w:rFonts w:ascii="Times New Roman" w:hAnsi="Times New Roman" w:cs="Times New Roman"/>
          <w:b/>
          <w:sz w:val="24"/>
          <w:szCs w:val="24"/>
        </w:rPr>
      </w:pPr>
    </w:p>
    <w:p w14:paraId="17946B61" w14:textId="77777777" w:rsidR="00A64A84" w:rsidRPr="000C14A1" w:rsidRDefault="00A64A84">
      <w:pPr>
        <w:rPr>
          <w:rFonts w:ascii="Times New Roman" w:hAnsi="Times New Roman" w:cs="Times New Roman"/>
          <w:b/>
          <w:sz w:val="24"/>
          <w:szCs w:val="24"/>
        </w:rPr>
      </w:pPr>
      <w:r w:rsidRPr="000C14A1">
        <w:rPr>
          <w:rFonts w:ascii="Times New Roman" w:hAnsi="Times New Roman" w:cs="Times New Roman"/>
          <w:b/>
          <w:sz w:val="24"/>
          <w:szCs w:val="24"/>
        </w:rPr>
        <w:br w:type="page"/>
      </w:r>
    </w:p>
    <w:p w14:paraId="17946B62" w14:textId="77777777" w:rsidR="00A64A84" w:rsidRPr="000C14A1" w:rsidRDefault="00A64A84" w:rsidP="00A64A84">
      <w:pPr>
        <w:rPr>
          <w:rFonts w:ascii="Times New Roman" w:hAnsi="Times New Roman" w:cs="Times New Roman"/>
          <w:b/>
          <w:sz w:val="24"/>
          <w:szCs w:val="24"/>
        </w:rPr>
      </w:pPr>
      <w:proofErr w:type="spellStart"/>
      <w:r w:rsidRPr="000C14A1">
        <w:rPr>
          <w:rFonts w:ascii="Times New Roman" w:hAnsi="Times New Roman" w:cs="Times New Roman"/>
          <w:b/>
          <w:sz w:val="24"/>
          <w:szCs w:val="24"/>
        </w:rPr>
        <w:lastRenderedPageBreak/>
        <w:t>eTable</w:t>
      </w:r>
      <w:proofErr w:type="spellEnd"/>
      <w:r w:rsidRPr="000C14A1">
        <w:rPr>
          <w:rFonts w:ascii="Times New Roman" w:hAnsi="Times New Roman" w:cs="Times New Roman"/>
          <w:b/>
          <w:sz w:val="24"/>
          <w:szCs w:val="24"/>
        </w:rPr>
        <w:t xml:space="preserve"> 1:  Quality Improvement Electronic Criteria to Identify Sepsis</w:t>
      </w:r>
    </w:p>
    <w:tbl>
      <w:tblPr>
        <w:tblStyle w:val="TableGrid"/>
        <w:tblW w:w="9990" w:type="dxa"/>
        <w:tblInd w:w="-275" w:type="dxa"/>
        <w:tblBorders>
          <w:insideH w:val="none" w:sz="0" w:space="0" w:color="auto"/>
          <w:insideV w:val="none" w:sz="0" w:space="0" w:color="auto"/>
        </w:tblBorders>
        <w:tblLook w:val="04A0" w:firstRow="1" w:lastRow="0" w:firstColumn="1" w:lastColumn="0" w:noHBand="0" w:noVBand="1"/>
      </w:tblPr>
      <w:tblGrid>
        <w:gridCol w:w="2250"/>
        <w:gridCol w:w="2070"/>
        <w:gridCol w:w="1800"/>
        <w:gridCol w:w="1800"/>
        <w:gridCol w:w="2070"/>
      </w:tblGrid>
      <w:tr w:rsidR="00A64A84" w:rsidRPr="000C14A1" w14:paraId="17946B65" w14:textId="77777777" w:rsidTr="004570B5">
        <w:trPr>
          <w:trHeight w:val="512"/>
        </w:trPr>
        <w:tc>
          <w:tcPr>
            <w:tcW w:w="2250" w:type="dxa"/>
            <w:vMerge w:val="restart"/>
            <w:vAlign w:val="center"/>
          </w:tcPr>
          <w:p w14:paraId="17946B63" w14:textId="77777777" w:rsidR="00A64A84" w:rsidRPr="000C14A1" w:rsidRDefault="00A64A84" w:rsidP="004570B5">
            <w:pPr>
              <w:rPr>
                <w:rFonts w:ascii="Times New Roman" w:hAnsi="Times New Roman" w:cs="Times New Roman"/>
                <w:b/>
                <w:sz w:val="24"/>
                <w:szCs w:val="24"/>
              </w:rPr>
            </w:pPr>
            <w:r w:rsidRPr="000C14A1">
              <w:rPr>
                <w:rFonts w:ascii="Times New Roman" w:hAnsi="Times New Roman" w:cs="Times New Roman"/>
                <w:b/>
                <w:sz w:val="24"/>
                <w:szCs w:val="24"/>
              </w:rPr>
              <w:t>Criteria</w:t>
            </w:r>
          </w:p>
        </w:tc>
        <w:tc>
          <w:tcPr>
            <w:tcW w:w="7740" w:type="dxa"/>
            <w:gridSpan w:val="4"/>
            <w:tcBorders>
              <w:top w:val="single" w:sz="4" w:space="0" w:color="auto"/>
              <w:bottom w:val="single" w:sz="4" w:space="0" w:color="auto"/>
            </w:tcBorders>
            <w:vAlign w:val="center"/>
          </w:tcPr>
          <w:p w14:paraId="17946B64"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Unit</w:t>
            </w:r>
          </w:p>
        </w:tc>
      </w:tr>
      <w:tr w:rsidR="00A64A84" w:rsidRPr="000C14A1" w14:paraId="17946B6B" w14:textId="77777777" w:rsidTr="004570B5">
        <w:trPr>
          <w:trHeight w:val="350"/>
        </w:trPr>
        <w:tc>
          <w:tcPr>
            <w:tcW w:w="2250" w:type="dxa"/>
            <w:vMerge/>
          </w:tcPr>
          <w:p w14:paraId="17946B66" w14:textId="77777777" w:rsidR="00A64A84" w:rsidRPr="000C14A1" w:rsidRDefault="00A64A84" w:rsidP="004570B5">
            <w:pPr>
              <w:rPr>
                <w:rFonts w:ascii="Times New Roman" w:hAnsi="Times New Roman" w:cs="Times New Roman"/>
                <w:b/>
                <w:sz w:val="24"/>
                <w:szCs w:val="24"/>
              </w:rPr>
            </w:pPr>
          </w:p>
        </w:tc>
        <w:tc>
          <w:tcPr>
            <w:tcW w:w="2070" w:type="dxa"/>
            <w:tcBorders>
              <w:top w:val="single" w:sz="4" w:space="0" w:color="auto"/>
            </w:tcBorders>
            <w:vAlign w:val="bottom"/>
          </w:tcPr>
          <w:p w14:paraId="17946B67"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PICU</w:t>
            </w:r>
          </w:p>
        </w:tc>
        <w:tc>
          <w:tcPr>
            <w:tcW w:w="1800" w:type="dxa"/>
            <w:tcBorders>
              <w:top w:val="single" w:sz="4" w:space="0" w:color="auto"/>
            </w:tcBorders>
            <w:vAlign w:val="bottom"/>
          </w:tcPr>
          <w:p w14:paraId="17946B68"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ED</w:t>
            </w:r>
          </w:p>
        </w:tc>
        <w:tc>
          <w:tcPr>
            <w:tcW w:w="1800" w:type="dxa"/>
            <w:tcBorders>
              <w:top w:val="single" w:sz="4" w:space="0" w:color="auto"/>
            </w:tcBorders>
            <w:vAlign w:val="bottom"/>
          </w:tcPr>
          <w:p w14:paraId="17946B69"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Oncology</w:t>
            </w:r>
          </w:p>
        </w:tc>
        <w:tc>
          <w:tcPr>
            <w:tcW w:w="2070" w:type="dxa"/>
            <w:tcBorders>
              <w:top w:val="single" w:sz="4" w:space="0" w:color="auto"/>
            </w:tcBorders>
            <w:vAlign w:val="bottom"/>
          </w:tcPr>
          <w:p w14:paraId="17946B6A"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Med-Surg Ward</w:t>
            </w:r>
          </w:p>
        </w:tc>
      </w:tr>
      <w:tr w:rsidR="00A64A84" w:rsidRPr="000C14A1" w14:paraId="17946B71" w14:textId="77777777" w:rsidTr="004570B5">
        <w:trPr>
          <w:trHeight w:val="630"/>
        </w:trPr>
        <w:tc>
          <w:tcPr>
            <w:tcW w:w="2250" w:type="dxa"/>
            <w:vAlign w:val="center"/>
          </w:tcPr>
          <w:p w14:paraId="17946B6C"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Blood culture order</w:t>
            </w:r>
          </w:p>
        </w:tc>
        <w:tc>
          <w:tcPr>
            <w:tcW w:w="2070" w:type="dxa"/>
            <w:vAlign w:val="center"/>
          </w:tcPr>
          <w:p w14:paraId="17946B6D"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Required</w:t>
            </w:r>
          </w:p>
        </w:tc>
        <w:tc>
          <w:tcPr>
            <w:tcW w:w="1800" w:type="dxa"/>
            <w:vAlign w:val="center"/>
          </w:tcPr>
          <w:p w14:paraId="17946B6E"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Not required</w:t>
            </w:r>
          </w:p>
        </w:tc>
        <w:tc>
          <w:tcPr>
            <w:tcW w:w="1800" w:type="dxa"/>
            <w:vAlign w:val="center"/>
          </w:tcPr>
          <w:p w14:paraId="17946B6F"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Not required</w:t>
            </w:r>
          </w:p>
        </w:tc>
        <w:tc>
          <w:tcPr>
            <w:tcW w:w="2070" w:type="dxa"/>
            <w:vAlign w:val="center"/>
          </w:tcPr>
          <w:p w14:paraId="17946B70"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Required</w:t>
            </w:r>
          </w:p>
        </w:tc>
      </w:tr>
      <w:tr w:rsidR="00A64A84" w:rsidRPr="000C14A1" w14:paraId="17946B77" w14:textId="77777777" w:rsidTr="004570B5">
        <w:trPr>
          <w:trHeight w:val="1350"/>
        </w:trPr>
        <w:tc>
          <w:tcPr>
            <w:tcW w:w="2250" w:type="dxa"/>
            <w:vAlign w:val="center"/>
          </w:tcPr>
          <w:p w14:paraId="17946B72"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New qualifying antimicrobial </w:t>
            </w:r>
            <w:proofErr w:type="spellStart"/>
            <w:r w:rsidRPr="000C14A1">
              <w:rPr>
                <w:rFonts w:ascii="Times New Roman" w:hAnsi="Times New Roman" w:cs="Times New Roman"/>
                <w:sz w:val="24"/>
                <w:szCs w:val="24"/>
              </w:rPr>
              <w:t>order</w:t>
            </w:r>
            <w:r w:rsidRPr="000C14A1">
              <w:rPr>
                <w:rFonts w:ascii="Times New Roman" w:hAnsi="Times New Roman" w:cs="Times New Roman"/>
                <w:sz w:val="24"/>
                <w:szCs w:val="24"/>
                <w:vertAlign w:val="superscript"/>
              </w:rPr>
              <w:t>a</w:t>
            </w:r>
            <w:proofErr w:type="spellEnd"/>
          </w:p>
        </w:tc>
        <w:tc>
          <w:tcPr>
            <w:tcW w:w="2070" w:type="dxa"/>
            <w:vAlign w:val="center"/>
          </w:tcPr>
          <w:p w14:paraId="17946B73"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 xml:space="preserve">New order 1 </w:t>
            </w:r>
            <w:proofErr w:type="spellStart"/>
            <w:r w:rsidRPr="000C14A1">
              <w:rPr>
                <w:rFonts w:ascii="Times New Roman" w:hAnsi="Times New Roman" w:cs="Times New Roman"/>
                <w:sz w:val="24"/>
                <w:szCs w:val="24"/>
              </w:rPr>
              <w:t>hr</w:t>
            </w:r>
            <w:proofErr w:type="spellEnd"/>
            <w:r w:rsidRPr="000C14A1">
              <w:rPr>
                <w:rFonts w:ascii="Times New Roman" w:hAnsi="Times New Roman" w:cs="Times New Roman"/>
                <w:sz w:val="24"/>
                <w:szCs w:val="24"/>
              </w:rPr>
              <w:t xml:space="preserve"> before to 12 </w:t>
            </w:r>
            <w:proofErr w:type="spellStart"/>
            <w:r w:rsidRPr="000C14A1">
              <w:rPr>
                <w:rFonts w:ascii="Times New Roman" w:hAnsi="Times New Roman" w:cs="Times New Roman"/>
                <w:sz w:val="24"/>
                <w:szCs w:val="24"/>
              </w:rPr>
              <w:t>hrs</w:t>
            </w:r>
            <w:proofErr w:type="spellEnd"/>
            <w:r w:rsidRPr="000C14A1">
              <w:rPr>
                <w:rFonts w:ascii="Times New Roman" w:hAnsi="Times New Roman" w:cs="Times New Roman"/>
                <w:sz w:val="24"/>
                <w:szCs w:val="24"/>
              </w:rPr>
              <w:t xml:space="preserve"> after blood culture</w:t>
            </w:r>
          </w:p>
        </w:tc>
        <w:tc>
          <w:tcPr>
            <w:tcW w:w="1800" w:type="dxa"/>
            <w:vAlign w:val="center"/>
          </w:tcPr>
          <w:p w14:paraId="17946B74"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New order and administration in the ED via sepsis pathway</w:t>
            </w:r>
          </w:p>
        </w:tc>
        <w:tc>
          <w:tcPr>
            <w:tcW w:w="1800" w:type="dxa"/>
            <w:vAlign w:val="center"/>
          </w:tcPr>
          <w:p w14:paraId="17946B75"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New order within 12 hours of new fever</w:t>
            </w:r>
          </w:p>
        </w:tc>
        <w:tc>
          <w:tcPr>
            <w:tcW w:w="2070" w:type="dxa"/>
            <w:vAlign w:val="center"/>
          </w:tcPr>
          <w:p w14:paraId="17946B76"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 xml:space="preserve">New order 1 </w:t>
            </w:r>
            <w:proofErr w:type="spellStart"/>
            <w:r w:rsidRPr="000C14A1">
              <w:rPr>
                <w:rFonts w:ascii="Times New Roman" w:hAnsi="Times New Roman" w:cs="Times New Roman"/>
                <w:sz w:val="24"/>
                <w:szCs w:val="24"/>
              </w:rPr>
              <w:t>hr</w:t>
            </w:r>
            <w:proofErr w:type="spellEnd"/>
            <w:r w:rsidRPr="000C14A1">
              <w:rPr>
                <w:rFonts w:ascii="Times New Roman" w:hAnsi="Times New Roman" w:cs="Times New Roman"/>
                <w:sz w:val="24"/>
                <w:szCs w:val="24"/>
              </w:rPr>
              <w:t xml:space="preserve"> before to 4 </w:t>
            </w:r>
            <w:proofErr w:type="spellStart"/>
            <w:r w:rsidRPr="000C14A1">
              <w:rPr>
                <w:rFonts w:ascii="Times New Roman" w:hAnsi="Times New Roman" w:cs="Times New Roman"/>
                <w:sz w:val="24"/>
                <w:szCs w:val="24"/>
              </w:rPr>
              <w:t>hrs</w:t>
            </w:r>
            <w:proofErr w:type="spellEnd"/>
            <w:r w:rsidRPr="000C14A1">
              <w:rPr>
                <w:rFonts w:ascii="Times New Roman" w:hAnsi="Times New Roman" w:cs="Times New Roman"/>
                <w:sz w:val="24"/>
                <w:szCs w:val="24"/>
              </w:rPr>
              <w:t xml:space="preserve"> after blood culture</w:t>
            </w:r>
          </w:p>
        </w:tc>
      </w:tr>
    </w:tbl>
    <w:p w14:paraId="17946B78" w14:textId="77777777" w:rsidR="00A64A84" w:rsidRPr="000C14A1" w:rsidRDefault="00A64A84" w:rsidP="00A64A84">
      <w:pPr>
        <w:rPr>
          <w:rFonts w:ascii="Times New Roman" w:hAnsi="Times New Roman" w:cs="Times New Roman"/>
          <w:sz w:val="24"/>
          <w:szCs w:val="24"/>
        </w:rPr>
      </w:pPr>
    </w:p>
    <w:p w14:paraId="17946B79" w14:textId="77777777" w:rsidR="00A64A84" w:rsidRPr="000C14A1" w:rsidRDefault="00A64A84" w:rsidP="00A64A84">
      <w:pPr>
        <w:rPr>
          <w:rFonts w:ascii="Times New Roman" w:hAnsi="Times New Roman" w:cs="Times New Roman"/>
          <w:sz w:val="24"/>
          <w:szCs w:val="24"/>
        </w:rPr>
      </w:pPr>
      <w:proofErr w:type="spellStart"/>
      <w:proofErr w:type="gramStart"/>
      <w:r w:rsidRPr="000C14A1">
        <w:rPr>
          <w:rFonts w:ascii="Times New Roman" w:hAnsi="Times New Roman" w:cs="Times New Roman"/>
          <w:sz w:val="24"/>
          <w:szCs w:val="24"/>
          <w:vertAlign w:val="superscript"/>
        </w:rPr>
        <w:t>a</w:t>
      </w:r>
      <w:r w:rsidRPr="000C14A1">
        <w:rPr>
          <w:rFonts w:ascii="Times New Roman" w:hAnsi="Times New Roman" w:cs="Times New Roman"/>
          <w:sz w:val="24"/>
          <w:szCs w:val="24"/>
        </w:rPr>
        <w:t>”New</w:t>
      </w:r>
      <w:proofErr w:type="spellEnd"/>
      <w:proofErr w:type="gramEnd"/>
      <w:r w:rsidRPr="000C14A1">
        <w:rPr>
          <w:rFonts w:ascii="Times New Roman" w:hAnsi="Times New Roman" w:cs="Times New Roman"/>
          <w:sz w:val="24"/>
          <w:szCs w:val="24"/>
        </w:rPr>
        <w:t xml:space="preserve"> antimicrobial order” requires that patient not ordered for that antibiotic within prior 24 hours</w:t>
      </w:r>
    </w:p>
    <w:p w14:paraId="17946B7A" w14:textId="77777777" w:rsidR="00A64A84" w:rsidRPr="000C14A1" w:rsidRDefault="00A64A84" w:rsidP="00A64A84">
      <w:pPr>
        <w:rPr>
          <w:rFonts w:ascii="Times New Roman" w:hAnsi="Times New Roman" w:cs="Times New Roman"/>
          <w:sz w:val="24"/>
          <w:szCs w:val="24"/>
        </w:rPr>
      </w:pPr>
      <w:proofErr w:type="spellStart"/>
      <w:r w:rsidRPr="000C14A1">
        <w:rPr>
          <w:rFonts w:ascii="Times New Roman" w:hAnsi="Times New Roman" w:cs="Times New Roman"/>
          <w:sz w:val="24"/>
          <w:szCs w:val="24"/>
          <w:vertAlign w:val="superscript"/>
        </w:rPr>
        <w:t>b</w:t>
      </w:r>
      <w:r w:rsidRPr="000C14A1">
        <w:rPr>
          <w:rFonts w:ascii="Times New Roman" w:hAnsi="Times New Roman" w:cs="Times New Roman"/>
          <w:sz w:val="24"/>
          <w:szCs w:val="24"/>
        </w:rPr>
        <w:t>Qualifying</w:t>
      </w:r>
      <w:proofErr w:type="spellEnd"/>
      <w:r w:rsidRPr="000C14A1">
        <w:rPr>
          <w:rFonts w:ascii="Times New Roman" w:hAnsi="Times New Roman" w:cs="Times New Roman"/>
          <w:sz w:val="24"/>
          <w:szCs w:val="24"/>
        </w:rPr>
        <w:t xml:space="preserve"> antimicrobials include acyclovir, amikacin, ampicillin, aztreonam, cefepime, cefotaxime, ceftriaxone, ciprofloxacin, clindamycin, gentamicin, imipenem, linezolid</w:t>
      </w:r>
      <w:r w:rsidRPr="000C14A1">
        <w:rPr>
          <w:rFonts w:ascii="Times New Roman" w:hAnsi="Times New Roman" w:cs="Times New Roman"/>
          <w:b/>
          <w:sz w:val="24"/>
          <w:szCs w:val="24"/>
        </w:rPr>
        <w:t xml:space="preserve"> </w:t>
      </w:r>
      <w:r w:rsidRPr="000C14A1">
        <w:rPr>
          <w:rFonts w:ascii="Times New Roman" w:hAnsi="Times New Roman" w:cs="Times New Roman"/>
          <w:sz w:val="24"/>
          <w:szCs w:val="24"/>
        </w:rPr>
        <w:t>meropenem, metronidazole, oxacillin, piperacillin, and vancomycin</w:t>
      </w:r>
    </w:p>
    <w:p w14:paraId="17946B7B" w14:textId="77777777" w:rsidR="00A64A84" w:rsidRPr="000C14A1" w:rsidRDefault="00A64A84" w:rsidP="00A64A84">
      <w:pPr>
        <w:rPr>
          <w:rFonts w:ascii="Times New Roman" w:hAnsi="Times New Roman" w:cs="Times New Roman"/>
          <w:sz w:val="24"/>
          <w:szCs w:val="24"/>
        </w:rPr>
      </w:pPr>
    </w:p>
    <w:p w14:paraId="17946B7C" w14:textId="77777777" w:rsidR="00A64A84" w:rsidRPr="000C14A1" w:rsidRDefault="00A64A84" w:rsidP="00A64A84">
      <w:pPr>
        <w:rPr>
          <w:rFonts w:ascii="Times New Roman" w:hAnsi="Times New Roman" w:cs="Times New Roman"/>
          <w:b/>
          <w:sz w:val="24"/>
          <w:szCs w:val="24"/>
        </w:rPr>
      </w:pPr>
      <w:r w:rsidRPr="000C14A1">
        <w:rPr>
          <w:rFonts w:ascii="Times New Roman" w:hAnsi="Times New Roman" w:cs="Times New Roman"/>
          <w:b/>
          <w:sz w:val="24"/>
          <w:szCs w:val="24"/>
        </w:rPr>
        <w:br w:type="page"/>
      </w:r>
    </w:p>
    <w:p w14:paraId="17946B7D" w14:textId="77777777" w:rsidR="00A64A84" w:rsidRPr="000C14A1" w:rsidRDefault="00A64A84" w:rsidP="00A64A84">
      <w:pPr>
        <w:rPr>
          <w:rFonts w:ascii="Times New Roman" w:hAnsi="Times New Roman" w:cs="Times New Roman"/>
          <w:b/>
          <w:sz w:val="24"/>
          <w:szCs w:val="24"/>
        </w:rPr>
        <w:sectPr w:rsidR="00A64A84" w:rsidRPr="000C14A1" w:rsidSect="00102E80">
          <w:footerReference w:type="default" r:id="rId8"/>
          <w:pgSz w:w="12240" w:h="15840"/>
          <w:pgMar w:top="1440" w:right="1440" w:bottom="1440" w:left="1440" w:header="720" w:footer="720" w:gutter="0"/>
          <w:cols w:space="720"/>
          <w:docGrid w:linePitch="360"/>
        </w:sectPr>
      </w:pPr>
    </w:p>
    <w:p w14:paraId="17946B7E" w14:textId="77777777" w:rsidR="00A64A84" w:rsidRPr="000C14A1" w:rsidRDefault="00A64A84" w:rsidP="00A64A84">
      <w:pPr>
        <w:rPr>
          <w:rFonts w:ascii="Times New Roman" w:hAnsi="Times New Roman" w:cs="Times New Roman"/>
          <w:b/>
          <w:sz w:val="24"/>
          <w:szCs w:val="24"/>
        </w:rPr>
      </w:pPr>
      <w:proofErr w:type="spellStart"/>
      <w:r w:rsidRPr="000C14A1">
        <w:rPr>
          <w:rFonts w:ascii="Times New Roman" w:hAnsi="Times New Roman" w:cs="Times New Roman"/>
          <w:b/>
          <w:sz w:val="24"/>
          <w:szCs w:val="24"/>
        </w:rPr>
        <w:lastRenderedPageBreak/>
        <w:t>eTable</w:t>
      </w:r>
      <w:proofErr w:type="spellEnd"/>
      <w:r w:rsidRPr="000C14A1">
        <w:rPr>
          <w:rFonts w:ascii="Times New Roman" w:hAnsi="Times New Roman" w:cs="Times New Roman"/>
          <w:b/>
          <w:sz w:val="24"/>
          <w:szCs w:val="24"/>
        </w:rPr>
        <w:t xml:space="preserve"> 2:  Adjudication Criteria for Severe Sepsis and Septic Shock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2480"/>
        <w:gridCol w:w="2723"/>
        <w:gridCol w:w="2608"/>
        <w:gridCol w:w="2562"/>
      </w:tblGrid>
      <w:tr w:rsidR="00A64A84" w:rsidRPr="000C14A1" w14:paraId="17946B81" w14:textId="77777777" w:rsidTr="00A64A84">
        <w:trPr>
          <w:trHeight w:val="508"/>
        </w:trPr>
        <w:tc>
          <w:tcPr>
            <w:tcW w:w="2577" w:type="dxa"/>
            <w:vMerge w:val="restart"/>
            <w:vAlign w:val="center"/>
          </w:tcPr>
          <w:p w14:paraId="17946B7F"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No infection</w:t>
            </w:r>
          </w:p>
        </w:tc>
        <w:tc>
          <w:tcPr>
            <w:tcW w:w="10373" w:type="dxa"/>
            <w:gridSpan w:val="4"/>
            <w:vAlign w:val="center"/>
          </w:tcPr>
          <w:p w14:paraId="17946B80"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Suspected or Proven Infection Types</w:t>
            </w:r>
          </w:p>
        </w:tc>
      </w:tr>
      <w:tr w:rsidR="00A64A84" w:rsidRPr="000C14A1" w14:paraId="17946B89" w14:textId="77777777" w:rsidTr="00A64A84">
        <w:trPr>
          <w:trHeight w:val="508"/>
        </w:trPr>
        <w:tc>
          <w:tcPr>
            <w:tcW w:w="2577" w:type="dxa"/>
            <w:vMerge/>
            <w:vAlign w:val="center"/>
          </w:tcPr>
          <w:p w14:paraId="17946B82" w14:textId="77777777" w:rsidR="00A64A84" w:rsidRPr="000C14A1" w:rsidRDefault="00A64A84" w:rsidP="004570B5">
            <w:pPr>
              <w:jc w:val="center"/>
              <w:rPr>
                <w:rFonts w:ascii="Times New Roman" w:hAnsi="Times New Roman" w:cs="Times New Roman"/>
                <w:b/>
                <w:sz w:val="24"/>
                <w:szCs w:val="24"/>
              </w:rPr>
            </w:pPr>
          </w:p>
        </w:tc>
        <w:tc>
          <w:tcPr>
            <w:tcW w:w="2480" w:type="dxa"/>
            <w:vAlign w:val="center"/>
          </w:tcPr>
          <w:p w14:paraId="17946B83"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Suspected or Proven Viral Infection</w:t>
            </w:r>
          </w:p>
        </w:tc>
        <w:tc>
          <w:tcPr>
            <w:tcW w:w="2723" w:type="dxa"/>
            <w:vAlign w:val="center"/>
          </w:tcPr>
          <w:p w14:paraId="17946B84"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Suspected</w:t>
            </w:r>
          </w:p>
          <w:p w14:paraId="17946B85"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Bacterial Infection</w:t>
            </w:r>
          </w:p>
          <w:p w14:paraId="17946B86" w14:textId="77777777" w:rsidR="00A64A84" w:rsidRPr="000C14A1" w:rsidRDefault="00A64A84" w:rsidP="004570B5">
            <w:pPr>
              <w:jc w:val="center"/>
              <w:rPr>
                <w:rFonts w:ascii="Times New Roman" w:hAnsi="Times New Roman" w:cs="Times New Roman"/>
                <w:b/>
                <w:sz w:val="24"/>
                <w:szCs w:val="24"/>
              </w:rPr>
            </w:pPr>
          </w:p>
        </w:tc>
        <w:tc>
          <w:tcPr>
            <w:tcW w:w="2608" w:type="dxa"/>
            <w:vAlign w:val="center"/>
          </w:tcPr>
          <w:p w14:paraId="17946B87"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Documented Bacterial/Fungal infection</w:t>
            </w:r>
          </w:p>
        </w:tc>
        <w:tc>
          <w:tcPr>
            <w:tcW w:w="2562" w:type="dxa"/>
            <w:vAlign w:val="center"/>
          </w:tcPr>
          <w:p w14:paraId="17946B88"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Culture-negative Infection</w:t>
            </w:r>
          </w:p>
        </w:tc>
      </w:tr>
      <w:tr w:rsidR="00A64A84" w:rsidRPr="000C14A1" w14:paraId="17946BA9" w14:textId="77777777" w:rsidTr="00A64A84">
        <w:tc>
          <w:tcPr>
            <w:tcW w:w="2577" w:type="dxa"/>
          </w:tcPr>
          <w:p w14:paraId="17946B8A" w14:textId="77777777" w:rsidR="00A64A84" w:rsidRPr="000C14A1" w:rsidRDefault="00A64A84" w:rsidP="00A64A84">
            <w:pPr>
              <w:numPr>
                <w:ilvl w:val="0"/>
                <w:numId w:val="9"/>
              </w:numPr>
              <w:spacing w:after="0" w:line="240" w:lineRule="auto"/>
              <w:ind w:left="270" w:hanging="270"/>
              <w:rPr>
                <w:rFonts w:ascii="Times New Roman" w:hAnsi="Times New Roman" w:cs="Times New Roman"/>
                <w:sz w:val="24"/>
                <w:szCs w:val="24"/>
              </w:rPr>
            </w:pPr>
            <w:r w:rsidRPr="000C14A1">
              <w:rPr>
                <w:rFonts w:ascii="Times New Roman" w:hAnsi="Times New Roman" w:cs="Times New Roman"/>
                <w:sz w:val="24"/>
                <w:szCs w:val="24"/>
              </w:rPr>
              <w:t>All microbiology tests negative</w:t>
            </w:r>
          </w:p>
          <w:p w14:paraId="17946B8B" w14:textId="77777777" w:rsidR="00A64A84" w:rsidRPr="000C14A1" w:rsidRDefault="00A64A84" w:rsidP="00A64A84">
            <w:pPr>
              <w:numPr>
                <w:ilvl w:val="0"/>
                <w:numId w:val="9"/>
              </w:numPr>
              <w:spacing w:after="0" w:line="240" w:lineRule="auto"/>
              <w:ind w:left="270" w:hanging="270"/>
              <w:rPr>
                <w:rFonts w:ascii="Times New Roman" w:hAnsi="Times New Roman" w:cs="Times New Roman"/>
                <w:sz w:val="24"/>
                <w:szCs w:val="24"/>
              </w:rPr>
            </w:pPr>
            <w:r w:rsidRPr="000C14A1">
              <w:rPr>
                <w:rFonts w:ascii="Times New Roman" w:hAnsi="Times New Roman" w:cs="Times New Roman"/>
                <w:sz w:val="24"/>
                <w:szCs w:val="24"/>
              </w:rPr>
              <w:t>Low clinical suspicion for infection (based on notes)</w:t>
            </w:r>
          </w:p>
          <w:p w14:paraId="17946B8C" w14:textId="77777777" w:rsidR="00A64A84" w:rsidRPr="000C14A1" w:rsidRDefault="00A64A84" w:rsidP="00A64A84">
            <w:pPr>
              <w:numPr>
                <w:ilvl w:val="0"/>
                <w:numId w:val="16"/>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Includes presumed aspiration w/out definitive evidence of infection (regardless of antibiotic treatment)</w:t>
            </w:r>
          </w:p>
          <w:p w14:paraId="17946B8D" w14:textId="77777777" w:rsidR="00A64A84" w:rsidRPr="000C14A1" w:rsidRDefault="00A64A84" w:rsidP="00A64A84">
            <w:pPr>
              <w:numPr>
                <w:ilvl w:val="0"/>
                <w:numId w:val="9"/>
              </w:numPr>
              <w:spacing w:after="0" w:line="240" w:lineRule="auto"/>
              <w:ind w:left="270" w:hanging="270"/>
              <w:rPr>
                <w:rFonts w:ascii="Times New Roman" w:hAnsi="Times New Roman" w:cs="Times New Roman"/>
                <w:sz w:val="24"/>
                <w:szCs w:val="24"/>
              </w:rPr>
            </w:pPr>
            <w:r w:rsidRPr="000C14A1">
              <w:rPr>
                <w:rFonts w:ascii="Times New Roman" w:hAnsi="Times New Roman" w:cs="Times New Roman"/>
                <w:sz w:val="24"/>
                <w:szCs w:val="24"/>
              </w:rPr>
              <w:t>Patient did not receive a treatment course of antimicrobials</w:t>
            </w:r>
          </w:p>
        </w:tc>
        <w:tc>
          <w:tcPr>
            <w:tcW w:w="2480" w:type="dxa"/>
          </w:tcPr>
          <w:p w14:paraId="17946B8E" w14:textId="77777777" w:rsidR="00A64A84" w:rsidRPr="000C14A1" w:rsidRDefault="00A64A84" w:rsidP="00A64A84">
            <w:pPr>
              <w:numPr>
                <w:ilvl w:val="0"/>
                <w:numId w:val="9"/>
              </w:numPr>
              <w:spacing w:after="0" w:line="240" w:lineRule="auto"/>
              <w:ind w:left="264" w:hanging="270"/>
              <w:rPr>
                <w:rFonts w:ascii="Times New Roman" w:hAnsi="Times New Roman" w:cs="Times New Roman"/>
                <w:sz w:val="24"/>
                <w:szCs w:val="24"/>
              </w:rPr>
            </w:pPr>
            <w:r w:rsidRPr="000C14A1">
              <w:rPr>
                <w:rFonts w:ascii="Times New Roman" w:hAnsi="Times New Roman" w:cs="Times New Roman"/>
                <w:sz w:val="24"/>
                <w:szCs w:val="24"/>
              </w:rPr>
              <w:t>Negative bacterial cultures</w:t>
            </w:r>
          </w:p>
          <w:p w14:paraId="17946B8F" w14:textId="77777777" w:rsidR="00A64A84" w:rsidRPr="000C14A1" w:rsidRDefault="00A64A84" w:rsidP="00A64A84">
            <w:pPr>
              <w:numPr>
                <w:ilvl w:val="0"/>
                <w:numId w:val="9"/>
              </w:numPr>
              <w:spacing w:after="0" w:line="240" w:lineRule="auto"/>
              <w:ind w:left="264" w:hanging="270"/>
              <w:rPr>
                <w:rFonts w:ascii="Times New Roman" w:hAnsi="Times New Roman" w:cs="Times New Roman"/>
                <w:sz w:val="24"/>
                <w:szCs w:val="24"/>
              </w:rPr>
            </w:pPr>
            <w:r w:rsidRPr="000C14A1">
              <w:rPr>
                <w:rFonts w:ascii="Times New Roman" w:hAnsi="Times New Roman" w:cs="Times New Roman"/>
                <w:sz w:val="24"/>
                <w:szCs w:val="24"/>
              </w:rPr>
              <w:t>Radiological studies not diagnostic of bacterial infection (e.g. clear lobar PNA, abscess)</w:t>
            </w:r>
          </w:p>
          <w:p w14:paraId="17946B90" w14:textId="77777777" w:rsidR="00A64A84" w:rsidRPr="000C14A1" w:rsidRDefault="00A64A84" w:rsidP="00A64A84">
            <w:pPr>
              <w:numPr>
                <w:ilvl w:val="0"/>
                <w:numId w:val="9"/>
              </w:numPr>
              <w:spacing w:after="0" w:line="240" w:lineRule="auto"/>
              <w:ind w:left="264" w:hanging="270"/>
              <w:rPr>
                <w:rFonts w:ascii="Times New Roman" w:hAnsi="Times New Roman" w:cs="Times New Roman"/>
                <w:sz w:val="24"/>
                <w:szCs w:val="24"/>
              </w:rPr>
            </w:pPr>
            <w:r w:rsidRPr="000C14A1">
              <w:rPr>
                <w:rFonts w:ascii="Times New Roman" w:hAnsi="Times New Roman" w:cs="Times New Roman"/>
                <w:sz w:val="24"/>
                <w:szCs w:val="24"/>
              </w:rPr>
              <w:t>Positive viral testing or strong clinical suspicion for viral infection</w:t>
            </w:r>
          </w:p>
          <w:p w14:paraId="17946B91" w14:textId="77777777" w:rsidR="00A64A84" w:rsidRPr="000C14A1" w:rsidRDefault="00A64A84" w:rsidP="004570B5">
            <w:pPr>
              <w:ind w:left="264"/>
              <w:rPr>
                <w:rFonts w:ascii="Times New Roman" w:hAnsi="Times New Roman" w:cs="Times New Roman"/>
                <w:sz w:val="24"/>
                <w:szCs w:val="24"/>
              </w:rPr>
            </w:pPr>
          </w:p>
        </w:tc>
        <w:tc>
          <w:tcPr>
            <w:tcW w:w="2723" w:type="dxa"/>
          </w:tcPr>
          <w:p w14:paraId="17946B92" w14:textId="77777777" w:rsidR="00A64A84" w:rsidRPr="000C14A1" w:rsidRDefault="00A64A84" w:rsidP="00A64A84">
            <w:pPr>
              <w:numPr>
                <w:ilvl w:val="0"/>
                <w:numId w:val="9"/>
              </w:numPr>
              <w:spacing w:after="0" w:line="240" w:lineRule="auto"/>
              <w:ind w:left="348" w:hanging="270"/>
              <w:rPr>
                <w:rFonts w:ascii="Times New Roman" w:hAnsi="Times New Roman" w:cs="Times New Roman"/>
                <w:sz w:val="24"/>
                <w:szCs w:val="24"/>
              </w:rPr>
            </w:pPr>
            <w:r w:rsidRPr="000C14A1">
              <w:rPr>
                <w:rFonts w:ascii="Times New Roman" w:hAnsi="Times New Roman" w:cs="Times New Roman"/>
                <w:sz w:val="24"/>
                <w:szCs w:val="24"/>
              </w:rPr>
              <w:t xml:space="preserve">Negative bacterial cultures </w:t>
            </w:r>
            <w:r w:rsidRPr="000C14A1">
              <w:rPr>
                <w:rFonts w:ascii="Times New Roman" w:hAnsi="Times New Roman" w:cs="Times New Roman"/>
                <w:sz w:val="24"/>
                <w:szCs w:val="24"/>
                <w:u w:val="single"/>
              </w:rPr>
              <w:t>but</w:t>
            </w:r>
            <w:r w:rsidRPr="000C14A1">
              <w:rPr>
                <w:rFonts w:ascii="Times New Roman" w:hAnsi="Times New Roman" w:cs="Times New Roman"/>
                <w:sz w:val="24"/>
                <w:szCs w:val="24"/>
              </w:rPr>
              <w:t xml:space="preserve"> suspected source of bacterial infection (typically documented in progress notes):</w:t>
            </w:r>
          </w:p>
          <w:p w14:paraId="17946B93" w14:textId="77777777" w:rsidR="00A64A84" w:rsidRPr="000C14A1" w:rsidRDefault="00A64A84" w:rsidP="00A64A84">
            <w:pPr>
              <w:numPr>
                <w:ilvl w:val="0"/>
                <w:numId w:val="10"/>
              </w:numPr>
              <w:spacing w:after="0" w:line="240" w:lineRule="auto"/>
              <w:ind w:left="353" w:firstLine="7"/>
              <w:rPr>
                <w:rFonts w:ascii="Times New Roman" w:hAnsi="Times New Roman" w:cs="Times New Roman"/>
                <w:sz w:val="24"/>
                <w:szCs w:val="24"/>
              </w:rPr>
            </w:pPr>
            <w:proofErr w:type="spellStart"/>
            <w:r w:rsidRPr="000C14A1">
              <w:rPr>
                <w:rFonts w:ascii="Times New Roman" w:hAnsi="Times New Roman" w:cs="Times New Roman"/>
                <w:sz w:val="24"/>
                <w:szCs w:val="24"/>
              </w:rPr>
              <w:t>UTI</w:t>
            </w:r>
            <w:r w:rsidRPr="000C14A1">
              <w:rPr>
                <w:rFonts w:ascii="Times New Roman" w:hAnsi="Times New Roman" w:cs="Times New Roman"/>
                <w:sz w:val="24"/>
                <w:szCs w:val="24"/>
                <w:vertAlign w:val="superscript"/>
              </w:rPr>
              <w:t>a</w:t>
            </w:r>
            <w:proofErr w:type="spellEnd"/>
            <w:r w:rsidRPr="000C14A1">
              <w:rPr>
                <w:rFonts w:ascii="Times New Roman" w:hAnsi="Times New Roman" w:cs="Times New Roman"/>
                <w:sz w:val="24"/>
                <w:szCs w:val="24"/>
              </w:rPr>
              <w:t xml:space="preserve"> </w:t>
            </w:r>
          </w:p>
          <w:p w14:paraId="17946B94" w14:textId="77777777" w:rsidR="00A64A84" w:rsidRPr="000C14A1" w:rsidRDefault="00A64A84" w:rsidP="00A64A84">
            <w:pPr>
              <w:numPr>
                <w:ilvl w:val="0"/>
                <w:numId w:val="10"/>
              </w:numPr>
              <w:spacing w:after="0" w:line="240" w:lineRule="auto"/>
              <w:rPr>
                <w:rFonts w:ascii="Times New Roman" w:hAnsi="Times New Roman" w:cs="Times New Roman"/>
                <w:sz w:val="24"/>
                <w:szCs w:val="24"/>
              </w:rPr>
            </w:pPr>
            <w:proofErr w:type="spellStart"/>
            <w:r w:rsidRPr="000C14A1">
              <w:rPr>
                <w:rFonts w:ascii="Times New Roman" w:hAnsi="Times New Roman" w:cs="Times New Roman"/>
                <w:sz w:val="24"/>
                <w:szCs w:val="24"/>
              </w:rPr>
              <w:t>Pneumonia</w:t>
            </w:r>
            <w:r w:rsidRPr="000C14A1">
              <w:rPr>
                <w:rFonts w:ascii="Times New Roman" w:hAnsi="Times New Roman" w:cs="Times New Roman"/>
                <w:sz w:val="24"/>
                <w:szCs w:val="24"/>
                <w:vertAlign w:val="superscript"/>
              </w:rPr>
              <w:t>c</w:t>
            </w:r>
            <w:proofErr w:type="spellEnd"/>
          </w:p>
          <w:p w14:paraId="17946B95" w14:textId="77777777" w:rsidR="00A64A84" w:rsidRPr="000C14A1" w:rsidRDefault="00A64A84" w:rsidP="00A64A84">
            <w:pPr>
              <w:numPr>
                <w:ilvl w:val="0"/>
                <w:numId w:val="10"/>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CNS/meningitis</w:t>
            </w:r>
          </w:p>
          <w:p w14:paraId="17946B96" w14:textId="77777777" w:rsidR="00A64A84" w:rsidRPr="000C14A1" w:rsidRDefault="00A64A84" w:rsidP="00A64A84">
            <w:pPr>
              <w:numPr>
                <w:ilvl w:val="0"/>
                <w:numId w:val="10"/>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Peritonitis</w:t>
            </w:r>
          </w:p>
          <w:p w14:paraId="17946B97" w14:textId="77777777" w:rsidR="00A64A84" w:rsidRPr="000C14A1" w:rsidRDefault="00A64A84" w:rsidP="00A64A84">
            <w:pPr>
              <w:numPr>
                <w:ilvl w:val="0"/>
                <w:numId w:val="10"/>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Abscess</w:t>
            </w:r>
          </w:p>
          <w:p w14:paraId="17946B98" w14:textId="77777777" w:rsidR="00A64A84" w:rsidRPr="000C14A1" w:rsidRDefault="00A64A84" w:rsidP="00A64A84">
            <w:pPr>
              <w:numPr>
                <w:ilvl w:val="0"/>
                <w:numId w:val="10"/>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Endocarditis</w:t>
            </w:r>
          </w:p>
          <w:p w14:paraId="17946B99" w14:textId="77777777" w:rsidR="00A64A84" w:rsidRPr="000C14A1" w:rsidRDefault="00A64A84" w:rsidP="00A64A84">
            <w:pPr>
              <w:numPr>
                <w:ilvl w:val="0"/>
                <w:numId w:val="10"/>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Mediastinitis</w:t>
            </w:r>
          </w:p>
          <w:p w14:paraId="17946B9A" w14:textId="77777777" w:rsidR="00A64A84" w:rsidRPr="000C14A1" w:rsidRDefault="00A64A84" w:rsidP="00A64A84">
            <w:pPr>
              <w:numPr>
                <w:ilvl w:val="0"/>
                <w:numId w:val="10"/>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Osteomyelitis</w:t>
            </w:r>
          </w:p>
          <w:p w14:paraId="17946B9B" w14:textId="77777777" w:rsidR="00A64A84" w:rsidRPr="000C14A1" w:rsidRDefault="00A64A84" w:rsidP="00A64A84">
            <w:pPr>
              <w:numPr>
                <w:ilvl w:val="0"/>
                <w:numId w:val="10"/>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Sinusitis</w:t>
            </w:r>
          </w:p>
          <w:p w14:paraId="17946B9C" w14:textId="77777777" w:rsidR="00A64A84" w:rsidRPr="000C14A1" w:rsidRDefault="00A64A84" w:rsidP="00A64A84">
            <w:pPr>
              <w:numPr>
                <w:ilvl w:val="0"/>
                <w:numId w:val="10"/>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Pharyngitis</w:t>
            </w:r>
          </w:p>
          <w:p w14:paraId="17946B9D" w14:textId="77777777" w:rsidR="00A64A84" w:rsidRPr="000C14A1" w:rsidRDefault="00A64A84" w:rsidP="00A64A84">
            <w:pPr>
              <w:numPr>
                <w:ilvl w:val="0"/>
                <w:numId w:val="10"/>
              </w:numPr>
              <w:spacing w:after="0" w:line="240" w:lineRule="auto"/>
              <w:ind w:left="353" w:firstLine="7"/>
              <w:rPr>
                <w:rFonts w:ascii="Times New Roman" w:hAnsi="Times New Roman" w:cs="Times New Roman"/>
                <w:sz w:val="24"/>
                <w:szCs w:val="24"/>
              </w:rPr>
            </w:pPr>
            <w:r w:rsidRPr="000C14A1">
              <w:rPr>
                <w:rFonts w:ascii="Times New Roman" w:hAnsi="Times New Roman" w:cs="Times New Roman"/>
                <w:sz w:val="24"/>
                <w:szCs w:val="24"/>
              </w:rPr>
              <w:t xml:space="preserve">Gastroenteritis </w:t>
            </w:r>
          </w:p>
          <w:p w14:paraId="17946B9E" w14:textId="77777777" w:rsidR="00A64A84" w:rsidRPr="000C14A1" w:rsidRDefault="00A64A84" w:rsidP="00A64A84">
            <w:pPr>
              <w:numPr>
                <w:ilvl w:val="0"/>
                <w:numId w:val="10"/>
              </w:numPr>
              <w:spacing w:after="0" w:line="240" w:lineRule="auto"/>
              <w:ind w:left="353" w:firstLine="7"/>
              <w:rPr>
                <w:rFonts w:ascii="Times New Roman" w:hAnsi="Times New Roman" w:cs="Times New Roman"/>
                <w:sz w:val="24"/>
                <w:szCs w:val="24"/>
              </w:rPr>
            </w:pPr>
            <w:r w:rsidRPr="000C14A1">
              <w:rPr>
                <w:rFonts w:ascii="Times New Roman" w:hAnsi="Times New Roman" w:cs="Times New Roman"/>
                <w:sz w:val="24"/>
                <w:szCs w:val="24"/>
              </w:rPr>
              <w:t xml:space="preserve">Suspected toxic shock syndrome </w:t>
            </w:r>
          </w:p>
          <w:p w14:paraId="17946B9F" w14:textId="77777777" w:rsidR="00A64A84" w:rsidRPr="000C14A1" w:rsidRDefault="00A64A84" w:rsidP="004570B5">
            <w:pPr>
              <w:ind w:left="320"/>
              <w:rPr>
                <w:rFonts w:ascii="Times New Roman" w:hAnsi="Times New Roman" w:cs="Times New Roman"/>
                <w:sz w:val="24"/>
                <w:szCs w:val="24"/>
              </w:rPr>
            </w:pPr>
          </w:p>
        </w:tc>
        <w:tc>
          <w:tcPr>
            <w:tcW w:w="2608" w:type="dxa"/>
          </w:tcPr>
          <w:p w14:paraId="17946BA0" w14:textId="77777777" w:rsidR="00A64A84" w:rsidRPr="000C14A1" w:rsidRDefault="00A64A84" w:rsidP="00A64A84">
            <w:pPr>
              <w:numPr>
                <w:ilvl w:val="0"/>
                <w:numId w:val="9"/>
              </w:numPr>
              <w:spacing w:after="0" w:line="240" w:lineRule="auto"/>
              <w:ind w:left="304" w:hanging="270"/>
              <w:rPr>
                <w:rFonts w:ascii="Times New Roman" w:hAnsi="Times New Roman" w:cs="Times New Roman"/>
                <w:sz w:val="24"/>
                <w:szCs w:val="24"/>
              </w:rPr>
            </w:pPr>
            <w:r w:rsidRPr="000C14A1">
              <w:rPr>
                <w:rFonts w:ascii="Times New Roman" w:hAnsi="Times New Roman" w:cs="Times New Roman"/>
                <w:sz w:val="24"/>
                <w:szCs w:val="24"/>
              </w:rPr>
              <w:t xml:space="preserve">Documented bacterial or fungal infection </w:t>
            </w:r>
          </w:p>
          <w:p w14:paraId="17946BA1" w14:textId="77777777" w:rsidR="00A64A84" w:rsidRPr="000C14A1" w:rsidRDefault="00A64A84" w:rsidP="00A64A84">
            <w:pPr>
              <w:numPr>
                <w:ilvl w:val="0"/>
                <w:numId w:val="12"/>
              </w:numPr>
              <w:spacing w:after="0" w:line="240" w:lineRule="auto"/>
              <w:rPr>
                <w:rFonts w:ascii="Times New Roman" w:hAnsi="Times New Roman" w:cs="Times New Roman"/>
                <w:sz w:val="24"/>
                <w:szCs w:val="24"/>
              </w:rPr>
            </w:pPr>
            <w:proofErr w:type="spellStart"/>
            <w:r w:rsidRPr="000C14A1">
              <w:rPr>
                <w:rFonts w:ascii="Times New Roman" w:hAnsi="Times New Roman" w:cs="Times New Roman"/>
                <w:sz w:val="24"/>
                <w:szCs w:val="24"/>
              </w:rPr>
              <w:t>UTI</w:t>
            </w:r>
            <w:r w:rsidRPr="000C14A1">
              <w:rPr>
                <w:rFonts w:ascii="Times New Roman" w:hAnsi="Times New Roman" w:cs="Times New Roman"/>
                <w:sz w:val="24"/>
                <w:szCs w:val="24"/>
                <w:vertAlign w:val="superscript"/>
              </w:rPr>
              <w:t>b</w:t>
            </w:r>
            <w:proofErr w:type="spellEnd"/>
          </w:p>
          <w:p w14:paraId="17946BA2" w14:textId="77777777" w:rsidR="00A64A84" w:rsidRPr="000C14A1" w:rsidRDefault="00A64A84" w:rsidP="00A64A84">
            <w:pPr>
              <w:numPr>
                <w:ilvl w:val="0"/>
                <w:numId w:val="12"/>
              </w:numPr>
              <w:spacing w:after="0" w:line="240" w:lineRule="auto"/>
              <w:rPr>
                <w:rFonts w:ascii="Times New Roman" w:hAnsi="Times New Roman" w:cs="Times New Roman"/>
                <w:sz w:val="24"/>
                <w:szCs w:val="24"/>
              </w:rPr>
            </w:pPr>
            <w:proofErr w:type="spellStart"/>
            <w:r w:rsidRPr="000C14A1">
              <w:rPr>
                <w:rFonts w:ascii="Times New Roman" w:hAnsi="Times New Roman" w:cs="Times New Roman"/>
                <w:sz w:val="24"/>
                <w:szCs w:val="24"/>
              </w:rPr>
              <w:t>Pneumonia</w:t>
            </w:r>
            <w:r w:rsidRPr="000C14A1">
              <w:rPr>
                <w:rFonts w:ascii="Times New Roman" w:hAnsi="Times New Roman" w:cs="Times New Roman"/>
                <w:sz w:val="24"/>
                <w:szCs w:val="24"/>
                <w:vertAlign w:val="superscript"/>
              </w:rPr>
              <w:t>d</w:t>
            </w:r>
            <w:proofErr w:type="spellEnd"/>
          </w:p>
          <w:p w14:paraId="17946BA3" w14:textId="77777777" w:rsidR="00A64A84" w:rsidRPr="000C14A1" w:rsidRDefault="00A64A84" w:rsidP="00A64A84">
            <w:pPr>
              <w:numPr>
                <w:ilvl w:val="0"/>
                <w:numId w:val="12"/>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Positive pathogenic culture from typically sterile site</w:t>
            </w:r>
          </w:p>
          <w:p w14:paraId="17946BA4" w14:textId="77777777" w:rsidR="00A64A84" w:rsidRPr="000C14A1" w:rsidRDefault="00A64A84" w:rsidP="00A64A84">
            <w:pPr>
              <w:numPr>
                <w:ilvl w:val="0"/>
                <w:numId w:val="12"/>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 xml:space="preserve">Culture-positive toxic shock syndrome </w:t>
            </w:r>
          </w:p>
          <w:p w14:paraId="17946BA5" w14:textId="77777777" w:rsidR="00A64A84" w:rsidRPr="000C14A1" w:rsidRDefault="00A64A84" w:rsidP="004570B5">
            <w:pPr>
              <w:ind w:left="350"/>
              <w:rPr>
                <w:rFonts w:ascii="Times New Roman" w:hAnsi="Times New Roman" w:cs="Times New Roman"/>
                <w:sz w:val="24"/>
                <w:szCs w:val="24"/>
              </w:rPr>
            </w:pPr>
          </w:p>
        </w:tc>
        <w:tc>
          <w:tcPr>
            <w:tcW w:w="2562" w:type="dxa"/>
          </w:tcPr>
          <w:p w14:paraId="17946BA6" w14:textId="77777777" w:rsidR="00A64A84" w:rsidRPr="000C14A1" w:rsidRDefault="00A64A84" w:rsidP="00A64A84">
            <w:pPr>
              <w:numPr>
                <w:ilvl w:val="0"/>
                <w:numId w:val="11"/>
              </w:numPr>
              <w:spacing w:after="0" w:line="240" w:lineRule="auto"/>
              <w:ind w:left="309" w:hanging="309"/>
              <w:rPr>
                <w:rFonts w:ascii="Times New Roman" w:hAnsi="Times New Roman" w:cs="Times New Roman"/>
                <w:sz w:val="24"/>
                <w:szCs w:val="24"/>
              </w:rPr>
            </w:pPr>
            <w:r w:rsidRPr="000C14A1">
              <w:rPr>
                <w:rFonts w:ascii="Times New Roman" w:hAnsi="Times New Roman" w:cs="Times New Roman"/>
                <w:sz w:val="24"/>
                <w:szCs w:val="24"/>
              </w:rPr>
              <w:t xml:space="preserve">Cultures negative for BACTERIAL, FUNGAL, or VIRAL infection </w:t>
            </w:r>
          </w:p>
          <w:p w14:paraId="17946BA7" w14:textId="77777777" w:rsidR="00A64A84" w:rsidRPr="000C14A1" w:rsidRDefault="00A64A84" w:rsidP="00A64A84">
            <w:pPr>
              <w:numPr>
                <w:ilvl w:val="0"/>
                <w:numId w:val="11"/>
              </w:numPr>
              <w:spacing w:after="0" w:line="240" w:lineRule="auto"/>
              <w:ind w:left="309" w:hanging="309"/>
              <w:rPr>
                <w:rFonts w:ascii="Times New Roman" w:hAnsi="Times New Roman" w:cs="Times New Roman"/>
                <w:sz w:val="24"/>
                <w:szCs w:val="24"/>
              </w:rPr>
            </w:pPr>
            <w:r w:rsidRPr="000C14A1">
              <w:rPr>
                <w:rFonts w:ascii="Times New Roman" w:hAnsi="Times New Roman" w:cs="Times New Roman"/>
                <w:sz w:val="24"/>
                <w:szCs w:val="24"/>
              </w:rPr>
              <w:t>High suspicion documented in progress notes for infectious etiology to symptoms</w:t>
            </w:r>
          </w:p>
          <w:p w14:paraId="17946BA8" w14:textId="77777777" w:rsidR="00A64A84" w:rsidRPr="000C14A1" w:rsidRDefault="00A64A84" w:rsidP="00A64A84">
            <w:pPr>
              <w:numPr>
                <w:ilvl w:val="0"/>
                <w:numId w:val="11"/>
              </w:numPr>
              <w:spacing w:after="0" w:line="240" w:lineRule="auto"/>
              <w:ind w:left="309" w:hanging="309"/>
              <w:rPr>
                <w:rFonts w:ascii="Times New Roman" w:hAnsi="Times New Roman" w:cs="Times New Roman"/>
                <w:sz w:val="24"/>
                <w:szCs w:val="24"/>
              </w:rPr>
            </w:pPr>
            <w:r w:rsidRPr="000C14A1">
              <w:rPr>
                <w:rFonts w:ascii="Times New Roman" w:hAnsi="Times New Roman" w:cs="Times New Roman"/>
                <w:sz w:val="24"/>
                <w:szCs w:val="24"/>
              </w:rPr>
              <w:t>Treatment for at least 5-7 days with broad spectrum antimicrobials (not including prophylactic antimicrobials)</w:t>
            </w:r>
          </w:p>
        </w:tc>
      </w:tr>
    </w:tbl>
    <w:p w14:paraId="17946BAA" w14:textId="77777777" w:rsidR="00A64A84" w:rsidRPr="000C14A1" w:rsidRDefault="00A64A84" w:rsidP="00A64A84">
      <w:pPr>
        <w:rPr>
          <w:rFonts w:ascii="Times New Roman" w:hAnsi="Times New Roman" w:cs="Times New Roman"/>
          <w:sz w:val="24"/>
          <w:szCs w:val="24"/>
        </w:rPr>
      </w:pPr>
    </w:p>
    <w:p w14:paraId="17946BAB" w14:textId="77777777" w:rsidR="00A64A84" w:rsidRPr="000C14A1" w:rsidRDefault="00A64A84" w:rsidP="00A64A84">
      <w:pPr>
        <w:spacing w:after="0" w:line="240" w:lineRule="auto"/>
        <w:rPr>
          <w:rFonts w:ascii="Times New Roman" w:hAnsi="Times New Roman" w:cs="Times New Roman"/>
          <w:sz w:val="24"/>
          <w:szCs w:val="24"/>
        </w:rPr>
      </w:pPr>
      <w:r w:rsidRPr="000C14A1">
        <w:rPr>
          <w:rFonts w:ascii="Times New Roman" w:hAnsi="Times New Roman" w:cs="Times New Roman"/>
          <w:sz w:val="24"/>
          <w:szCs w:val="24"/>
        </w:rPr>
        <w:br w:type="page"/>
      </w:r>
      <w:proofErr w:type="spellStart"/>
      <w:r w:rsidRPr="000C14A1">
        <w:rPr>
          <w:rFonts w:ascii="Times New Roman" w:hAnsi="Times New Roman" w:cs="Times New Roman"/>
          <w:b/>
          <w:sz w:val="24"/>
          <w:szCs w:val="24"/>
          <w:vertAlign w:val="superscript"/>
        </w:rPr>
        <w:lastRenderedPageBreak/>
        <w:t>a</w:t>
      </w:r>
      <w:r w:rsidRPr="000C14A1">
        <w:rPr>
          <w:rFonts w:ascii="Times New Roman" w:hAnsi="Times New Roman" w:cs="Times New Roman"/>
          <w:b/>
          <w:sz w:val="24"/>
          <w:szCs w:val="24"/>
        </w:rPr>
        <w:t>Suspected</w:t>
      </w:r>
      <w:proofErr w:type="spellEnd"/>
      <w:r w:rsidRPr="000C14A1">
        <w:rPr>
          <w:rFonts w:ascii="Times New Roman" w:hAnsi="Times New Roman" w:cs="Times New Roman"/>
          <w:b/>
          <w:sz w:val="24"/>
          <w:szCs w:val="24"/>
        </w:rPr>
        <w:t xml:space="preserve"> UTI</w:t>
      </w:r>
      <w:r w:rsidRPr="000C14A1">
        <w:rPr>
          <w:rFonts w:ascii="Times New Roman" w:hAnsi="Times New Roman" w:cs="Times New Roman"/>
          <w:sz w:val="24"/>
          <w:szCs w:val="24"/>
        </w:rPr>
        <w:t xml:space="preserve"> (any of the following criteria met):</w:t>
      </w:r>
    </w:p>
    <w:p w14:paraId="17946BAC" w14:textId="77777777" w:rsidR="00A64A84" w:rsidRPr="000C14A1" w:rsidRDefault="00A64A84" w:rsidP="00A64A84">
      <w:pPr>
        <w:numPr>
          <w:ilvl w:val="0"/>
          <w:numId w:val="17"/>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Urinalysis positive for leukocyte esterase or nitrites or ≥10 WBCs</w:t>
      </w:r>
    </w:p>
    <w:p w14:paraId="17946BAD" w14:textId="77777777" w:rsidR="00A64A84" w:rsidRPr="000C14A1" w:rsidRDefault="00A64A84" w:rsidP="00A64A84">
      <w:pPr>
        <w:numPr>
          <w:ilvl w:val="0"/>
          <w:numId w:val="17"/>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Urinalysis positive for bacteria plus temp instability and symptoms</w:t>
      </w:r>
    </w:p>
    <w:p w14:paraId="17946BAE" w14:textId="77777777" w:rsidR="00A64A84" w:rsidRPr="000C14A1" w:rsidRDefault="00A64A84" w:rsidP="00A64A84">
      <w:pPr>
        <w:spacing w:after="0" w:line="240" w:lineRule="auto"/>
        <w:rPr>
          <w:rFonts w:ascii="Times New Roman" w:hAnsi="Times New Roman" w:cs="Times New Roman"/>
          <w:b/>
          <w:sz w:val="24"/>
          <w:szCs w:val="24"/>
          <w:vertAlign w:val="superscript"/>
        </w:rPr>
      </w:pPr>
    </w:p>
    <w:p w14:paraId="17946BAF" w14:textId="77777777" w:rsidR="00A64A84" w:rsidRPr="000C14A1" w:rsidRDefault="00A64A84" w:rsidP="00A64A84">
      <w:pPr>
        <w:spacing w:after="0" w:line="240" w:lineRule="auto"/>
        <w:rPr>
          <w:rFonts w:ascii="Times New Roman" w:hAnsi="Times New Roman" w:cs="Times New Roman"/>
          <w:b/>
          <w:sz w:val="24"/>
          <w:szCs w:val="24"/>
        </w:rPr>
      </w:pPr>
      <w:proofErr w:type="spellStart"/>
      <w:r w:rsidRPr="000C14A1">
        <w:rPr>
          <w:rFonts w:ascii="Times New Roman" w:hAnsi="Times New Roman" w:cs="Times New Roman"/>
          <w:b/>
          <w:sz w:val="24"/>
          <w:szCs w:val="24"/>
          <w:vertAlign w:val="superscript"/>
        </w:rPr>
        <w:t>b</w:t>
      </w:r>
      <w:r w:rsidRPr="000C14A1">
        <w:rPr>
          <w:rFonts w:ascii="Times New Roman" w:hAnsi="Times New Roman" w:cs="Times New Roman"/>
          <w:b/>
          <w:sz w:val="24"/>
          <w:szCs w:val="24"/>
        </w:rPr>
        <w:t>Definite</w:t>
      </w:r>
      <w:proofErr w:type="spellEnd"/>
      <w:r w:rsidRPr="000C14A1">
        <w:rPr>
          <w:rFonts w:ascii="Times New Roman" w:hAnsi="Times New Roman" w:cs="Times New Roman"/>
          <w:b/>
          <w:sz w:val="24"/>
          <w:szCs w:val="24"/>
        </w:rPr>
        <w:t xml:space="preserve"> UTI</w:t>
      </w:r>
    </w:p>
    <w:p w14:paraId="17946BB0" w14:textId="77777777" w:rsidR="00A64A84" w:rsidRPr="000C14A1" w:rsidRDefault="00A64A84" w:rsidP="00A64A84">
      <w:pPr>
        <w:numPr>
          <w:ilvl w:val="0"/>
          <w:numId w:val="18"/>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Urine culture positive with ≥10</w:t>
      </w:r>
      <w:r w:rsidRPr="000C14A1">
        <w:rPr>
          <w:rFonts w:ascii="Times New Roman" w:hAnsi="Times New Roman" w:cs="Times New Roman"/>
          <w:sz w:val="24"/>
          <w:szCs w:val="24"/>
          <w:vertAlign w:val="superscript"/>
        </w:rPr>
        <w:t>5</w:t>
      </w:r>
      <w:r w:rsidRPr="000C14A1">
        <w:rPr>
          <w:rFonts w:ascii="Times New Roman" w:hAnsi="Times New Roman" w:cs="Times New Roman"/>
          <w:sz w:val="24"/>
          <w:szCs w:val="24"/>
        </w:rPr>
        <w:t xml:space="preserve"> CFU of 1-2 organisms with temp instability or symptoms</w:t>
      </w:r>
    </w:p>
    <w:p w14:paraId="17946BB1" w14:textId="77777777" w:rsidR="00A64A84" w:rsidRPr="000C14A1" w:rsidRDefault="00A64A84" w:rsidP="00A64A84">
      <w:pPr>
        <w:spacing w:after="0" w:line="240" w:lineRule="auto"/>
        <w:rPr>
          <w:rFonts w:ascii="Times New Roman" w:hAnsi="Times New Roman" w:cs="Times New Roman"/>
          <w:b/>
          <w:sz w:val="24"/>
          <w:szCs w:val="24"/>
          <w:vertAlign w:val="superscript"/>
        </w:rPr>
      </w:pPr>
    </w:p>
    <w:p w14:paraId="17946BB2" w14:textId="77777777" w:rsidR="00A64A84" w:rsidRPr="000C14A1" w:rsidRDefault="00A64A84" w:rsidP="00A64A84">
      <w:pPr>
        <w:spacing w:after="0" w:line="240" w:lineRule="auto"/>
        <w:rPr>
          <w:rFonts w:ascii="Times New Roman" w:hAnsi="Times New Roman" w:cs="Times New Roman"/>
          <w:b/>
          <w:sz w:val="24"/>
          <w:szCs w:val="24"/>
        </w:rPr>
      </w:pPr>
      <w:proofErr w:type="spellStart"/>
      <w:r w:rsidRPr="000C14A1">
        <w:rPr>
          <w:rFonts w:ascii="Times New Roman" w:hAnsi="Times New Roman" w:cs="Times New Roman"/>
          <w:b/>
          <w:sz w:val="24"/>
          <w:szCs w:val="24"/>
          <w:vertAlign w:val="superscript"/>
        </w:rPr>
        <w:t>c</w:t>
      </w:r>
      <w:r w:rsidRPr="000C14A1">
        <w:rPr>
          <w:rFonts w:ascii="Times New Roman" w:hAnsi="Times New Roman" w:cs="Times New Roman"/>
          <w:b/>
          <w:sz w:val="24"/>
          <w:szCs w:val="24"/>
        </w:rPr>
        <w:t>Possible</w:t>
      </w:r>
      <w:proofErr w:type="spellEnd"/>
      <w:r w:rsidRPr="000C14A1">
        <w:rPr>
          <w:rFonts w:ascii="Times New Roman" w:hAnsi="Times New Roman" w:cs="Times New Roman"/>
          <w:b/>
          <w:sz w:val="24"/>
          <w:szCs w:val="24"/>
        </w:rPr>
        <w:t xml:space="preserve"> Pneumonia: </w:t>
      </w:r>
    </w:p>
    <w:p w14:paraId="17946BB3" w14:textId="77777777" w:rsidR="00A64A84" w:rsidRPr="000C14A1" w:rsidRDefault="00A64A84" w:rsidP="00A64A84">
      <w:pPr>
        <w:numPr>
          <w:ilvl w:val="0"/>
          <w:numId w:val="13"/>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 xml:space="preserve">At least 1 of the following on chest x-ray: new or progressive </w:t>
      </w:r>
      <w:r w:rsidRPr="000C14A1">
        <w:rPr>
          <w:rFonts w:ascii="Times New Roman" w:hAnsi="Times New Roman" w:cs="Times New Roman"/>
          <w:sz w:val="24"/>
          <w:szCs w:val="24"/>
          <w:u w:val="single"/>
        </w:rPr>
        <w:t>and</w:t>
      </w:r>
      <w:r w:rsidRPr="000C14A1">
        <w:rPr>
          <w:rFonts w:ascii="Times New Roman" w:hAnsi="Times New Roman" w:cs="Times New Roman"/>
          <w:sz w:val="24"/>
          <w:szCs w:val="24"/>
        </w:rPr>
        <w:t xml:space="preserve"> persistent infiltrate, consolidation, cavitation, or pneumatoceles that is not clearly atelectasis per attending radiologist </w:t>
      </w:r>
      <w:r w:rsidRPr="000C14A1">
        <w:rPr>
          <w:rFonts w:ascii="Times New Roman" w:hAnsi="Times New Roman" w:cs="Times New Roman"/>
          <w:sz w:val="24"/>
          <w:szCs w:val="24"/>
          <w:u w:val="single"/>
        </w:rPr>
        <w:t>AND</w:t>
      </w:r>
    </w:p>
    <w:p w14:paraId="17946BB4" w14:textId="77777777" w:rsidR="00A64A84" w:rsidRPr="000C14A1" w:rsidRDefault="00A64A84" w:rsidP="00A64A84">
      <w:pPr>
        <w:numPr>
          <w:ilvl w:val="0"/>
          <w:numId w:val="13"/>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At least 3 of the following: fever or hypothermia (&gt;38.4°C or &lt;36.5°C) with no other recognized cause, leukopenia (&lt; 4,000 WBC/mm</w:t>
      </w:r>
      <w:r w:rsidRPr="000C14A1">
        <w:rPr>
          <w:rFonts w:ascii="Times New Roman" w:hAnsi="Times New Roman" w:cs="Times New Roman"/>
          <w:sz w:val="24"/>
          <w:szCs w:val="24"/>
          <w:vertAlign w:val="superscript"/>
        </w:rPr>
        <w:t>3</w:t>
      </w:r>
      <w:r w:rsidRPr="000C14A1">
        <w:rPr>
          <w:rFonts w:ascii="Times New Roman" w:hAnsi="Times New Roman" w:cs="Times New Roman"/>
          <w:sz w:val="24"/>
          <w:szCs w:val="24"/>
        </w:rPr>
        <w:t>) or leukocytosis (≥ 15,000 WBC/mm</w:t>
      </w:r>
      <w:r w:rsidRPr="000C14A1">
        <w:rPr>
          <w:rFonts w:ascii="Times New Roman" w:hAnsi="Times New Roman" w:cs="Times New Roman"/>
          <w:sz w:val="24"/>
          <w:szCs w:val="24"/>
          <w:vertAlign w:val="superscript"/>
        </w:rPr>
        <w:t>3</w:t>
      </w:r>
      <w:r w:rsidRPr="000C14A1">
        <w:rPr>
          <w:rFonts w:ascii="Times New Roman" w:hAnsi="Times New Roman" w:cs="Times New Roman"/>
          <w:sz w:val="24"/>
          <w:szCs w:val="24"/>
        </w:rPr>
        <w:t>), new onset purulent sputum or change in character of sputum or increased respiratory secretions or suctioning requirements, new onset or worsening cough or dyspnea or apnea or tachypnea, rales or bronchial breath sounds, or worsening gas exchange (hypoxemia or increased oxygen requirements)</w:t>
      </w:r>
    </w:p>
    <w:p w14:paraId="17946BB5" w14:textId="77777777" w:rsidR="00A64A84" w:rsidRPr="000C14A1" w:rsidRDefault="00A64A84" w:rsidP="00A64A84">
      <w:pPr>
        <w:numPr>
          <w:ilvl w:val="0"/>
          <w:numId w:val="13"/>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Declarative diagnosis of pneumonia by infectious disease consultant</w:t>
      </w:r>
    </w:p>
    <w:p w14:paraId="17946BB6" w14:textId="77777777" w:rsidR="00A64A84" w:rsidRPr="000C14A1" w:rsidRDefault="00A64A84" w:rsidP="00A64A84">
      <w:pPr>
        <w:spacing w:after="0" w:line="240" w:lineRule="auto"/>
        <w:rPr>
          <w:rFonts w:ascii="Times New Roman" w:hAnsi="Times New Roman" w:cs="Times New Roman"/>
          <w:sz w:val="24"/>
          <w:szCs w:val="24"/>
        </w:rPr>
      </w:pPr>
    </w:p>
    <w:p w14:paraId="17946BB7" w14:textId="77777777" w:rsidR="00A64A84" w:rsidRPr="000C14A1" w:rsidRDefault="00A64A84" w:rsidP="00A64A84">
      <w:pPr>
        <w:spacing w:after="0" w:line="240" w:lineRule="auto"/>
        <w:rPr>
          <w:rFonts w:ascii="Times New Roman" w:hAnsi="Times New Roman" w:cs="Times New Roman"/>
          <w:b/>
          <w:sz w:val="24"/>
          <w:szCs w:val="24"/>
        </w:rPr>
      </w:pPr>
      <w:proofErr w:type="spellStart"/>
      <w:r w:rsidRPr="000C14A1">
        <w:rPr>
          <w:rFonts w:ascii="Times New Roman" w:hAnsi="Times New Roman" w:cs="Times New Roman"/>
          <w:b/>
          <w:sz w:val="24"/>
          <w:szCs w:val="24"/>
          <w:vertAlign w:val="superscript"/>
        </w:rPr>
        <w:t>d</w:t>
      </w:r>
      <w:r w:rsidRPr="000C14A1">
        <w:rPr>
          <w:rFonts w:ascii="Times New Roman" w:hAnsi="Times New Roman" w:cs="Times New Roman"/>
          <w:b/>
          <w:sz w:val="24"/>
          <w:szCs w:val="24"/>
        </w:rPr>
        <w:t>Definite</w:t>
      </w:r>
      <w:proofErr w:type="spellEnd"/>
      <w:r w:rsidRPr="000C14A1">
        <w:rPr>
          <w:rFonts w:ascii="Times New Roman" w:hAnsi="Times New Roman" w:cs="Times New Roman"/>
          <w:b/>
          <w:sz w:val="24"/>
          <w:szCs w:val="24"/>
        </w:rPr>
        <w:t xml:space="preserve"> Pneumonia:</w:t>
      </w:r>
    </w:p>
    <w:p w14:paraId="17946BB8" w14:textId="77777777" w:rsidR="00A64A84" w:rsidRPr="000C14A1" w:rsidRDefault="00A64A84" w:rsidP="00A64A84">
      <w:pPr>
        <w:numPr>
          <w:ilvl w:val="0"/>
          <w:numId w:val="14"/>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 xml:space="preserve">Pneumonia read on CXR </w:t>
      </w:r>
      <w:r w:rsidRPr="000C14A1">
        <w:rPr>
          <w:rFonts w:ascii="Times New Roman" w:hAnsi="Times New Roman" w:cs="Times New Roman"/>
          <w:sz w:val="24"/>
          <w:szCs w:val="24"/>
          <w:u w:val="single"/>
        </w:rPr>
        <w:t>AND</w:t>
      </w:r>
    </w:p>
    <w:p w14:paraId="17946BB9" w14:textId="77777777" w:rsidR="00A64A84" w:rsidRPr="000C14A1" w:rsidRDefault="00A64A84" w:rsidP="00A64A84">
      <w:pPr>
        <w:numPr>
          <w:ilvl w:val="0"/>
          <w:numId w:val="14"/>
        </w:num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 xml:space="preserve">Positive culture from blood or pleural fluid </w:t>
      </w:r>
      <w:r w:rsidRPr="000C14A1">
        <w:rPr>
          <w:rFonts w:ascii="Times New Roman" w:hAnsi="Times New Roman" w:cs="Times New Roman"/>
          <w:sz w:val="24"/>
          <w:szCs w:val="24"/>
          <w:u w:val="single"/>
        </w:rPr>
        <w:t>OR</w:t>
      </w:r>
      <w:r w:rsidRPr="000C14A1">
        <w:rPr>
          <w:rFonts w:ascii="Times New Roman" w:hAnsi="Times New Roman" w:cs="Times New Roman"/>
          <w:sz w:val="24"/>
          <w:szCs w:val="24"/>
        </w:rPr>
        <w:t xml:space="preserve"> positive mycoplasma PCR</w:t>
      </w:r>
    </w:p>
    <w:p w14:paraId="17946BBA" w14:textId="77777777" w:rsidR="00A64A84" w:rsidRPr="000C14A1" w:rsidRDefault="00A64A84" w:rsidP="00A64A84">
      <w:pPr>
        <w:spacing w:after="0" w:line="240" w:lineRule="auto"/>
        <w:rPr>
          <w:rFonts w:ascii="Times New Roman" w:hAnsi="Times New Roman" w:cs="Times New Roman"/>
          <w:sz w:val="24"/>
          <w:szCs w:val="24"/>
        </w:rPr>
      </w:pPr>
    </w:p>
    <w:p w14:paraId="17946BBB" w14:textId="77777777" w:rsidR="00A64A84" w:rsidRPr="000C14A1" w:rsidRDefault="00A64A84" w:rsidP="00A64A84">
      <w:pPr>
        <w:spacing w:after="0" w:line="240" w:lineRule="auto"/>
        <w:rPr>
          <w:rFonts w:ascii="Times New Roman" w:hAnsi="Times New Roman" w:cs="Times New Roman"/>
          <w:sz w:val="24"/>
          <w:szCs w:val="24"/>
        </w:rPr>
      </w:pPr>
    </w:p>
    <w:p w14:paraId="17946BBC" w14:textId="77777777" w:rsidR="00A64A84" w:rsidRPr="000C14A1" w:rsidRDefault="00A64A84" w:rsidP="00A64A84">
      <w:pPr>
        <w:spacing w:after="0" w:line="240" w:lineRule="auto"/>
        <w:rPr>
          <w:rFonts w:ascii="Times New Roman" w:hAnsi="Times New Roman" w:cs="Times New Roman"/>
          <w:b/>
          <w:sz w:val="24"/>
          <w:szCs w:val="24"/>
        </w:rPr>
      </w:pPr>
      <w:r w:rsidRPr="000C14A1">
        <w:rPr>
          <w:rFonts w:ascii="Times New Roman" w:hAnsi="Times New Roman" w:cs="Times New Roman"/>
          <w:b/>
          <w:sz w:val="24"/>
          <w:szCs w:val="24"/>
          <w:u w:val="single"/>
        </w:rPr>
        <w:t>Organ Dysfunctions Defining Severe Sepsis/Septic Shock</w:t>
      </w:r>
      <w:r w:rsidRPr="000C14A1">
        <w:rPr>
          <w:rFonts w:ascii="Times New Roman" w:hAnsi="Times New Roman" w:cs="Times New Roman"/>
          <w:b/>
          <w:sz w:val="24"/>
          <w:szCs w:val="24"/>
        </w:rPr>
        <w:t xml:space="preserve"> (modified from </w:t>
      </w:r>
      <w:r w:rsidRPr="000C14A1">
        <w:rPr>
          <w:rFonts w:ascii="Times New Roman" w:hAnsi="Times New Roman" w:cs="Times New Roman"/>
          <w:b/>
          <w:noProof/>
          <w:sz w:val="24"/>
          <w:szCs w:val="24"/>
        </w:rPr>
        <w:t xml:space="preserve">Goldstein B, Giroir B, Randolph A. International pediatric sepsis consensus conference: definitions for sepsis and organ dysfunction in pediatrics. </w:t>
      </w:r>
      <w:r w:rsidRPr="000C14A1">
        <w:rPr>
          <w:rFonts w:ascii="Times New Roman" w:hAnsi="Times New Roman" w:cs="Times New Roman"/>
          <w:b/>
          <w:i/>
          <w:noProof/>
          <w:sz w:val="24"/>
          <w:szCs w:val="24"/>
        </w:rPr>
        <w:t xml:space="preserve">Pediatr Crit Care Med. </w:t>
      </w:r>
      <w:r w:rsidRPr="000C14A1">
        <w:rPr>
          <w:rFonts w:ascii="Times New Roman" w:hAnsi="Times New Roman" w:cs="Times New Roman"/>
          <w:b/>
          <w:noProof/>
          <w:sz w:val="24"/>
          <w:szCs w:val="24"/>
        </w:rPr>
        <w:t>2005;6(1):2-8)</w:t>
      </w:r>
      <w:r w:rsidRPr="000C14A1">
        <w:rPr>
          <w:rFonts w:ascii="Times New Roman" w:hAnsi="Times New Roman" w:cs="Times New Roman"/>
          <w:b/>
          <w:sz w:val="24"/>
          <w:szCs w:val="24"/>
        </w:rPr>
        <w:t>:</w:t>
      </w:r>
    </w:p>
    <w:p w14:paraId="17946BBD" w14:textId="77777777" w:rsidR="00A64A84" w:rsidRPr="000C14A1" w:rsidRDefault="00A64A84" w:rsidP="00A64A84">
      <w:pPr>
        <w:spacing w:after="0" w:line="240" w:lineRule="auto"/>
        <w:rPr>
          <w:rFonts w:ascii="Times New Roman" w:hAnsi="Times New Roman" w:cs="Times New Roman"/>
          <w:b/>
          <w:sz w:val="24"/>
          <w:szCs w:val="24"/>
        </w:rPr>
      </w:pPr>
    </w:p>
    <w:p w14:paraId="17946BBE" w14:textId="77777777" w:rsidR="00A64A84" w:rsidRPr="000C14A1" w:rsidRDefault="00A64A84" w:rsidP="00A64A84">
      <w:pPr>
        <w:numPr>
          <w:ilvl w:val="0"/>
          <w:numId w:val="15"/>
        </w:numPr>
        <w:spacing w:after="0" w:line="240" w:lineRule="auto"/>
        <w:rPr>
          <w:rFonts w:ascii="Times New Roman" w:hAnsi="Times New Roman" w:cs="Times New Roman"/>
          <w:sz w:val="24"/>
          <w:szCs w:val="24"/>
        </w:rPr>
      </w:pPr>
      <w:r w:rsidRPr="000C14A1">
        <w:rPr>
          <w:rFonts w:ascii="Times New Roman" w:hAnsi="Times New Roman" w:cs="Times New Roman"/>
          <w:b/>
          <w:sz w:val="24"/>
          <w:szCs w:val="24"/>
          <w:u w:val="single"/>
        </w:rPr>
        <w:t>Septic Shock</w:t>
      </w:r>
      <w:r w:rsidRPr="000C14A1">
        <w:rPr>
          <w:rFonts w:ascii="Times New Roman" w:hAnsi="Times New Roman" w:cs="Times New Roman"/>
          <w:sz w:val="24"/>
          <w:szCs w:val="24"/>
        </w:rPr>
        <w:t xml:space="preserve"> = </w:t>
      </w:r>
      <w:r w:rsidRPr="000C14A1">
        <w:rPr>
          <w:rFonts w:ascii="Times New Roman" w:hAnsi="Times New Roman" w:cs="Times New Roman"/>
          <w:b/>
          <w:sz w:val="24"/>
          <w:szCs w:val="24"/>
        </w:rPr>
        <w:t>Cardiovascular dysfunction</w:t>
      </w:r>
      <w:r w:rsidRPr="000C14A1">
        <w:rPr>
          <w:rFonts w:ascii="Times New Roman" w:hAnsi="Times New Roman" w:cs="Times New Roman"/>
          <w:sz w:val="24"/>
          <w:szCs w:val="24"/>
        </w:rPr>
        <w:t xml:space="preserve">: Provision of 40ml/kg fluid boluses within a </w:t>
      </w:r>
      <w:proofErr w:type="gramStart"/>
      <w:r w:rsidRPr="000C14A1">
        <w:rPr>
          <w:rFonts w:ascii="Times New Roman" w:hAnsi="Times New Roman" w:cs="Times New Roman"/>
          <w:sz w:val="24"/>
          <w:szCs w:val="24"/>
        </w:rPr>
        <w:t>6 hour</w:t>
      </w:r>
      <w:proofErr w:type="gramEnd"/>
      <w:r w:rsidRPr="000C14A1">
        <w:rPr>
          <w:rFonts w:ascii="Times New Roman" w:hAnsi="Times New Roman" w:cs="Times New Roman"/>
          <w:sz w:val="24"/>
          <w:szCs w:val="24"/>
        </w:rPr>
        <w:t xml:space="preserve"> period for Systolic BP &lt; 5</w:t>
      </w:r>
      <w:r w:rsidRPr="000C14A1">
        <w:rPr>
          <w:rFonts w:ascii="Times New Roman" w:hAnsi="Times New Roman" w:cs="Times New Roman"/>
          <w:sz w:val="24"/>
          <w:szCs w:val="24"/>
          <w:vertAlign w:val="superscript"/>
        </w:rPr>
        <w:t>th</w:t>
      </w:r>
      <w:r w:rsidRPr="000C14A1">
        <w:rPr>
          <w:rFonts w:ascii="Times New Roman" w:hAnsi="Times New Roman" w:cs="Times New Roman"/>
          <w:sz w:val="24"/>
          <w:szCs w:val="24"/>
        </w:rPr>
        <w:t xml:space="preserve"> percentile for age* (see table) or vasoactive infusion support (epinephrine, norepinephrine, dopamine, </w:t>
      </w:r>
      <w:proofErr w:type="spellStart"/>
      <w:r w:rsidRPr="000C14A1">
        <w:rPr>
          <w:rFonts w:ascii="Times New Roman" w:hAnsi="Times New Roman" w:cs="Times New Roman"/>
          <w:sz w:val="24"/>
          <w:szCs w:val="24"/>
        </w:rPr>
        <w:t>etc</w:t>
      </w:r>
      <w:proofErr w:type="spellEnd"/>
      <w:r w:rsidRPr="000C14A1">
        <w:rPr>
          <w:rFonts w:ascii="Times New Roman" w:hAnsi="Times New Roman" w:cs="Times New Roman"/>
          <w:sz w:val="24"/>
          <w:szCs w:val="24"/>
        </w:rPr>
        <w:t>) for hypotension or poor perfusion (excludes low dose dopamine or milrinone for right heart support in pulmonary hypertension patients)</w:t>
      </w:r>
    </w:p>
    <w:p w14:paraId="17946BBF" w14:textId="77777777" w:rsidR="00A64A84" w:rsidRPr="000C14A1" w:rsidRDefault="00A64A84" w:rsidP="00A64A84">
      <w:pPr>
        <w:numPr>
          <w:ilvl w:val="0"/>
          <w:numId w:val="15"/>
        </w:numPr>
        <w:spacing w:after="0" w:line="240" w:lineRule="auto"/>
        <w:rPr>
          <w:rFonts w:ascii="Times New Roman" w:hAnsi="Times New Roman" w:cs="Times New Roman"/>
          <w:sz w:val="24"/>
          <w:szCs w:val="24"/>
        </w:rPr>
      </w:pPr>
      <w:r w:rsidRPr="000C14A1">
        <w:rPr>
          <w:rFonts w:ascii="Times New Roman" w:hAnsi="Times New Roman" w:cs="Times New Roman"/>
          <w:b/>
          <w:sz w:val="24"/>
          <w:szCs w:val="24"/>
          <w:u w:val="single"/>
        </w:rPr>
        <w:t>Severe Sepsis</w:t>
      </w:r>
      <w:r w:rsidRPr="000C14A1">
        <w:rPr>
          <w:rFonts w:ascii="Times New Roman" w:hAnsi="Times New Roman" w:cs="Times New Roman"/>
          <w:sz w:val="24"/>
          <w:szCs w:val="24"/>
        </w:rPr>
        <w:t xml:space="preserve"> = Two or more organ system dysfunctions </w:t>
      </w:r>
    </w:p>
    <w:p w14:paraId="17946BC0" w14:textId="77777777" w:rsidR="00A64A84" w:rsidRPr="000C14A1" w:rsidRDefault="00A64A84" w:rsidP="00A64A84">
      <w:pPr>
        <w:numPr>
          <w:ilvl w:val="1"/>
          <w:numId w:val="15"/>
        </w:numPr>
        <w:spacing w:after="0" w:line="240" w:lineRule="auto"/>
        <w:ind w:left="1980" w:hanging="900"/>
        <w:rPr>
          <w:rFonts w:ascii="Times New Roman" w:hAnsi="Times New Roman" w:cs="Times New Roman"/>
          <w:sz w:val="24"/>
          <w:szCs w:val="24"/>
        </w:rPr>
      </w:pPr>
      <w:r w:rsidRPr="000C14A1">
        <w:rPr>
          <w:rFonts w:ascii="Times New Roman" w:hAnsi="Times New Roman" w:cs="Times New Roman"/>
          <w:b/>
          <w:sz w:val="24"/>
          <w:szCs w:val="24"/>
        </w:rPr>
        <w:t>Respiratory:</w:t>
      </w:r>
      <w:r w:rsidRPr="000C14A1">
        <w:rPr>
          <w:rFonts w:ascii="Times New Roman" w:hAnsi="Times New Roman" w:cs="Times New Roman"/>
          <w:sz w:val="24"/>
          <w:szCs w:val="24"/>
        </w:rPr>
        <w:t xml:space="preserve">  Use of CPAP, BiPAP, or invasive mechanical ventilation (or increased duration of support or increased settings in chronically ventilated patient, not including increased FiO2 without increases in other support) for lung disease</w:t>
      </w:r>
    </w:p>
    <w:p w14:paraId="17946BC1" w14:textId="77777777" w:rsidR="00A64A84" w:rsidRPr="000C14A1" w:rsidRDefault="00A64A84" w:rsidP="00A64A84">
      <w:pPr>
        <w:numPr>
          <w:ilvl w:val="1"/>
          <w:numId w:val="15"/>
        </w:numPr>
        <w:spacing w:after="0" w:line="240" w:lineRule="auto"/>
        <w:ind w:left="1980" w:hanging="900"/>
        <w:rPr>
          <w:rFonts w:ascii="Times New Roman" w:hAnsi="Times New Roman" w:cs="Times New Roman"/>
          <w:sz w:val="24"/>
          <w:szCs w:val="24"/>
        </w:rPr>
      </w:pPr>
      <w:r w:rsidRPr="000C14A1">
        <w:rPr>
          <w:rFonts w:ascii="Times New Roman" w:hAnsi="Times New Roman" w:cs="Times New Roman"/>
          <w:sz w:val="24"/>
          <w:szCs w:val="24"/>
        </w:rPr>
        <w:lastRenderedPageBreak/>
        <w:t xml:space="preserve">Renal:  creatinine ≥ 2 times normal for age OR ≥ 1.5 times baseline (for patients with pre-existing kidney disease) OR new renal replacement therapy (dialysis, CVVH, CRRT, </w:t>
      </w:r>
      <w:proofErr w:type="spellStart"/>
      <w:r w:rsidRPr="000C14A1">
        <w:rPr>
          <w:rFonts w:ascii="Times New Roman" w:hAnsi="Times New Roman" w:cs="Times New Roman"/>
          <w:sz w:val="24"/>
          <w:szCs w:val="24"/>
        </w:rPr>
        <w:t>etc</w:t>
      </w:r>
      <w:proofErr w:type="spellEnd"/>
      <w:r w:rsidRPr="000C14A1">
        <w:rPr>
          <w:rFonts w:ascii="Times New Roman" w:hAnsi="Times New Roman" w:cs="Times New Roman"/>
          <w:sz w:val="24"/>
          <w:szCs w:val="24"/>
        </w:rPr>
        <w:t>)</w:t>
      </w:r>
    </w:p>
    <w:p w14:paraId="17946BC2" w14:textId="77777777" w:rsidR="00A64A84" w:rsidRPr="000C14A1" w:rsidRDefault="00A64A84" w:rsidP="00A64A84">
      <w:pPr>
        <w:numPr>
          <w:ilvl w:val="1"/>
          <w:numId w:val="15"/>
        </w:numPr>
        <w:spacing w:after="0" w:line="240" w:lineRule="auto"/>
        <w:ind w:left="1980" w:hanging="900"/>
        <w:rPr>
          <w:rFonts w:ascii="Times New Roman" w:hAnsi="Times New Roman" w:cs="Times New Roman"/>
          <w:sz w:val="24"/>
          <w:szCs w:val="24"/>
        </w:rPr>
      </w:pPr>
      <w:r w:rsidRPr="000C14A1">
        <w:rPr>
          <w:rFonts w:ascii="Times New Roman" w:hAnsi="Times New Roman" w:cs="Times New Roman"/>
          <w:b/>
          <w:sz w:val="24"/>
          <w:szCs w:val="24"/>
        </w:rPr>
        <w:t xml:space="preserve">Hepatic: </w:t>
      </w:r>
      <w:r w:rsidRPr="000C14A1">
        <w:rPr>
          <w:rFonts w:ascii="Times New Roman" w:hAnsi="Times New Roman" w:cs="Times New Roman"/>
          <w:sz w:val="24"/>
          <w:szCs w:val="24"/>
        </w:rPr>
        <w:t xml:space="preserve">total bilirubin ≥ 4 mg/dL </w:t>
      </w:r>
      <w:r w:rsidRPr="000C14A1">
        <w:rPr>
          <w:rFonts w:ascii="Times New Roman" w:hAnsi="Times New Roman" w:cs="Times New Roman"/>
          <w:sz w:val="24"/>
          <w:szCs w:val="24"/>
          <w:u w:val="single"/>
        </w:rPr>
        <w:t>OR</w:t>
      </w:r>
      <w:r w:rsidRPr="000C14A1">
        <w:rPr>
          <w:rFonts w:ascii="Times New Roman" w:hAnsi="Times New Roman" w:cs="Times New Roman"/>
          <w:sz w:val="24"/>
          <w:szCs w:val="24"/>
        </w:rPr>
        <w:t xml:space="preserve"> alanine aminotransferase (ALT) ≥ 2 times normal for age or ≥ 2 times baseline (for patients with chronic liver dysfunction)</w:t>
      </w:r>
    </w:p>
    <w:p w14:paraId="17946BC3" w14:textId="77777777" w:rsidR="00A64A84" w:rsidRPr="000C14A1" w:rsidRDefault="00A64A84" w:rsidP="00A64A84">
      <w:pPr>
        <w:numPr>
          <w:ilvl w:val="1"/>
          <w:numId w:val="15"/>
        </w:numPr>
        <w:spacing w:after="0" w:line="240" w:lineRule="auto"/>
        <w:ind w:left="1980" w:hanging="900"/>
        <w:rPr>
          <w:rFonts w:ascii="Times New Roman" w:hAnsi="Times New Roman" w:cs="Times New Roman"/>
          <w:sz w:val="24"/>
          <w:szCs w:val="24"/>
        </w:rPr>
      </w:pPr>
      <w:r w:rsidRPr="000C14A1">
        <w:rPr>
          <w:rFonts w:ascii="Times New Roman" w:hAnsi="Times New Roman" w:cs="Times New Roman"/>
          <w:b/>
          <w:sz w:val="24"/>
          <w:szCs w:val="24"/>
        </w:rPr>
        <w:t>Hematologic:</w:t>
      </w:r>
      <w:r w:rsidRPr="000C14A1">
        <w:rPr>
          <w:rFonts w:ascii="Times New Roman" w:hAnsi="Times New Roman" w:cs="Times New Roman"/>
          <w:sz w:val="24"/>
          <w:szCs w:val="24"/>
        </w:rPr>
        <w:t xml:space="preserve">  Platelets &lt; 80 </w:t>
      </w:r>
    </w:p>
    <w:p w14:paraId="17946BC4" w14:textId="77777777" w:rsidR="00A64A84" w:rsidRPr="000C14A1" w:rsidRDefault="00A64A84" w:rsidP="00A64A84">
      <w:pPr>
        <w:spacing w:after="0" w:line="240" w:lineRule="auto"/>
        <w:ind w:left="2880"/>
        <w:rPr>
          <w:rFonts w:ascii="Times New Roman" w:hAnsi="Times New Roman" w:cs="Times New Roman"/>
          <w:sz w:val="24"/>
          <w:szCs w:val="24"/>
        </w:rPr>
      </w:pPr>
      <w:r w:rsidRPr="000C14A1">
        <w:rPr>
          <w:rFonts w:ascii="Times New Roman" w:hAnsi="Times New Roman" w:cs="Times New Roman"/>
          <w:sz w:val="24"/>
          <w:szCs w:val="24"/>
          <w:u w:val="single"/>
        </w:rPr>
        <w:t>OR</w:t>
      </w:r>
      <w:r w:rsidRPr="000C14A1">
        <w:rPr>
          <w:rFonts w:ascii="Times New Roman" w:hAnsi="Times New Roman" w:cs="Times New Roman"/>
          <w:sz w:val="24"/>
          <w:szCs w:val="24"/>
        </w:rPr>
        <w:t xml:space="preserve"> </w:t>
      </w:r>
    </w:p>
    <w:p w14:paraId="17946BC5" w14:textId="77777777" w:rsidR="00A64A84" w:rsidRPr="000C14A1" w:rsidRDefault="00A64A84" w:rsidP="00A64A84">
      <w:pPr>
        <w:spacing w:after="0" w:line="240" w:lineRule="auto"/>
        <w:ind w:left="1440" w:firstLine="720"/>
        <w:rPr>
          <w:rFonts w:ascii="Times New Roman" w:hAnsi="Times New Roman" w:cs="Times New Roman"/>
          <w:sz w:val="24"/>
          <w:szCs w:val="24"/>
        </w:rPr>
      </w:pPr>
      <w:r w:rsidRPr="000C14A1">
        <w:rPr>
          <w:rFonts w:ascii="Times New Roman" w:hAnsi="Times New Roman" w:cs="Times New Roman"/>
          <w:sz w:val="24"/>
          <w:szCs w:val="24"/>
        </w:rPr>
        <w:t xml:space="preserve">Plate count decline of at least 50% in platelets from highest value over past 3 days (chronic thrombocytopenia) </w:t>
      </w:r>
    </w:p>
    <w:p w14:paraId="17946BC6" w14:textId="77777777" w:rsidR="00A64A84" w:rsidRPr="000C14A1" w:rsidRDefault="00A64A84" w:rsidP="00A64A84">
      <w:pPr>
        <w:spacing w:after="0" w:line="240" w:lineRule="auto"/>
        <w:ind w:left="2160" w:firstLine="720"/>
        <w:rPr>
          <w:rFonts w:ascii="Times New Roman" w:hAnsi="Times New Roman" w:cs="Times New Roman"/>
          <w:sz w:val="24"/>
          <w:szCs w:val="24"/>
        </w:rPr>
      </w:pPr>
      <w:r w:rsidRPr="000C14A1">
        <w:rPr>
          <w:rFonts w:ascii="Times New Roman" w:hAnsi="Times New Roman" w:cs="Times New Roman"/>
          <w:sz w:val="24"/>
          <w:szCs w:val="24"/>
          <w:u w:val="single"/>
        </w:rPr>
        <w:t>OR</w:t>
      </w:r>
      <w:r w:rsidRPr="000C14A1">
        <w:rPr>
          <w:rFonts w:ascii="Times New Roman" w:hAnsi="Times New Roman" w:cs="Times New Roman"/>
          <w:sz w:val="24"/>
          <w:szCs w:val="24"/>
        </w:rPr>
        <w:t xml:space="preserve"> </w:t>
      </w:r>
    </w:p>
    <w:p w14:paraId="17946BC7" w14:textId="77777777" w:rsidR="00A64A84" w:rsidRPr="000C14A1" w:rsidRDefault="00A64A84" w:rsidP="00A64A84">
      <w:pPr>
        <w:spacing w:after="0" w:line="240" w:lineRule="auto"/>
        <w:ind w:left="1440" w:firstLine="720"/>
        <w:rPr>
          <w:rFonts w:ascii="Times New Roman" w:hAnsi="Times New Roman" w:cs="Times New Roman"/>
          <w:sz w:val="24"/>
          <w:szCs w:val="24"/>
        </w:rPr>
      </w:pPr>
      <w:r w:rsidRPr="000C14A1">
        <w:rPr>
          <w:rFonts w:ascii="Times New Roman" w:hAnsi="Times New Roman" w:cs="Times New Roman"/>
          <w:sz w:val="24"/>
          <w:szCs w:val="24"/>
        </w:rPr>
        <w:t>INR &gt;2.0</w:t>
      </w:r>
    </w:p>
    <w:p w14:paraId="17946BC8" w14:textId="77777777" w:rsidR="00A64A84" w:rsidRPr="000C14A1" w:rsidRDefault="00A64A84" w:rsidP="00A64A84">
      <w:pPr>
        <w:numPr>
          <w:ilvl w:val="1"/>
          <w:numId w:val="15"/>
        </w:numPr>
        <w:spacing w:after="0" w:line="240" w:lineRule="auto"/>
        <w:ind w:left="1980" w:hanging="900"/>
        <w:rPr>
          <w:rFonts w:ascii="Times New Roman" w:hAnsi="Times New Roman" w:cs="Times New Roman"/>
          <w:sz w:val="24"/>
          <w:szCs w:val="24"/>
        </w:rPr>
      </w:pPr>
      <w:r w:rsidRPr="000C14A1">
        <w:rPr>
          <w:rFonts w:ascii="Times New Roman" w:hAnsi="Times New Roman" w:cs="Times New Roman"/>
          <w:b/>
          <w:sz w:val="24"/>
          <w:szCs w:val="24"/>
        </w:rPr>
        <w:t>Neurologic:</w:t>
      </w:r>
      <w:r w:rsidRPr="000C14A1">
        <w:rPr>
          <w:rFonts w:ascii="Times New Roman" w:hAnsi="Times New Roman" w:cs="Times New Roman"/>
          <w:sz w:val="24"/>
          <w:szCs w:val="24"/>
        </w:rPr>
        <w:t xml:space="preserve"> </w:t>
      </w:r>
      <w:proofErr w:type="gramStart"/>
      <w:r w:rsidRPr="000C14A1">
        <w:rPr>
          <w:rFonts w:ascii="Times New Roman" w:hAnsi="Times New Roman" w:cs="Times New Roman"/>
          <w:sz w:val="24"/>
          <w:szCs w:val="24"/>
        </w:rPr>
        <w:t>GCS  ≤</w:t>
      </w:r>
      <w:proofErr w:type="gramEnd"/>
      <w:r w:rsidRPr="000C14A1">
        <w:rPr>
          <w:rFonts w:ascii="Times New Roman" w:hAnsi="Times New Roman" w:cs="Times New Roman"/>
          <w:sz w:val="24"/>
          <w:szCs w:val="24"/>
        </w:rPr>
        <w:t xml:space="preserve"> 11 (only assess GCS in absence of sedation) </w:t>
      </w:r>
      <w:r w:rsidRPr="000C14A1">
        <w:rPr>
          <w:rFonts w:ascii="Times New Roman" w:hAnsi="Times New Roman" w:cs="Times New Roman"/>
          <w:sz w:val="24"/>
          <w:szCs w:val="24"/>
          <w:u w:val="single"/>
        </w:rPr>
        <w:t>OR</w:t>
      </w:r>
      <w:r w:rsidRPr="000C14A1">
        <w:rPr>
          <w:rFonts w:ascii="Times New Roman" w:hAnsi="Times New Roman" w:cs="Times New Roman"/>
          <w:sz w:val="24"/>
          <w:szCs w:val="24"/>
        </w:rPr>
        <w:t xml:space="preserve"> alteration in mental status from baseline NOT due to sedation. Goal is to detect altered mental status due to brain hypoperfusion (agitation/severe irritability, inconsolability, etc.).</w:t>
      </w:r>
    </w:p>
    <w:p w14:paraId="17946BC9" w14:textId="77777777" w:rsidR="00A64A84" w:rsidRPr="000C14A1" w:rsidRDefault="00A64A84" w:rsidP="00A64A84">
      <w:pPr>
        <w:spacing w:after="0" w:line="240" w:lineRule="auto"/>
        <w:rPr>
          <w:rFonts w:ascii="Times New Roman" w:hAnsi="Times New Roman" w:cs="Times New Roman"/>
          <w:b/>
          <w:sz w:val="24"/>
          <w:szCs w:val="24"/>
        </w:rPr>
      </w:pPr>
    </w:p>
    <w:tbl>
      <w:tblPr>
        <w:tblW w:w="5331" w:type="dxa"/>
        <w:jc w:val="center"/>
        <w:tblLook w:val="04A0" w:firstRow="1" w:lastRow="0" w:firstColumn="1" w:lastColumn="0" w:noHBand="0" w:noVBand="1"/>
      </w:tblPr>
      <w:tblGrid>
        <w:gridCol w:w="2380"/>
        <w:gridCol w:w="2951"/>
      </w:tblGrid>
      <w:tr w:rsidR="00A64A84" w:rsidRPr="000C14A1" w14:paraId="17946BCC" w14:textId="77777777" w:rsidTr="004570B5">
        <w:trPr>
          <w:trHeight w:val="509"/>
          <w:jc w:val="center"/>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CA" w14:textId="77777777" w:rsidR="00A64A84" w:rsidRPr="000C14A1" w:rsidRDefault="00A64A84" w:rsidP="00A64A84">
            <w:pPr>
              <w:spacing w:after="0" w:line="240" w:lineRule="auto"/>
              <w:jc w:val="center"/>
              <w:rPr>
                <w:rFonts w:ascii="Times New Roman" w:eastAsia="Times New Roman" w:hAnsi="Times New Roman" w:cs="Times New Roman"/>
                <w:b/>
                <w:color w:val="000000"/>
                <w:sz w:val="24"/>
                <w:szCs w:val="24"/>
              </w:rPr>
            </w:pPr>
            <w:r w:rsidRPr="000C14A1">
              <w:rPr>
                <w:rFonts w:ascii="Times New Roman" w:eastAsia="Times New Roman" w:hAnsi="Times New Roman" w:cs="Times New Roman"/>
                <w:b/>
                <w:color w:val="000000"/>
                <w:sz w:val="24"/>
                <w:szCs w:val="24"/>
              </w:rPr>
              <w:t>Age</w:t>
            </w:r>
          </w:p>
        </w:tc>
        <w:tc>
          <w:tcPr>
            <w:tcW w:w="29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CB" w14:textId="77777777" w:rsidR="00A64A84" w:rsidRPr="000C14A1" w:rsidRDefault="00A64A84" w:rsidP="00A64A84">
            <w:pPr>
              <w:spacing w:after="0" w:line="240" w:lineRule="auto"/>
              <w:jc w:val="center"/>
              <w:rPr>
                <w:rFonts w:ascii="Times New Roman" w:eastAsia="Times New Roman" w:hAnsi="Times New Roman" w:cs="Times New Roman"/>
                <w:b/>
                <w:sz w:val="24"/>
                <w:szCs w:val="24"/>
              </w:rPr>
            </w:pPr>
            <w:r w:rsidRPr="000C14A1">
              <w:rPr>
                <w:rFonts w:ascii="Times New Roman" w:eastAsia="Times New Roman" w:hAnsi="Times New Roman" w:cs="Times New Roman"/>
                <w:b/>
                <w:sz w:val="24"/>
                <w:szCs w:val="24"/>
              </w:rPr>
              <w:t>Systolic BP &lt; 5th %</w:t>
            </w:r>
            <w:proofErr w:type="spellStart"/>
            <w:r w:rsidRPr="000C14A1">
              <w:rPr>
                <w:rFonts w:ascii="Times New Roman" w:eastAsia="Times New Roman" w:hAnsi="Times New Roman" w:cs="Times New Roman"/>
                <w:b/>
                <w:sz w:val="24"/>
                <w:szCs w:val="24"/>
              </w:rPr>
              <w:t>ile</w:t>
            </w:r>
            <w:proofErr w:type="spellEnd"/>
            <w:r w:rsidRPr="000C14A1">
              <w:rPr>
                <w:rFonts w:ascii="Times New Roman" w:eastAsia="Times New Roman" w:hAnsi="Times New Roman" w:cs="Times New Roman"/>
                <w:b/>
                <w:sz w:val="24"/>
                <w:szCs w:val="24"/>
              </w:rPr>
              <w:t>*</w:t>
            </w:r>
          </w:p>
        </w:tc>
      </w:tr>
      <w:tr w:rsidR="00A64A84" w:rsidRPr="000C14A1" w14:paraId="17946BCF" w14:textId="77777777" w:rsidTr="004570B5">
        <w:trPr>
          <w:trHeight w:val="517"/>
          <w:jc w:val="center"/>
        </w:trPr>
        <w:tc>
          <w:tcPr>
            <w:tcW w:w="2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CD" w14:textId="77777777" w:rsidR="00A64A84" w:rsidRPr="000C14A1" w:rsidRDefault="00A64A84" w:rsidP="00A64A84">
            <w:pPr>
              <w:spacing w:after="0" w:line="240" w:lineRule="auto"/>
              <w:jc w:val="center"/>
              <w:rPr>
                <w:rFonts w:ascii="Times New Roman" w:eastAsia="Times New Roman" w:hAnsi="Times New Roman" w:cs="Times New Roman"/>
                <w:color w:val="000000"/>
                <w:sz w:val="24"/>
                <w:szCs w:val="24"/>
              </w:rPr>
            </w:pPr>
          </w:p>
        </w:tc>
        <w:tc>
          <w:tcPr>
            <w:tcW w:w="295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CE" w14:textId="77777777" w:rsidR="00A64A84" w:rsidRPr="000C14A1" w:rsidRDefault="00A64A84" w:rsidP="00A64A84">
            <w:pPr>
              <w:spacing w:after="0" w:line="240" w:lineRule="auto"/>
              <w:jc w:val="center"/>
              <w:rPr>
                <w:rFonts w:ascii="Times New Roman" w:eastAsia="Times New Roman" w:hAnsi="Times New Roman" w:cs="Times New Roman"/>
                <w:sz w:val="24"/>
                <w:szCs w:val="24"/>
              </w:rPr>
            </w:pPr>
          </w:p>
        </w:tc>
      </w:tr>
      <w:tr w:rsidR="00A64A84" w:rsidRPr="000C14A1" w14:paraId="17946BD2" w14:textId="77777777" w:rsidTr="004570B5">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0" w14:textId="77777777" w:rsidR="00A64A84" w:rsidRPr="000C14A1" w:rsidRDefault="00A64A84" w:rsidP="00A64A84">
            <w:pPr>
              <w:spacing w:after="0" w:line="240" w:lineRule="auto"/>
              <w:rPr>
                <w:rFonts w:ascii="Times New Roman" w:eastAsia="Times New Roman" w:hAnsi="Times New Roman" w:cs="Times New Roman"/>
                <w:b/>
                <w:color w:val="000000"/>
                <w:sz w:val="24"/>
                <w:szCs w:val="24"/>
              </w:rPr>
            </w:pPr>
            <w:r w:rsidRPr="000C14A1">
              <w:rPr>
                <w:rFonts w:ascii="Times New Roman" w:eastAsia="Times New Roman" w:hAnsi="Times New Roman" w:cs="Times New Roman"/>
                <w:b/>
                <w:color w:val="000000"/>
                <w:sz w:val="24"/>
                <w:szCs w:val="24"/>
              </w:rPr>
              <w:t>0 to 7 days</w:t>
            </w:r>
          </w:p>
        </w:tc>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1" w14:textId="77777777" w:rsidR="00A64A84" w:rsidRPr="000C14A1" w:rsidRDefault="00A64A84" w:rsidP="00A64A84">
            <w:pPr>
              <w:spacing w:after="0" w:line="240" w:lineRule="auto"/>
              <w:jc w:val="center"/>
              <w:rPr>
                <w:rFonts w:ascii="Times New Roman" w:eastAsia="Times New Roman" w:hAnsi="Times New Roman" w:cs="Times New Roman"/>
                <w:sz w:val="24"/>
                <w:szCs w:val="24"/>
              </w:rPr>
            </w:pPr>
            <w:r w:rsidRPr="000C14A1">
              <w:rPr>
                <w:rFonts w:ascii="Times New Roman" w:eastAsia="Times New Roman" w:hAnsi="Times New Roman" w:cs="Times New Roman"/>
                <w:sz w:val="24"/>
                <w:szCs w:val="24"/>
              </w:rPr>
              <w:t>&lt;60</w:t>
            </w:r>
          </w:p>
        </w:tc>
      </w:tr>
      <w:tr w:rsidR="00A64A84" w:rsidRPr="000C14A1" w14:paraId="17946BD5" w14:textId="77777777" w:rsidTr="004570B5">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3" w14:textId="77777777" w:rsidR="00A64A84" w:rsidRPr="000C14A1" w:rsidRDefault="00A64A84" w:rsidP="00A64A84">
            <w:pPr>
              <w:spacing w:after="0" w:line="240" w:lineRule="auto"/>
              <w:rPr>
                <w:rFonts w:ascii="Times New Roman" w:eastAsia="Times New Roman" w:hAnsi="Times New Roman" w:cs="Times New Roman"/>
                <w:b/>
                <w:color w:val="000000"/>
                <w:sz w:val="24"/>
                <w:szCs w:val="24"/>
              </w:rPr>
            </w:pPr>
            <w:r w:rsidRPr="000C14A1">
              <w:rPr>
                <w:rFonts w:ascii="Times New Roman" w:eastAsia="Times New Roman" w:hAnsi="Times New Roman" w:cs="Times New Roman"/>
                <w:b/>
                <w:color w:val="000000"/>
                <w:sz w:val="24"/>
                <w:szCs w:val="24"/>
              </w:rPr>
              <w:t>8 to 30 days</w:t>
            </w:r>
          </w:p>
        </w:tc>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4" w14:textId="77777777" w:rsidR="00A64A84" w:rsidRPr="000C14A1" w:rsidRDefault="00A64A84" w:rsidP="00A64A84">
            <w:pPr>
              <w:spacing w:after="0" w:line="240" w:lineRule="auto"/>
              <w:jc w:val="center"/>
              <w:rPr>
                <w:rFonts w:ascii="Times New Roman" w:eastAsia="Times New Roman" w:hAnsi="Times New Roman" w:cs="Times New Roman"/>
                <w:sz w:val="24"/>
                <w:szCs w:val="24"/>
              </w:rPr>
            </w:pPr>
            <w:r w:rsidRPr="000C14A1">
              <w:rPr>
                <w:rFonts w:ascii="Times New Roman" w:eastAsia="Times New Roman" w:hAnsi="Times New Roman" w:cs="Times New Roman"/>
                <w:sz w:val="24"/>
                <w:szCs w:val="24"/>
              </w:rPr>
              <w:t>&lt;65</w:t>
            </w:r>
          </w:p>
        </w:tc>
      </w:tr>
      <w:tr w:rsidR="00A64A84" w:rsidRPr="000C14A1" w14:paraId="17946BD8" w14:textId="77777777" w:rsidTr="004570B5">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6" w14:textId="77777777" w:rsidR="00A64A84" w:rsidRPr="000C14A1" w:rsidRDefault="00A64A84" w:rsidP="00A64A84">
            <w:pPr>
              <w:spacing w:after="0" w:line="240" w:lineRule="auto"/>
              <w:rPr>
                <w:rFonts w:ascii="Times New Roman" w:eastAsia="Times New Roman" w:hAnsi="Times New Roman" w:cs="Times New Roman"/>
                <w:b/>
                <w:color w:val="000000"/>
                <w:sz w:val="24"/>
                <w:szCs w:val="24"/>
              </w:rPr>
            </w:pPr>
            <w:r w:rsidRPr="000C14A1">
              <w:rPr>
                <w:rFonts w:ascii="Times New Roman" w:eastAsia="Times New Roman" w:hAnsi="Times New Roman" w:cs="Times New Roman"/>
                <w:b/>
                <w:color w:val="000000"/>
                <w:sz w:val="24"/>
                <w:szCs w:val="24"/>
              </w:rPr>
              <w:t xml:space="preserve">31 d to &lt; 2 </w:t>
            </w:r>
            <w:proofErr w:type="spellStart"/>
            <w:r w:rsidRPr="000C14A1">
              <w:rPr>
                <w:rFonts w:ascii="Times New Roman" w:eastAsia="Times New Roman" w:hAnsi="Times New Roman" w:cs="Times New Roman"/>
                <w:b/>
                <w:color w:val="000000"/>
                <w:sz w:val="24"/>
                <w:szCs w:val="24"/>
              </w:rPr>
              <w:t>yrs</w:t>
            </w:r>
            <w:proofErr w:type="spellEnd"/>
          </w:p>
        </w:tc>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7" w14:textId="77777777" w:rsidR="00A64A84" w:rsidRPr="000C14A1" w:rsidRDefault="00A64A84" w:rsidP="00A64A84">
            <w:pPr>
              <w:spacing w:after="0" w:line="240" w:lineRule="auto"/>
              <w:jc w:val="center"/>
              <w:rPr>
                <w:rFonts w:ascii="Times New Roman" w:eastAsia="Times New Roman" w:hAnsi="Times New Roman" w:cs="Times New Roman"/>
                <w:sz w:val="24"/>
                <w:szCs w:val="24"/>
              </w:rPr>
            </w:pPr>
            <w:r w:rsidRPr="000C14A1">
              <w:rPr>
                <w:rFonts w:ascii="Times New Roman" w:eastAsia="Times New Roman" w:hAnsi="Times New Roman" w:cs="Times New Roman"/>
                <w:sz w:val="24"/>
                <w:szCs w:val="24"/>
              </w:rPr>
              <w:t>&lt;70</w:t>
            </w:r>
          </w:p>
        </w:tc>
      </w:tr>
      <w:tr w:rsidR="00A64A84" w:rsidRPr="000C14A1" w14:paraId="17946BDB" w14:textId="77777777" w:rsidTr="004570B5">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9" w14:textId="77777777" w:rsidR="00A64A84" w:rsidRPr="000C14A1" w:rsidRDefault="00A64A84" w:rsidP="00A64A84">
            <w:pPr>
              <w:spacing w:after="0" w:line="240" w:lineRule="auto"/>
              <w:rPr>
                <w:rFonts w:ascii="Times New Roman" w:eastAsia="Times New Roman" w:hAnsi="Times New Roman" w:cs="Times New Roman"/>
                <w:b/>
                <w:color w:val="000000"/>
                <w:sz w:val="24"/>
                <w:szCs w:val="24"/>
              </w:rPr>
            </w:pPr>
            <w:r w:rsidRPr="000C14A1">
              <w:rPr>
                <w:rFonts w:ascii="Times New Roman" w:eastAsia="Times New Roman" w:hAnsi="Times New Roman" w:cs="Times New Roman"/>
                <w:b/>
                <w:color w:val="000000"/>
                <w:sz w:val="24"/>
                <w:szCs w:val="24"/>
              </w:rPr>
              <w:t xml:space="preserve">2 to &lt; 6 </w:t>
            </w:r>
            <w:proofErr w:type="spellStart"/>
            <w:r w:rsidRPr="000C14A1">
              <w:rPr>
                <w:rFonts w:ascii="Times New Roman" w:eastAsia="Times New Roman" w:hAnsi="Times New Roman" w:cs="Times New Roman"/>
                <w:b/>
                <w:color w:val="000000"/>
                <w:sz w:val="24"/>
                <w:szCs w:val="24"/>
              </w:rPr>
              <w:t>yrs</w:t>
            </w:r>
            <w:proofErr w:type="spellEnd"/>
          </w:p>
        </w:tc>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A" w14:textId="77777777" w:rsidR="00A64A84" w:rsidRPr="000C14A1" w:rsidRDefault="00A64A84" w:rsidP="00A64A84">
            <w:pPr>
              <w:spacing w:after="0" w:line="240" w:lineRule="auto"/>
              <w:jc w:val="center"/>
              <w:rPr>
                <w:rFonts w:ascii="Times New Roman" w:eastAsia="Times New Roman" w:hAnsi="Times New Roman" w:cs="Times New Roman"/>
                <w:sz w:val="24"/>
                <w:szCs w:val="24"/>
              </w:rPr>
            </w:pPr>
            <w:r w:rsidRPr="000C14A1">
              <w:rPr>
                <w:rFonts w:ascii="Times New Roman" w:eastAsia="Times New Roman" w:hAnsi="Times New Roman" w:cs="Times New Roman"/>
                <w:sz w:val="24"/>
                <w:szCs w:val="24"/>
              </w:rPr>
              <w:t>&lt;75</w:t>
            </w:r>
          </w:p>
        </w:tc>
      </w:tr>
      <w:tr w:rsidR="00A64A84" w:rsidRPr="000C14A1" w14:paraId="17946BDE" w14:textId="77777777" w:rsidTr="004570B5">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C" w14:textId="77777777" w:rsidR="00A64A84" w:rsidRPr="000C14A1" w:rsidRDefault="00A64A84" w:rsidP="00A64A84">
            <w:pPr>
              <w:spacing w:after="0" w:line="240" w:lineRule="auto"/>
              <w:rPr>
                <w:rFonts w:ascii="Times New Roman" w:eastAsia="Times New Roman" w:hAnsi="Times New Roman" w:cs="Times New Roman"/>
                <w:b/>
                <w:color w:val="000000"/>
                <w:sz w:val="24"/>
                <w:szCs w:val="24"/>
              </w:rPr>
            </w:pPr>
            <w:r w:rsidRPr="000C14A1">
              <w:rPr>
                <w:rFonts w:ascii="Times New Roman" w:eastAsia="Times New Roman" w:hAnsi="Times New Roman" w:cs="Times New Roman"/>
                <w:b/>
                <w:color w:val="000000"/>
                <w:sz w:val="24"/>
                <w:szCs w:val="24"/>
              </w:rPr>
              <w:t xml:space="preserve">6 to &lt; 13 </w:t>
            </w:r>
            <w:proofErr w:type="spellStart"/>
            <w:r w:rsidRPr="000C14A1">
              <w:rPr>
                <w:rFonts w:ascii="Times New Roman" w:eastAsia="Times New Roman" w:hAnsi="Times New Roman" w:cs="Times New Roman"/>
                <w:b/>
                <w:color w:val="000000"/>
                <w:sz w:val="24"/>
                <w:szCs w:val="24"/>
              </w:rPr>
              <w:t>yrs</w:t>
            </w:r>
            <w:proofErr w:type="spellEnd"/>
          </w:p>
        </w:tc>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D" w14:textId="77777777" w:rsidR="00A64A84" w:rsidRPr="000C14A1" w:rsidRDefault="00A64A84" w:rsidP="00A64A84">
            <w:pPr>
              <w:spacing w:after="0" w:line="240" w:lineRule="auto"/>
              <w:jc w:val="center"/>
              <w:rPr>
                <w:rFonts w:ascii="Times New Roman" w:eastAsia="Times New Roman" w:hAnsi="Times New Roman" w:cs="Times New Roman"/>
                <w:sz w:val="24"/>
                <w:szCs w:val="24"/>
              </w:rPr>
            </w:pPr>
            <w:r w:rsidRPr="000C14A1">
              <w:rPr>
                <w:rFonts w:ascii="Times New Roman" w:eastAsia="Times New Roman" w:hAnsi="Times New Roman" w:cs="Times New Roman"/>
                <w:sz w:val="24"/>
                <w:szCs w:val="24"/>
              </w:rPr>
              <w:t>&lt;85</w:t>
            </w:r>
          </w:p>
        </w:tc>
      </w:tr>
      <w:tr w:rsidR="00A64A84" w:rsidRPr="000C14A1" w14:paraId="17946BE1" w14:textId="77777777" w:rsidTr="004570B5">
        <w:trPr>
          <w:trHeight w:val="300"/>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DF" w14:textId="77777777" w:rsidR="00A64A84" w:rsidRPr="000C14A1" w:rsidRDefault="00A64A84" w:rsidP="00A64A84">
            <w:pPr>
              <w:spacing w:after="0" w:line="240" w:lineRule="auto"/>
              <w:rPr>
                <w:rFonts w:ascii="Times New Roman" w:eastAsia="Times New Roman" w:hAnsi="Times New Roman" w:cs="Times New Roman"/>
                <w:b/>
                <w:color w:val="000000"/>
                <w:sz w:val="24"/>
                <w:szCs w:val="24"/>
              </w:rPr>
            </w:pPr>
            <w:r w:rsidRPr="000C14A1">
              <w:rPr>
                <w:rFonts w:ascii="Times New Roman" w:eastAsia="Times New Roman" w:hAnsi="Times New Roman" w:cs="Times New Roman"/>
                <w:b/>
                <w:color w:val="000000"/>
                <w:sz w:val="24"/>
                <w:szCs w:val="24"/>
              </w:rPr>
              <w:t xml:space="preserve">&gt; 13 </w:t>
            </w:r>
            <w:proofErr w:type="spellStart"/>
            <w:r w:rsidRPr="000C14A1">
              <w:rPr>
                <w:rFonts w:ascii="Times New Roman" w:eastAsia="Times New Roman" w:hAnsi="Times New Roman" w:cs="Times New Roman"/>
                <w:b/>
                <w:color w:val="000000"/>
                <w:sz w:val="24"/>
                <w:szCs w:val="24"/>
              </w:rPr>
              <w:t>yrs</w:t>
            </w:r>
            <w:proofErr w:type="spellEnd"/>
          </w:p>
        </w:tc>
        <w:tc>
          <w:tcPr>
            <w:tcW w:w="2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6BE0" w14:textId="77777777" w:rsidR="00A64A84" w:rsidRPr="000C14A1" w:rsidRDefault="00A64A84" w:rsidP="00A64A84">
            <w:pPr>
              <w:spacing w:after="0" w:line="240" w:lineRule="auto"/>
              <w:jc w:val="center"/>
              <w:rPr>
                <w:rFonts w:ascii="Times New Roman" w:eastAsia="Times New Roman" w:hAnsi="Times New Roman" w:cs="Times New Roman"/>
                <w:sz w:val="24"/>
                <w:szCs w:val="24"/>
              </w:rPr>
            </w:pPr>
            <w:r w:rsidRPr="000C14A1">
              <w:rPr>
                <w:rFonts w:ascii="Times New Roman" w:eastAsia="Times New Roman" w:hAnsi="Times New Roman" w:cs="Times New Roman"/>
                <w:sz w:val="24"/>
                <w:szCs w:val="24"/>
              </w:rPr>
              <w:t>&lt;90</w:t>
            </w:r>
          </w:p>
        </w:tc>
      </w:tr>
    </w:tbl>
    <w:p w14:paraId="17946BE2" w14:textId="77777777" w:rsidR="00A64A84" w:rsidRPr="000C14A1" w:rsidRDefault="00A64A84" w:rsidP="00A64A84">
      <w:pPr>
        <w:spacing w:after="0" w:line="240" w:lineRule="auto"/>
        <w:rPr>
          <w:rFonts w:ascii="Times New Roman" w:hAnsi="Times New Roman" w:cs="Times New Roman"/>
          <w:sz w:val="24"/>
          <w:szCs w:val="24"/>
        </w:rPr>
      </w:pPr>
    </w:p>
    <w:p w14:paraId="17946BE3" w14:textId="77777777" w:rsidR="00A64A84" w:rsidRPr="000C14A1" w:rsidRDefault="00A64A84" w:rsidP="00A64A84">
      <w:pPr>
        <w:spacing w:after="0" w:line="240" w:lineRule="auto"/>
        <w:rPr>
          <w:rFonts w:ascii="Times New Roman" w:hAnsi="Times New Roman" w:cs="Times New Roman"/>
          <w:sz w:val="24"/>
          <w:szCs w:val="24"/>
        </w:rPr>
      </w:pPr>
      <w:r w:rsidRPr="000C14A1">
        <w:rPr>
          <w:rFonts w:ascii="Times New Roman" w:hAnsi="Times New Roman" w:cs="Times New Roman"/>
          <w:sz w:val="24"/>
          <w:szCs w:val="24"/>
        </w:rPr>
        <w:t xml:space="preserve">NOTE:  For new episodes that flag within the QI cohort in which the patient already has an established (i.e., no longer “acute”) sepsis course, the new episode should be adjudicated </w:t>
      </w:r>
      <w:proofErr w:type="gramStart"/>
      <w:r w:rsidRPr="000C14A1">
        <w:rPr>
          <w:rFonts w:ascii="Times New Roman" w:hAnsi="Times New Roman" w:cs="Times New Roman"/>
          <w:sz w:val="24"/>
          <w:szCs w:val="24"/>
        </w:rPr>
        <w:t>with regard to</w:t>
      </w:r>
      <w:proofErr w:type="gramEnd"/>
      <w:r w:rsidRPr="000C14A1">
        <w:rPr>
          <w:rFonts w:ascii="Times New Roman" w:hAnsi="Times New Roman" w:cs="Times New Roman"/>
          <w:sz w:val="24"/>
          <w:szCs w:val="24"/>
        </w:rPr>
        <w:t xml:space="preserve"> the presence of NEW/WORSENING/EVOLVING infection and/or NEW/WORSENING/EVOLVING organ dysfunction at the time of the new episode. </w:t>
      </w:r>
    </w:p>
    <w:p w14:paraId="17946BE4" w14:textId="77777777" w:rsidR="00A64A84" w:rsidRPr="000C14A1" w:rsidRDefault="00A64A84" w:rsidP="00A64A84">
      <w:pPr>
        <w:spacing w:after="0" w:line="240" w:lineRule="auto"/>
        <w:rPr>
          <w:rFonts w:ascii="Times New Roman" w:hAnsi="Times New Roman" w:cs="Times New Roman"/>
          <w:sz w:val="24"/>
          <w:szCs w:val="24"/>
        </w:rPr>
        <w:sectPr w:rsidR="00A64A84" w:rsidRPr="000C14A1" w:rsidSect="005C3253">
          <w:pgSz w:w="15840" w:h="12240" w:orient="landscape"/>
          <w:pgMar w:top="1440" w:right="1440" w:bottom="1440" w:left="1440" w:header="720" w:footer="720" w:gutter="0"/>
          <w:cols w:space="720"/>
          <w:docGrid w:linePitch="360"/>
        </w:sectPr>
      </w:pPr>
    </w:p>
    <w:p w14:paraId="17946BE5" w14:textId="77777777" w:rsidR="00A64A84" w:rsidRPr="000C14A1" w:rsidRDefault="00A64A84" w:rsidP="00A64A84">
      <w:pPr>
        <w:rPr>
          <w:rFonts w:ascii="Times New Roman" w:hAnsi="Times New Roman" w:cs="Times New Roman"/>
          <w:b/>
          <w:sz w:val="24"/>
          <w:szCs w:val="24"/>
        </w:rPr>
      </w:pPr>
      <w:proofErr w:type="spellStart"/>
      <w:r w:rsidRPr="000C14A1">
        <w:rPr>
          <w:rFonts w:ascii="Times New Roman" w:hAnsi="Times New Roman" w:cs="Times New Roman"/>
          <w:b/>
          <w:sz w:val="24"/>
          <w:szCs w:val="24"/>
        </w:rPr>
        <w:lastRenderedPageBreak/>
        <w:t>eTable</w:t>
      </w:r>
      <w:proofErr w:type="spellEnd"/>
      <w:r w:rsidRPr="000C14A1">
        <w:rPr>
          <w:rFonts w:ascii="Times New Roman" w:hAnsi="Times New Roman" w:cs="Times New Roman"/>
          <w:b/>
          <w:sz w:val="24"/>
          <w:szCs w:val="24"/>
        </w:rPr>
        <w:t xml:space="preserve"> 3:  Patient Characteristics for All Eligible Hospital Encounters</w:t>
      </w:r>
    </w:p>
    <w:tbl>
      <w:tblPr>
        <w:tblStyle w:val="ListTable6Colorful"/>
        <w:tblW w:w="9792" w:type="dxa"/>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4608"/>
        <w:gridCol w:w="1728"/>
        <w:gridCol w:w="1728"/>
        <w:gridCol w:w="1728"/>
      </w:tblGrid>
      <w:tr w:rsidR="00A64A84" w:rsidRPr="000C14A1" w14:paraId="17946BEA" w14:textId="77777777" w:rsidTr="004570B5">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4608" w:type="dxa"/>
            <w:tcBorders>
              <w:bottom w:val="none" w:sz="0" w:space="0" w:color="auto"/>
            </w:tcBorders>
            <w:vAlign w:val="center"/>
          </w:tcPr>
          <w:p w14:paraId="17946BE6" w14:textId="77777777" w:rsidR="00A64A84" w:rsidRPr="000C14A1" w:rsidRDefault="00A64A84" w:rsidP="004570B5">
            <w:pPr>
              <w:pStyle w:val="NoSpacing"/>
              <w:jc w:val="center"/>
              <w:rPr>
                <w:rFonts w:ascii="Times New Roman" w:hAnsi="Times New Roman" w:cs="Times New Roman"/>
                <w:b w:val="0"/>
                <w:sz w:val="24"/>
                <w:szCs w:val="24"/>
              </w:rPr>
            </w:pPr>
            <w:r w:rsidRPr="000C14A1">
              <w:rPr>
                <w:rFonts w:ascii="Times New Roman" w:hAnsi="Times New Roman" w:cs="Times New Roman"/>
                <w:sz w:val="24"/>
                <w:szCs w:val="24"/>
              </w:rPr>
              <w:t>Variable</w:t>
            </w:r>
          </w:p>
        </w:tc>
        <w:tc>
          <w:tcPr>
            <w:tcW w:w="1728" w:type="dxa"/>
            <w:tcBorders>
              <w:bottom w:val="none" w:sz="0" w:space="0" w:color="auto"/>
            </w:tcBorders>
            <w:vAlign w:val="center"/>
          </w:tcPr>
          <w:p w14:paraId="17946BE7" w14:textId="77777777" w:rsidR="00A64A84" w:rsidRPr="000C14A1" w:rsidRDefault="00A64A84" w:rsidP="004570B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Total Study Period</w:t>
            </w:r>
          </w:p>
        </w:tc>
        <w:tc>
          <w:tcPr>
            <w:tcW w:w="1728" w:type="dxa"/>
            <w:tcBorders>
              <w:bottom w:val="none" w:sz="0" w:space="0" w:color="auto"/>
            </w:tcBorders>
            <w:vAlign w:val="center"/>
          </w:tcPr>
          <w:p w14:paraId="17946BE8" w14:textId="77777777" w:rsidR="00A64A84" w:rsidRPr="000C14A1" w:rsidRDefault="00A64A84" w:rsidP="004570B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dark1"/>
                <w:kern w:val="24"/>
                <w:sz w:val="24"/>
                <w:szCs w:val="24"/>
              </w:rPr>
            </w:pPr>
            <w:r w:rsidRPr="000C14A1">
              <w:rPr>
                <w:rFonts w:ascii="Times New Roman" w:hAnsi="Times New Roman" w:cs="Times New Roman"/>
                <w:color w:val="000000" w:themeColor="dark1"/>
                <w:kern w:val="24"/>
                <w:sz w:val="24"/>
                <w:szCs w:val="24"/>
              </w:rPr>
              <w:t>Derivation Period</w:t>
            </w:r>
          </w:p>
        </w:tc>
        <w:tc>
          <w:tcPr>
            <w:tcW w:w="1728" w:type="dxa"/>
            <w:tcBorders>
              <w:bottom w:val="none" w:sz="0" w:space="0" w:color="auto"/>
            </w:tcBorders>
            <w:vAlign w:val="center"/>
          </w:tcPr>
          <w:p w14:paraId="17946BE9" w14:textId="77777777" w:rsidR="00A64A84" w:rsidRPr="000C14A1" w:rsidRDefault="00A64A84" w:rsidP="004570B5">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dark1"/>
                <w:kern w:val="24"/>
                <w:sz w:val="24"/>
                <w:szCs w:val="24"/>
              </w:rPr>
            </w:pPr>
            <w:r w:rsidRPr="000C14A1">
              <w:rPr>
                <w:rFonts w:ascii="Times New Roman" w:hAnsi="Times New Roman" w:cs="Times New Roman"/>
                <w:color w:val="000000" w:themeColor="dark1"/>
                <w:kern w:val="24"/>
                <w:sz w:val="24"/>
                <w:szCs w:val="24"/>
              </w:rPr>
              <w:t>Validation Period</w:t>
            </w:r>
          </w:p>
        </w:tc>
      </w:tr>
      <w:tr w:rsidR="00A64A84" w:rsidRPr="000C14A1" w14:paraId="17946BEF"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BEB"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Number of hospital encounters</w:t>
            </w:r>
          </w:p>
        </w:tc>
        <w:tc>
          <w:tcPr>
            <w:tcW w:w="1728" w:type="dxa"/>
          </w:tcPr>
          <w:p w14:paraId="17946BEC"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832,550</w:t>
            </w:r>
          </w:p>
        </w:tc>
        <w:tc>
          <w:tcPr>
            <w:tcW w:w="1728" w:type="dxa"/>
          </w:tcPr>
          <w:p w14:paraId="17946BED"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color w:val="000000"/>
                <w:sz w:val="24"/>
                <w:szCs w:val="24"/>
              </w:rPr>
              <w:t>93,897</w:t>
            </w:r>
          </w:p>
        </w:tc>
        <w:tc>
          <w:tcPr>
            <w:tcW w:w="1728" w:type="dxa"/>
          </w:tcPr>
          <w:p w14:paraId="17946BEE"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color w:val="000000"/>
                <w:sz w:val="24"/>
                <w:szCs w:val="24"/>
              </w:rPr>
              <w:t>64,388</w:t>
            </w:r>
          </w:p>
        </w:tc>
      </w:tr>
      <w:tr w:rsidR="00A64A84" w:rsidRPr="000C14A1" w14:paraId="17946BF4"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BF0" w14:textId="77777777" w:rsidR="00A64A84" w:rsidRPr="000C14A1" w:rsidRDefault="00A64A84" w:rsidP="004570B5">
            <w:pPr>
              <w:pStyle w:val="NoSpacing"/>
              <w:rPr>
                <w:rFonts w:ascii="Times New Roman" w:hAnsi="Times New Roman" w:cs="Times New Roman"/>
                <w:b w:val="0"/>
                <w:sz w:val="24"/>
                <w:szCs w:val="24"/>
              </w:rPr>
            </w:pPr>
            <w:r w:rsidRPr="000C14A1">
              <w:rPr>
                <w:rFonts w:ascii="Times New Roman" w:hAnsi="Times New Roman" w:cs="Times New Roman"/>
                <w:b w:val="0"/>
                <w:color w:val="000000"/>
                <w:sz w:val="24"/>
                <w:szCs w:val="24"/>
              </w:rPr>
              <w:t xml:space="preserve">Age, years </w:t>
            </w:r>
          </w:p>
        </w:tc>
        <w:tc>
          <w:tcPr>
            <w:tcW w:w="1728" w:type="dxa"/>
          </w:tcPr>
          <w:p w14:paraId="17946BF1"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5 (1-11)</w:t>
            </w:r>
          </w:p>
        </w:tc>
        <w:tc>
          <w:tcPr>
            <w:tcW w:w="1728" w:type="dxa"/>
          </w:tcPr>
          <w:p w14:paraId="17946BF2"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5 (1-11)</w:t>
            </w:r>
          </w:p>
        </w:tc>
        <w:tc>
          <w:tcPr>
            <w:tcW w:w="1728" w:type="dxa"/>
          </w:tcPr>
          <w:p w14:paraId="17946BF3"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5 (1-11)</w:t>
            </w:r>
          </w:p>
        </w:tc>
      </w:tr>
      <w:tr w:rsidR="00A64A84" w:rsidRPr="000C14A1" w14:paraId="17946BF9"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BF5" w14:textId="77777777" w:rsidR="00A64A84" w:rsidRPr="000C14A1" w:rsidRDefault="00A64A84" w:rsidP="004570B5">
            <w:pPr>
              <w:pStyle w:val="NoSpacing"/>
              <w:rPr>
                <w:rFonts w:ascii="Times New Roman" w:hAnsi="Times New Roman" w:cs="Times New Roman"/>
                <w:color w:val="000000"/>
                <w:sz w:val="24"/>
                <w:szCs w:val="24"/>
              </w:rPr>
            </w:pPr>
            <w:r w:rsidRPr="000C14A1">
              <w:rPr>
                <w:rFonts w:ascii="Times New Roman" w:hAnsi="Times New Roman" w:cs="Times New Roman"/>
                <w:b w:val="0"/>
                <w:color w:val="000000"/>
                <w:sz w:val="24"/>
                <w:szCs w:val="24"/>
              </w:rPr>
              <w:t>Age categories)</w:t>
            </w:r>
          </w:p>
        </w:tc>
        <w:tc>
          <w:tcPr>
            <w:tcW w:w="1728" w:type="dxa"/>
          </w:tcPr>
          <w:p w14:paraId="17946BF6"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8" w:type="dxa"/>
          </w:tcPr>
          <w:p w14:paraId="17946BF7"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8" w:type="dxa"/>
          </w:tcPr>
          <w:p w14:paraId="17946BF8"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64A84" w:rsidRPr="000C14A1" w14:paraId="17946BFE"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BFA"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&lt;1 month</w:t>
            </w:r>
          </w:p>
        </w:tc>
        <w:tc>
          <w:tcPr>
            <w:tcW w:w="1728" w:type="dxa"/>
          </w:tcPr>
          <w:p w14:paraId="17946BFB"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13,809 (2)</w:t>
            </w:r>
          </w:p>
        </w:tc>
        <w:tc>
          <w:tcPr>
            <w:tcW w:w="1728" w:type="dxa"/>
          </w:tcPr>
          <w:p w14:paraId="17946BFC"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1,581 (2)</w:t>
            </w:r>
          </w:p>
        </w:tc>
        <w:tc>
          <w:tcPr>
            <w:tcW w:w="1728" w:type="dxa"/>
          </w:tcPr>
          <w:p w14:paraId="17946BFD"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1,218 (2)</w:t>
            </w:r>
          </w:p>
        </w:tc>
      </w:tr>
      <w:tr w:rsidR="00A64A84" w:rsidRPr="000C14A1" w14:paraId="17946C03"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BFF"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1 to &lt; 12 </w:t>
            </w:r>
            <w:proofErr w:type="gramStart"/>
            <w:r w:rsidRPr="000C14A1">
              <w:rPr>
                <w:rFonts w:ascii="Times New Roman" w:hAnsi="Times New Roman" w:cs="Times New Roman"/>
                <w:b w:val="0"/>
                <w:color w:val="000000"/>
                <w:sz w:val="24"/>
                <w:szCs w:val="24"/>
              </w:rPr>
              <w:t>months</w:t>
            </w:r>
            <w:proofErr w:type="gramEnd"/>
          </w:p>
        </w:tc>
        <w:tc>
          <w:tcPr>
            <w:tcW w:w="1728" w:type="dxa"/>
          </w:tcPr>
          <w:p w14:paraId="17946C00"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113,465 (14)</w:t>
            </w:r>
          </w:p>
        </w:tc>
        <w:tc>
          <w:tcPr>
            <w:tcW w:w="1728" w:type="dxa"/>
          </w:tcPr>
          <w:p w14:paraId="17946C01"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12,382 (13)</w:t>
            </w:r>
          </w:p>
        </w:tc>
        <w:tc>
          <w:tcPr>
            <w:tcW w:w="1728" w:type="dxa"/>
          </w:tcPr>
          <w:p w14:paraId="17946C02"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9057 (14)</w:t>
            </w:r>
          </w:p>
        </w:tc>
      </w:tr>
      <w:tr w:rsidR="00A64A84" w:rsidRPr="000C14A1" w14:paraId="17946C08"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04"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12 to &lt;24 months</w:t>
            </w:r>
          </w:p>
        </w:tc>
        <w:tc>
          <w:tcPr>
            <w:tcW w:w="1728" w:type="dxa"/>
          </w:tcPr>
          <w:p w14:paraId="17946C05"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103,463 (12)</w:t>
            </w:r>
          </w:p>
        </w:tc>
        <w:tc>
          <w:tcPr>
            <w:tcW w:w="1728" w:type="dxa"/>
          </w:tcPr>
          <w:p w14:paraId="17946C06"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11,345 (12)</w:t>
            </w:r>
          </w:p>
        </w:tc>
        <w:tc>
          <w:tcPr>
            <w:tcW w:w="1728" w:type="dxa"/>
          </w:tcPr>
          <w:p w14:paraId="17946C07"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7983 (13)</w:t>
            </w:r>
          </w:p>
        </w:tc>
      </w:tr>
      <w:tr w:rsidR="00A64A84" w:rsidRPr="000C14A1" w14:paraId="17946C0D"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09"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2 to &lt;5 years</w:t>
            </w:r>
          </w:p>
        </w:tc>
        <w:tc>
          <w:tcPr>
            <w:tcW w:w="1728" w:type="dxa"/>
          </w:tcPr>
          <w:p w14:paraId="17946C0A"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182,876 (22)</w:t>
            </w:r>
          </w:p>
        </w:tc>
        <w:tc>
          <w:tcPr>
            <w:tcW w:w="1728" w:type="dxa"/>
          </w:tcPr>
          <w:p w14:paraId="17946C0B"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19,746 (21)</w:t>
            </w:r>
          </w:p>
        </w:tc>
        <w:tc>
          <w:tcPr>
            <w:tcW w:w="1728" w:type="dxa"/>
          </w:tcPr>
          <w:p w14:paraId="17946C0C"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13,731 (21)</w:t>
            </w:r>
          </w:p>
        </w:tc>
      </w:tr>
      <w:tr w:rsidR="00A64A84" w:rsidRPr="000C14A1" w14:paraId="17946C12"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0E"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5 to &lt;12 years</w:t>
            </w:r>
          </w:p>
        </w:tc>
        <w:tc>
          <w:tcPr>
            <w:tcW w:w="1728" w:type="dxa"/>
          </w:tcPr>
          <w:p w14:paraId="17946C0F"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233,294 (28)</w:t>
            </w:r>
          </w:p>
        </w:tc>
        <w:tc>
          <w:tcPr>
            <w:tcW w:w="1728" w:type="dxa"/>
          </w:tcPr>
          <w:p w14:paraId="17946C10"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27,071 (29)</w:t>
            </w:r>
          </w:p>
        </w:tc>
        <w:tc>
          <w:tcPr>
            <w:tcW w:w="1728" w:type="dxa"/>
          </w:tcPr>
          <w:p w14:paraId="17946C11"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17,542 (27)</w:t>
            </w:r>
          </w:p>
        </w:tc>
      </w:tr>
      <w:tr w:rsidR="00A64A84" w:rsidRPr="000C14A1" w14:paraId="17946C17"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13"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12 to &lt;18 years</w:t>
            </w:r>
          </w:p>
        </w:tc>
        <w:tc>
          <w:tcPr>
            <w:tcW w:w="1728" w:type="dxa"/>
          </w:tcPr>
          <w:p w14:paraId="17946C14"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159,827 (19)</w:t>
            </w:r>
          </w:p>
        </w:tc>
        <w:tc>
          <w:tcPr>
            <w:tcW w:w="1728" w:type="dxa"/>
          </w:tcPr>
          <w:p w14:paraId="17946C15"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18,800 (20)</w:t>
            </w:r>
          </w:p>
        </w:tc>
        <w:tc>
          <w:tcPr>
            <w:tcW w:w="1728" w:type="dxa"/>
          </w:tcPr>
          <w:p w14:paraId="17946C16"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12,754 (20)</w:t>
            </w:r>
          </w:p>
        </w:tc>
      </w:tr>
      <w:tr w:rsidR="00A64A84" w:rsidRPr="000C14A1" w14:paraId="17946C1C"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18"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≥18 years</w:t>
            </w:r>
          </w:p>
        </w:tc>
        <w:tc>
          <w:tcPr>
            <w:tcW w:w="1728" w:type="dxa"/>
          </w:tcPr>
          <w:p w14:paraId="17946C19"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25,816 (3)</w:t>
            </w:r>
          </w:p>
        </w:tc>
        <w:tc>
          <w:tcPr>
            <w:tcW w:w="1728" w:type="dxa"/>
          </w:tcPr>
          <w:p w14:paraId="17946C1A"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2,972 (3)</w:t>
            </w:r>
          </w:p>
        </w:tc>
        <w:tc>
          <w:tcPr>
            <w:tcW w:w="1728" w:type="dxa"/>
          </w:tcPr>
          <w:p w14:paraId="17946C1B"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2103 (3)</w:t>
            </w:r>
          </w:p>
        </w:tc>
      </w:tr>
      <w:tr w:rsidR="00A64A84" w:rsidRPr="000C14A1" w14:paraId="17946C21"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1D" w14:textId="77777777" w:rsidR="00A64A84" w:rsidRPr="000C14A1" w:rsidRDefault="00A64A84" w:rsidP="004570B5">
            <w:pPr>
              <w:pStyle w:val="NoSpacing"/>
              <w:rPr>
                <w:rFonts w:ascii="Times New Roman" w:hAnsi="Times New Roman" w:cs="Times New Roman"/>
                <w:color w:val="000000"/>
                <w:sz w:val="24"/>
                <w:szCs w:val="24"/>
              </w:rPr>
            </w:pPr>
            <w:r w:rsidRPr="000C14A1">
              <w:rPr>
                <w:rFonts w:ascii="Times New Roman" w:hAnsi="Times New Roman" w:cs="Times New Roman"/>
                <w:b w:val="0"/>
                <w:color w:val="000000"/>
                <w:sz w:val="24"/>
                <w:szCs w:val="24"/>
              </w:rPr>
              <w:t>Sex, male</w:t>
            </w:r>
          </w:p>
        </w:tc>
        <w:tc>
          <w:tcPr>
            <w:tcW w:w="1728" w:type="dxa"/>
          </w:tcPr>
          <w:p w14:paraId="17946C1E"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439,511 (53)</w:t>
            </w:r>
          </w:p>
        </w:tc>
        <w:tc>
          <w:tcPr>
            <w:tcW w:w="1728" w:type="dxa"/>
          </w:tcPr>
          <w:p w14:paraId="17946C1F"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49,042 (52)</w:t>
            </w:r>
          </w:p>
        </w:tc>
        <w:tc>
          <w:tcPr>
            <w:tcW w:w="1728" w:type="dxa"/>
          </w:tcPr>
          <w:p w14:paraId="17946C20"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14A1">
              <w:rPr>
                <w:rFonts w:ascii="Times New Roman" w:hAnsi="Times New Roman" w:cs="Times New Roman"/>
                <w:sz w:val="24"/>
                <w:szCs w:val="24"/>
              </w:rPr>
              <w:t>33,936 (53)</w:t>
            </w:r>
          </w:p>
        </w:tc>
      </w:tr>
      <w:tr w:rsidR="00A64A84" w:rsidRPr="000C14A1" w14:paraId="17946C26"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22" w14:textId="77777777" w:rsidR="00A64A84" w:rsidRPr="000C14A1" w:rsidRDefault="00A64A84" w:rsidP="004570B5">
            <w:pPr>
              <w:pStyle w:val="NoSpacing"/>
              <w:rPr>
                <w:rFonts w:ascii="Times New Roman" w:hAnsi="Times New Roman" w:cs="Times New Roman"/>
                <w:b w:val="0"/>
                <w:sz w:val="24"/>
                <w:szCs w:val="24"/>
              </w:rPr>
            </w:pPr>
            <w:r w:rsidRPr="000C14A1">
              <w:rPr>
                <w:rFonts w:ascii="Times New Roman" w:hAnsi="Times New Roman" w:cs="Times New Roman"/>
                <w:b w:val="0"/>
                <w:color w:val="000000"/>
                <w:sz w:val="24"/>
                <w:szCs w:val="24"/>
              </w:rPr>
              <w:t>Race</w:t>
            </w:r>
          </w:p>
        </w:tc>
        <w:tc>
          <w:tcPr>
            <w:tcW w:w="1728" w:type="dxa"/>
          </w:tcPr>
          <w:p w14:paraId="17946C23"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8" w:type="dxa"/>
          </w:tcPr>
          <w:p w14:paraId="17946C24"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28" w:type="dxa"/>
          </w:tcPr>
          <w:p w14:paraId="17946C25"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A64A84" w:rsidRPr="000C14A1" w14:paraId="17946C2B"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27" w14:textId="77777777" w:rsidR="00A64A84" w:rsidRPr="000C14A1" w:rsidRDefault="00A64A84" w:rsidP="004570B5">
            <w:pPr>
              <w:pStyle w:val="NoSpacing"/>
              <w:rPr>
                <w:rFonts w:ascii="Times New Roman" w:hAnsi="Times New Roman" w:cs="Times New Roman"/>
                <w:b w:val="0"/>
                <w:sz w:val="24"/>
                <w:szCs w:val="24"/>
              </w:rPr>
            </w:pPr>
            <w:r w:rsidRPr="000C14A1">
              <w:rPr>
                <w:rFonts w:ascii="Times New Roman" w:hAnsi="Times New Roman" w:cs="Times New Roman"/>
                <w:b w:val="0"/>
                <w:color w:val="000000"/>
                <w:sz w:val="24"/>
                <w:szCs w:val="24"/>
              </w:rPr>
              <w:t xml:space="preserve"> White</w:t>
            </w:r>
          </w:p>
        </w:tc>
        <w:tc>
          <w:tcPr>
            <w:tcW w:w="1728" w:type="dxa"/>
          </w:tcPr>
          <w:p w14:paraId="17946C28"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231,918 (28)</w:t>
            </w:r>
          </w:p>
        </w:tc>
        <w:tc>
          <w:tcPr>
            <w:tcW w:w="1728" w:type="dxa"/>
          </w:tcPr>
          <w:p w14:paraId="17946C29"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25,621 (27)</w:t>
            </w:r>
          </w:p>
        </w:tc>
        <w:tc>
          <w:tcPr>
            <w:tcW w:w="1728" w:type="dxa"/>
          </w:tcPr>
          <w:p w14:paraId="17946C2A"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18,107 (28)</w:t>
            </w:r>
          </w:p>
        </w:tc>
      </w:tr>
      <w:tr w:rsidR="00A64A84" w:rsidRPr="000C14A1" w14:paraId="17946C30"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2C" w14:textId="77777777" w:rsidR="00A64A84" w:rsidRPr="000C14A1" w:rsidRDefault="00A64A84" w:rsidP="004570B5">
            <w:pPr>
              <w:pStyle w:val="NoSpacing"/>
              <w:rPr>
                <w:rFonts w:ascii="Times New Roman" w:hAnsi="Times New Roman" w:cs="Times New Roman"/>
                <w:b w:val="0"/>
                <w:sz w:val="24"/>
                <w:szCs w:val="24"/>
              </w:rPr>
            </w:pPr>
            <w:r w:rsidRPr="000C14A1">
              <w:rPr>
                <w:rFonts w:ascii="Times New Roman" w:hAnsi="Times New Roman" w:cs="Times New Roman"/>
                <w:b w:val="0"/>
                <w:color w:val="000000"/>
                <w:sz w:val="24"/>
                <w:szCs w:val="24"/>
              </w:rPr>
              <w:t xml:space="preserve"> Black</w:t>
            </w:r>
          </w:p>
        </w:tc>
        <w:tc>
          <w:tcPr>
            <w:tcW w:w="1728" w:type="dxa"/>
          </w:tcPr>
          <w:p w14:paraId="17946C2D"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470,076 (57)</w:t>
            </w:r>
          </w:p>
        </w:tc>
        <w:tc>
          <w:tcPr>
            <w:tcW w:w="1728" w:type="dxa"/>
          </w:tcPr>
          <w:p w14:paraId="17946C2E"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50,694 (54)</w:t>
            </w:r>
          </w:p>
        </w:tc>
        <w:tc>
          <w:tcPr>
            <w:tcW w:w="1728" w:type="dxa"/>
          </w:tcPr>
          <w:p w14:paraId="17946C2F"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34,014 (53)</w:t>
            </w:r>
          </w:p>
        </w:tc>
      </w:tr>
      <w:tr w:rsidR="00A64A84" w:rsidRPr="000C14A1" w14:paraId="17946C35"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31" w14:textId="77777777" w:rsidR="00A64A84" w:rsidRPr="000C14A1" w:rsidRDefault="00A64A84" w:rsidP="004570B5">
            <w:pPr>
              <w:pStyle w:val="NoSpacing"/>
              <w:rPr>
                <w:rFonts w:ascii="Times New Roman" w:hAnsi="Times New Roman" w:cs="Times New Roman"/>
                <w:b w:val="0"/>
                <w:sz w:val="24"/>
                <w:szCs w:val="24"/>
              </w:rPr>
            </w:pPr>
            <w:r w:rsidRPr="000C14A1">
              <w:rPr>
                <w:rFonts w:ascii="Times New Roman" w:hAnsi="Times New Roman" w:cs="Times New Roman"/>
                <w:b w:val="0"/>
                <w:color w:val="000000"/>
                <w:sz w:val="24"/>
                <w:szCs w:val="24"/>
              </w:rPr>
              <w:t xml:space="preserve"> Asian</w:t>
            </w:r>
          </w:p>
        </w:tc>
        <w:tc>
          <w:tcPr>
            <w:tcW w:w="1728" w:type="dxa"/>
          </w:tcPr>
          <w:p w14:paraId="17946C32"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28,586 (3)</w:t>
            </w:r>
          </w:p>
        </w:tc>
        <w:tc>
          <w:tcPr>
            <w:tcW w:w="1728" w:type="dxa"/>
          </w:tcPr>
          <w:p w14:paraId="17946C33"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3,715 (4)</w:t>
            </w:r>
          </w:p>
        </w:tc>
        <w:tc>
          <w:tcPr>
            <w:tcW w:w="1728" w:type="dxa"/>
          </w:tcPr>
          <w:p w14:paraId="17946C34"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2,516 (4)</w:t>
            </w:r>
          </w:p>
        </w:tc>
      </w:tr>
      <w:tr w:rsidR="00A64A84" w:rsidRPr="000C14A1" w14:paraId="17946C3A"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36"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Multiple races</w:t>
            </w:r>
          </w:p>
        </w:tc>
        <w:tc>
          <w:tcPr>
            <w:tcW w:w="1728" w:type="dxa"/>
          </w:tcPr>
          <w:p w14:paraId="17946C37"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000000"/>
                <w:sz w:val="24"/>
                <w:szCs w:val="24"/>
              </w:rPr>
              <w:t>16,211 (2)</w:t>
            </w:r>
          </w:p>
        </w:tc>
        <w:tc>
          <w:tcPr>
            <w:tcW w:w="1728" w:type="dxa"/>
          </w:tcPr>
          <w:p w14:paraId="17946C38"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000000"/>
                <w:sz w:val="24"/>
                <w:szCs w:val="24"/>
              </w:rPr>
              <w:t>2,140 (2)</w:t>
            </w:r>
          </w:p>
        </w:tc>
        <w:tc>
          <w:tcPr>
            <w:tcW w:w="1728" w:type="dxa"/>
          </w:tcPr>
          <w:p w14:paraId="17946C39"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1,535 (2)</w:t>
            </w:r>
          </w:p>
        </w:tc>
      </w:tr>
      <w:tr w:rsidR="00A64A84" w:rsidRPr="000C14A1" w14:paraId="17946C3F"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3B" w14:textId="77777777" w:rsidR="00A64A84" w:rsidRPr="000C14A1" w:rsidRDefault="00A64A84" w:rsidP="004570B5">
            <w:pPr>
              <w:pStyle w:val="NoSpacing"/>
              <w:rPr>
                <w:rFonts w:ascii="Times New Roman" w:hAnsi="Times New Roman" w:cs="Times New Roman"/>
                <w:b w:val="0"/>
                <w:sz w:val="24"/>
                <w:szCs w:val="24"/>
              </w:rPr>
            </w:pPr>
            <w:r w:rsidRPr="000C14A1">
              <w:rPr>
                <w:rFonts w:ascii="Times New Roman" w:hAnsi="Times New Roman" w:cs="Times New Roman"/>
                <w:b w:val="0"/>
                <w:color w:val="000000"/>
                <w:sz w:val="24"/>
                <w:szCs w:val="24"/>
              </w:rPr>
              <w:t xml:space="preserve"> Other</w:t>
            </w:r>
          </w:p>
        </w:tc>
        <w:tc>
          <w:tcPr>
            <w:tcW w:w="1728" w:type="dxa"/>
          </w:tcPr>
          <w:p w14:paraId="17946C3C"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000000"/>
                <w:sz w:val="24"/>
                <w:szCs w:val="24"/>
              </w:rPr>
              <w:t>85,759 (10)</w:t>
            </w:r>
          </w:p>
        </w:tc>
        <w:tc>
          <w:tcPr>
            <w:tcW w:w="1728" w:type="dxa"/>
          </w:tcPr>
          <w:p w14:paraId="17946C3D"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000000"/>
                <w:sz w:val="24"/>
                <w:szCs w:val="24"/>
              </w:rPr>
              <w:t>11,727 (13)</w:t>
            </w:r>
          </w:p>
        </w:tc>
        <w:tc>
          <w:tcPr>
            <w:tcW w:w="1728" w:type="dxa"/>
          </w:tcPr>
          <w:p w14:paraId="17946C3E"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8216 (13)</w:t>
            </w:r>
          </w:p>
        </w:tc>
      </w:tr>
      <w:tr w:rsidR="00A64A84" w:rsidRPr="000C14A1" w14:paraId="17946C44"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40"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Number of CCC present</w:t>
            </w:r>
          </w:p>
        </w:tc>
        <w:tc>
          <w:tcPr>
            <w:tcW w:w="1728" w:type="dxa"/>
          </w:tcPr>
          <w:p w14:paraId="17946C41"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28" w:type="dxa"/>
          </w:tcPr>
          <w:p w14:paraId="17946C42"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28" w:type="dxa"/>
          </w:tcPr>
          <w:p w14:paraId="17946C43"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A64A84" w:rsidRPr="000C14A1" w14:paraId="17946C49"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45"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None</w:t>
            </w:r>
          </w:p>
        </w:tc>
        <w:tc>
          <w:tcPr>
            <w:tcW w:w="1728" w:type="dxa"/>
          </w:tcPr>
          <w:p w14:paraId="17946C46"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717,534 (86)</w:t>
            </w:r>
          </w:p>
        </w:tc>
        <w:tc>
          <w:tcPr>
            <w:tcW w:w="1728" w:type="dxa"/>
          </w:tcPr>
          <w:p w14:paraId="17946C47"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80,591 (86)</w:t>
            </w:r>
          </w:p>
        </w:tc>
        <w:tc>
          <w:tcPr>
            <w:tcW w:w="1728" w:type="dxa"/>
          </w:tcPr>
          <w:p w14:paraId="17946C48"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 xml:space="preserve">55,004 (85) </w:t>
            </w:r>
          </w:p>
        </w:tc>
      </w:tr>
      <w:tr w:rsidR="00A64A84" w:rsidRPr="000C14A1" w14:paraId="17946C4E"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4A"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One</w:t>
            </w:r>
          </w:p>
        </w:tc>
        <w:tc>
          <w:tcPr>
            <w:tcW w:w="1728" w:type="dxa"/>
          </w:tcPr>
          <w:p w14:paraId="17946C4B"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64,595 (8)</w:t>
            </w:r>
          </w:p>
        </w:tc>
        <w:tc>
          <w:tcPr>
            <w:tcW w:w="1728" w:type="dxa"/>
          </w:tcPr>
          <w:p w14:paraId="17946C4C"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7,016 (8)</w:t>
            </w:r>
          </w:p>
        </w:tc>
        <w:tc>
          <w:tcPr>
            <w:tcW w:w="1728" w:type="dxa"/>
          </w:tcPr>
          <w:p w14:paraId="17946C4D"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4,772 (7)</w:t>
            </w:r>
          </w:p>
        </w:tc>
      </w:tr>
      <w:tr w:rsidR="00A64A84" w:rsidRPr="000C14A1" w14:paraId="17946C53"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4F"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Two </w:t>
            </w:r>
          </w:p>
        </w:tc>
        <w:tc>
          <w:tcPr>
            <w:tcW w:w="1728" w:type="dxa"/>
          </w:tcPr>
          <w:p w14:paraId="17946C50"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24,376 (3)</w:t>
            </w:r>
          </w:p>
        </w:tc>
        <w:tc>
          <w:tcPr>
            <w:tcW w:w="1728" w:type="dxa"/>
          </w:tcPr>
          <w:p w14:paraId="17946C51"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3,111 (3)</w:t>
            </w:r>
          </w:p>
        </w:tc>
        <w:tc>
          <w:tcPr>
            <w:tcW w:w="1728" w:type="dxa"/>
          </w:tcPr>
          <w:p w14:paraId="17946C52"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2,206 (4)</w:t>
            </w:r>
          </w:p>
        </w:tc>
      </w:tr>
      <w:tr w:rsidR="00A64A84" w:rsidRPr="000C14A1" w14:paraId="17946C58"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54"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Three or more</w:t>
            </w:r>
          </w:p>
        </w:tc>
        <w:tc>
          <w:tcPr>
            <w:tcW w:w="1728" w:type="dxa"/>
          </w:tcPr>
          <w:p w14:paraId="17946C55"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26,045 (3)</w:t>
            </w:r>
          </w:p>
        </w:tc>
        <w:tc>
          <w:tcPr>
            <w:tcW w:w="1728" w:type="dxa"/>
          </w:tcPr>
          <w:p w14:paraId="17946C56"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3,179(3)</w:t>
            </w:r>
          </w:p>
        </w:tc>
        <w:tc>
          <w:tcPr>
            <w:tcW w:w="1728" w:type="dxa"/>
          </w:tcPr>
          <w:p w14:paraId="17946C57"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2,406 (4)</w:t>
            </w:r>
          </w:p>
        </w:tc>
      </w:tr>
      <w:tr w:rsidR="00A64A84" w:rsidRPr="000C14A1" w14:paraId="17946C5D"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59"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Type of CCC</w:t>
            </w:r>
          </w:p>
        </w:tc>
        <w:tc>
          <w:tcPr>
            <w:tcW w:w="1728" w:type="dxa"/>
          </w:tcPr>
          <w:p w14:paraId="17946C5A"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28" w:type="dxa"/>
          </w:tcPr>
          <w:p w14:paraId="17946C5B"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728" w:type="dxa"/>
          </w:tcPr>
          <w:p w14:paraId="17946C5C"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A64A84" w:rsidRPr="000C14A1" w14:paraId="17946C62"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5E"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Cardiovascular</w:t>
            </w:r>
          </w:p>
        </w:tc>
        <w:tc>
          <w:tcPr>
            <w:tcW w:w="1728" w:type="dxa"/>
          </w:tcPr>
          <w:p w14:paraId="17946C5F"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13,662(2)</w:t>
            </w:r>
          </w:p>
        </w:tc>
        <w:tc>
          <w:tcPr>
            <w:tcW w:w="1728" w:type="dxa"/>
          </w:tcPr>
          <w:p w14:paraId="17946C60"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1621 (2)</w:t>
            </w:r>
          </w:p>
        </w:tc>
        <w:tc>
          <w:tcPr>
            <w:tcW w:w="1728" w:type="dxa"/>
          </w:tcPr>
          <w:p w14:paraId="17946C61"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1210 (2)</w:t>
            </w:r>
          </w:p>
        </w:tc>
      </w:tr>
      <w:tr w:rsidR="00A64A84" w:rsidRPr="000C14A1" w14:paraId="17946C67"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63"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Respiratory</w:t>
            </w:r>
          </w:p>
        </w:tc>
        <w:tc>
          <w:tcPr>
            <w:tcW w:w="1728" w:type="dxa"/>
          </w:tcPr>
          <w:p w14:paraId="17946C64"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11,635 (1)</w:t>
            </w:r>
          </w:p>
        </w:tc>
        <w:tc>
          <w:tcPr>
            <w:tcW w:w="1728" w:type="dxa"/>
          </w:tcPr>
          <w:p w14:paraId="17946C65"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1256 (1)</w:t>
            </w:r>
          </w:p>
        </w:tc>
        <w:tc>
          <w:tcPr>
            <w:tcW w:w="1728" w:type="dxa"/>
          </w:tcPr>
          <w:p w14:paraId="17946C66"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1066 (2)</w:t>
            </w:r>
          </w:p>
        </w:tc>
      </w:tr>
      <w:tr w:rsidR="00A64A84" w:rsidRPr="000C14A1" w14:paraId="17946C6C"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68"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Neurologic/Neuromuscular</w:t>
            </w:r>
          </w:p>
        </w:tc>
        <w:tc>
          <w:tcPr>
            <w:tcW w:w="1728" w:type="dxa"/>
          </w:tcPr>
          <w:p w14:paraId="17946C69"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25,626 (3)</w:t>
            </w:r>
          </w:p>
        </w:tc>
        <w:tc>
          <w:tcPr>
            <w:tcW w:w="1728" w:type="dxa"/>
          </w:tcPr>
          <w:p w14:paraId="17946C6A"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3096 (3)</w:t>
            </w:r>
          </w:p>
        </w:tc>
        <w:tc>
          <w:tcPr>
            <w:tcW w:w="1728" w:type="dxa"/>
          </w:tcPr>
          <w:p w14:paraId="17946C6B"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2209 (3)</w:t>
            </w:r>
          </w:p>
        </w:tc>
      </w:tr>
      <w:tr w:rsidR="00A64A84" w:rsidRPr="000C14A1" w14:paraId="17946C71"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6D"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Hematologic/Immunodeficiency</w:t>
            </w:r>
          </w:p>
        </w:tc>
        <w:tc>
          <w:tcPr>
            <w:tcW w:w="1728" w:type="dxa"/>
          </w:tcPr>
          <w:p w14:paraId="17946C6E"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25,825 (3)</w:t>
            </w:r>
          </w:p>
        </w:tc>
        <w:tc>
          <w:tcPr>
            <w:tcW w:w="1728" w:type="dxa"/>
          </w:tcPr>
          <w:p w14:paraId="17946C6F"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2950 (3)</w:t>
            </w:r>
          </w:p>
        </w:tc>
        <w:tc>
          <w:tcPr>
            <w:tcW w:w="1728" w:type="dxa"/>
          </w:tcPr>
          <w:p w14:paraId="17946C70"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1985 (3)</w:t>
            </w:r>
          </w:p>
        </w:tc>
      </w:tr>
      <w:tr w:rsidR="00A64A84" w:rsidRPr="000C14A1" w14:paraId="17946C76"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72"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Oncologic</w:t>
            </w:r>
          </w:p>
        </w:tc>
        <w:tc>
          <w:tcPr>
            <w:tcW w:w="1728" w:type="dxa"/>
          </w:tcPr>
          <w:p w14:paraId="17946C73"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22,482 (3)</w:t>
            </w:r>
          </w:p>
        </w:tc>
        <w:tc>
          <w:tcPr>
            <w:tcW w:w="1728" w:type="dxa"/>
          </w:tcPr>
          <w:p w14:paraId="17946C74"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2612 (3)</w:t>
            </w:r>
          </w:p>
        </w:tc>
        <w:tc>
          <w:tcPr>
            <w:tcW w:w="1728" w:type="dxa"/>
          </w:tcPr>
          <w:p w14:paraId="17946C75"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1750 (3)</w:t>
            </w:r>
          </w:p>
        </w:tc>
      </w:tr>
      <w:tr w:rsidR="00A64A84" w:rsidRPr="000C14A1" w14:paraId="17946C7B"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77"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Renal/Urologic</w:t>
            </w:r>
          </w:p>
        </w:tc>
        <w:tc>
          <w:tcPr>
            <w:tcW w:w="1728" w:type="dxa"/>
          </w:tcPr>
          <w:p w14:paraId="17946C78"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8579 (1)</w:t>
            </w:r>
          </w:p>
        </w:tc>
        <w:tc>
          <w:tcPr>
            <w:tcW w:w="1728" w:type="dxa"/>
          </w:tcPr>
          <w:p w14:paraId="17946C79"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1171 (1)</w:t>
            </w:r>
          </w:p>
        </w:tc>
        <w:tc>
          <w:tcPr>
            <w:tcW w:w="1728" w:type="dxa"/>
          </w:tcPr>
          <w:p w14:paraId="17946C7A"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839 (1)</w:t>
            </w:r>
          </w:p>
        </w:tc>
      </w:tr>
      <w:tr w:rsidR="00A64A84" w:rsidRPr="000C14A1" w14:paraId="17946C80"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7C"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Gastrointestinal</w:t>
            </w:r>
          </w:p>
        </w:tc>
        <w:tc>
          <w:tcPr>
            <w:tcW w:w="1728" w:type="dxa"/>
          </w:tcPr>
          <w:p w14:paraId="17946C7D"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30,096 (4)</w:t>
            </w:r>
          </w:p>
        </w:tc>
        <w:tc>
          <w:tcPr>
            <w:tcW w:w="1728" w:type="dxa"/>
          </w:tcPr>
          <w:p w14:paraId="17946C7E"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3762 (4)</w:t>
            </w:r>
          </w:p>
        </w:tc>
        <w:tc>
          <w:tcPr>
            <w:tcW w:w="1728" w:type="dxa"/>
          </w:tcPr>
          <w:p w14:paraId="17946C7F"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2778 (4)</w:t>
            </w:r>
          </w:p>
        </w:tc>
      </w:tr>
      <w:tr w:rsidR="00A64A84" w:rsidRPr="000C14A1" w14:paraId="17946C85"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81"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Metabolic</w:t>
            </w:r>
          </w:p>
        </w:tc>
        <w:tc>
          <w:tcPr>
            <w:tcW w:w="1728" w:type="dxa"/>
          </w:tcPr>
          <w:p w14:paraId="17946C82"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14,974 (2)</w:t>
            </w:r>
          </w:p>
        </w:tc>
        <w:tc>
          <w:tcPr>
            <w:tcW w:w="1728" w:type="dxa"/>
          </w:tcPr>
          <w:p w14:paraId="17946C83"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1949 (2)</w:t>
            </w:r>
          </w:p>
        </w:tc>
        <w:tc>
          <w:tcPr>
            <w:tcW w:w="1728" w:type="dxa"/>
          </w:tcPr>
          <w:p w14:paraId="17946C84"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1475 (2)</w:t>
            </w:r>
          </w:p>
        </w:tc>
      </w:tr>
      <w:tr w:rsidR="00A64A84" w:rsidRPr="000C14A1" w14:paraId="17946C8A"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86"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Other congenital/Genetic</w:t>
            </w:r>
          </w:p>
        </w:tc>
        <w:tc>
          <w:tcPr>
            <w:tcW w:w="1728" w:type="dxa"/>
          </w:tcPr>
          <w:p w14:paraId="17946C87"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17,872 (2)</w:t>
            </w:r>
          </w:p>
        </w:tc>
        <w:tc>
          <w:tcPr>
            <w:tcW w:w="1728" w:type="dxa"/>
          </w:tcPr>
          <w:p w14:paraId="17946C88"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1887 (2)</w:t>
            </w:r>
          </w:p>
        </w:tc>
        <w:tc>
          <w:tcPr>
            <w:tcW w:w="1728" w:type="dxa"/>
          </w:tcPr>
          <w:p w14:paraId="17946C89"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1361 (2)</w:t>
            </w:r>
          </w:p>
        </w:tc>
      </w:tr>
      <w:tr w:rsidR="00A64A84" w:rsidRPr="000C14A1" w14:paraId="17946C8F"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8B" w14:textId="77777777" w:rsidR="00A64A84" w:rsidRPr="000C14A1" w:rsidRDefault="00A64A84" w:rsidP="004570B5">
            <w:pPr>
              <w:pStyle w:val="NoSpacing"/>
              <w:rPr>
                <w:rFonts w:ascii="Times New Roman" w:hAnsi="Times New Roman" w:cs="Times New Roman"/>
                <w:color w:val="000000"/>
                <w:sz w:val="24"/>
                <w:szCs w:val="24"/>
              </w:rPr>
            </w:pPr>
            <w:r w:rsidRPr="000C14A1">
              <w:rPr>
                <w:rFonts w:ascii="Times New Roman" w:hAnsi="Times New Roman" w:cs="Times New Roman"/>
                <w:b w:val="0"/>
                <w:color w:val="000000"/>
                <w:sz w:val="24"/>
                <w:szCs w:val="24"/>
              </w:rPr>
              <w:t xml:space="preserve">  Neonatal</w:t>
            </w:r>
          </w:p>
        </w:tc>
        <w:tc>
          <w:tcPr>
            <w:tcW w:w="1728" w:type="dxa"/>
          </w:tcPr>
          <w:p w14:paraId="17946C8C"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3,673 (&lt;1)</w:t>
            </w:r>
          </w:p>
        </w:tc>
        <w:tc>
          <w:tcPr>
            <w:tcW w:w="1728" w:type="dxa"/>
          </w:tcPr>
          <w:p w14:paraId="17946C8D"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390 (&lt;1)</w:t>
            </w:r>
          </w:p>
        </w:tc>
        <w:tc>
          <w:tcPr>
            <w:tcW w:w="1728" w:type="dxa"/>
          </w:tcPr>
          <w:p w14:paraId="17946C8E"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345 (1)</w:t>
            </w:r>
          </w:p>
        </w:tc>
      </w:tr>
      <w:tr w:rsidR="00A64A84" w:rsidRPr="000C14A1" w14:paraId="17946C94"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90" w14:textId="77777777" w:rsidR="00A64A84" w:rsidRPr="000C14A1" w:rsidRDefault="00A64A84" w:rsidP="004570B5">
            <w:pPr>
              <w:pStyle w:val="NoSpacing"/>
              <w:rPr>
                <w:rFonts w:ascii="Times New Roman" w:hAnsi="Times New Roman" w:cs="Times New Roman"/>
                <w:color w:val="000000"/>
                <w:sz w:val="24"/>
                <w:szCs w:val="24"/>
              </w:rPr>
            </w:pPr>
            <w:r w:rsidRPr="000C14A1">
              <w:rPr>
                <w:rFonts w:ascii="Times New Roman" w:hAnsi="Times New Roman" w:cs="Times New Roman"/>
                <w:b w:val="0"/>
                <w:color w:val="000000"/>
                <w:sz w:val="24"/>
                <w:szCs w:val="24"/>
              </w:rPr>
              <w:t xml:space="preserve">  Technology dependent</w:t>
            </w:r>
          </w:p>
        </w:tc>
        <w:tc>
          <w:tcPr>
            <w:tcW w:w="1728" w:type="dxa"/>
          </w:tcPr>
          <w:p w14:paraId="17946C91"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32,854 (4)</w:t>
            </w:r>
          </w:p>
        </w:tc>
        <w:tc>
          <w:tcPr>
            <w:tcW w:w="1728" w:type="dxa"/>
          </w:tcPr>
          <w:p w14:paraId="17946C92"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4163 (4)</w:t>
            </w:r>
          </w:p>
        </w:tc>
        <w:tc>
          <w:tcPr>
            <w:tcW w:w="1728" w:type="dxa"/>
          </w:tcPr>
          <w:p w14:paraId="17946C93"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3053 (5)</w:t>
            </w:r>
          </w:p>
        </w:tc>
      </w:tr>
      <w:tr w:rsidR="00A64A84" w:rsidRPr="000C14A1" w14:paraId="17946C99"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95" w14:textId="77777777" w:rsidR="00A64A84" w:rsidRPr="000C14A1" w:rsidRDefault="00A64A84" w:rsidP="004570B5">
            <w:pPr>
              <w:pStyle w:val="NoSpacing"/>
              <w:rPr>
                <w:rFonts w:ascii="Times New Roman" w:hAnsi="Times New Roman" w:cs="Times New Roman"/>
                <w:color w:val="000000"/>
                <w:sz w:val="24"/>
                <w:szCs w:val="24"/>
              </w:rPr>
            </w:pPr>
            <w:r w:rsidRPr="000C14A1">
              <w:rPr>
                <w:rFonts w:ascii="Times New Roman" w:hAnsi="Times New Roman" w:cs="Times New Roman"/>
                <w:b w:val="0"/>
                <w:color w:val="000000"/>
                <w:sz w:val="24"/>
                <w:szCs w:val="24"/>
              </w:rPr>
              <w:t xml:space="preserve">  Solid organ transplantation</w:t>
            </w:r>
          </w:p>
        </w:tc>
        <w:tc>
          <w:tcPr>
            <w:tcW w:w="1728" w:type="dxa"/>
          </w:tcPr>
          <w:p w14:paraId="17946C96"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3890 (&lt;1)</w:t>
            </w:r>
          </w:p>
        </w:tc>
        <w:tc>
          <w:tcPr>
            <w:tcW w:w="1728" w:type="dxa"/>
          </w:tcPr>
          <w:p w14:paraId="17946C97"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280 (&lt;1)</w:t>
            </w:r>
          </w:p>
        </w:tc>
        <w:tc>
          <w:tcPr>
            <w:tcW w:w="1728" w:type="dxa"/>
          </w:tcPr>
          <w:p w14:paraId="17946C98"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214 (&lt;1)</w:t>
            </w:r>
          </w:p>
        </w:tc>
      </w:tr>
      <w:tr w:rsidR="00A64A84" w:rsidRPr="000C14A1" w14:paraId="17946C9E"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9A"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Admitted to hospital</w:t>
            </w:r>
          </w:p>
        </w:tc>
        <w:tc>
          <w:tcPr>
            <w:tcW w:w="1728" w:type="dxa"/>
          </w:tcPr>
          <w:p w14:paraId="17946C9B"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207,368 (25)</w:t>
            </w:r>
          </w:p>
        </w:tc>
        <w:tc>
          <w:tcPr>
            <w:tcW w:w="1728" w:type="dxa"/>
          </w:tcPr>
          <w:p w14:paraId="17946C9C"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22,462 (24)</w:t>
            </w:r>
          </w:p>
        </w:tc>
        <w:tc>
          <w:tcPr>
            <w:tcW w:w="1728" w:type="dxa"/>
          </w:tcPr>
          <w:p w14:paraId="17946C9D"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C14A1">
              <w:rPr>
                <w:rFonts w:ascii="Times New Roman" w:hAnsi="Times New Roman" w:cs="Times New Roman"/>
                <w:color w:val="000000"/>
                <w:sz w:val="24"/>
                <w:szCs w:val="24"/>
              </w:rPr>
              <w:t>22,309 (24)</w:t>
            </w:r>
          </w:p>
        </w:tc>
      </w:tr>
      <w:tr w:rsidR="00A64A84" w:rsidRPr="000C14A1" w14:paraId="17946CA3"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9F"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Admitted through emergency department</w:t>
            </w:r>
          </w:p>
        </w:tc>
        <w:tc>
          <w:tcPr>
            <w:tcW w:w="1728" w:type="dxa"/>
          </w:tcPr>
          <w:p w14:paraId="17946CA0"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123,149 (59)</w:t>
            </w:r>
          </w:p>
        </w:tc>
        <w:tc>
          <w:tcPr>
            <w:tcW w:w="1728" w:type="dxa"/>
          </w:tcPr>
          <w:p w14:paraId="17946CA1"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13,613 (61)</w:t>
            </w:r>
          </w:p>
        </w:tc>
        <w:tc>
          <w:tcPr>
            <w:tcW w:w="1728" w:type="dxa"/>
          </w:tcPr>
          <w:p w14:paraId="17946CA2"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 xml:space="preserve">9,487 (61) </w:t>
            </w:r>
          </w:p>
        </w:tc>
      </w:tr>
      <w:tr w:rsidR="00A64A84" w:rsidRPr="000C14A1" w14:paraId="17946CA8" w14:textId="77777777" w:rsidTr="004570B5">
        <w:trPr>
          <w:trHeight w:val="288"/>
        </w:trPr>
        <w:tc>
          <w:tcPr>
            <w:cnfStyle w:val="001000000000" w:firstRow="0" w:lastRow="0" w:firstColumn="1" w:lastColumn="0" w:oddVBand="0" w:evenVBand="0" w:oddHBand="0" w:evenHBand="0" w:firstRowFirstColumn="0" w:firstRowLastColumn="0" w:lastRowFirstColumn="0" w:lastRowLastColumn="0"/>
            <w:tcW w:w="4608" w:type="dxa"/>
          </w:tcPr>
          <w:p w14:paraId="17946CA4" w14:textId="77777777" w:rsidR="00A64A84" w:rsidRPr="000C14A1" w:rsidRDefault="00A64A84" w:rsidP="004570B5">
            <w:pPr>
              <w:pStyle w:val="NoSpacing"/>
              <w:rPr>
                <w:rFonts w:ascii="Times New Roman" w:hAnsi="Times New Roman" w:cs="Times New Roman"/>
                <w:b w:val="0"/>
                <w:color w:val="000000"/>
                <w:sz w:val="24"/>
                <w:szCs w:val="24"/>
              </w:rPr>
            </w:pPr>
            <w:r w:rsidRPr="000C14A1">
              <w:rPr>
                <w:rFonts w:ascii="Times New Roman" w:hAnsi="Times New Roman" w:cs="Times New Roman"/>
                <w:b w:val="0"/>
                <w:color w:val="000000"/>
                <w:sz w:val="24"/>
                <w:szCs w:val="24"/>
              </w:rPr>
              <w:t xml:space="preserve">  Admitted through other process</w:t>
            </w:r>
          </w:p>
        </w:tc>
        <w:tc>
          <w:tcPr>
            <w:tcW w:w="1728" w:type="dxa"/>
          </w:tcPr>
          <w:p w14:paraId="17946CA5"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84,219 (41)</w:t>
            </w:r>
          </w:p>
        </w:tc>
        <w:tc>
          <w:tcPr>
            <w:tcW w:w="1728" w:type="dxa"/>
          </w:tcPr>
          <w:p w14:paraId="17946CA6"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8,696 (39)</w:t>
            </w:r>
          </w:p>
        </w:tc>
        <w:tc>
          <w:tcPr>
            <w:tcW w:w="1728" w:type="dxa"/>
          </w:tcPr>
          <w:p w14:paraId="17946CA7" w14:textId="77777777" w:rsidR="00A64A84" w:rsidRPr="000C14A1" w:rsidRDefault="00A64A84" w:rsidP="004570B5">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0C14A1">
              <w:rPr>
                <w:rFonts w:ascii="Times New Roman" w:hAnsi="Times New Roman" w:cs="Times New Roman"/>
                <w:color w:val="auto"/>
                <w:sz w:val="24"/>
                <w:szCs w:val="24"/>
              </w:rPr>
              <w:t>6,092 (39)</w:t>
            </w:r>
          </w:p>
        </w:tc>
      </w:tr>
    </w:tbl>
    <w:p w14:paraId="17946CA9" w14:textId="77777777" w:rsidR="00A64A84" w:rsidRPr="000C14A1" w:rsidRDefault="00A64A84" w:rsidP="00A64A84">
      <w:pPr>
        <w:spacing w:after="0"/>
        <w:rPr>
          <w:rFonts w:ascii="Times New Roman" w:hAnsi="Times New Roman" w:cs="Times New Roman"/>
          <w:sz w:val="24"/>
          <w:szCs w:val="24"/>
        </w:rPr>
      </w:pPr>
      <w:r w:rsidRPr="000C14A1">
        <w:rPr>
          <w:rFonts w:ascii="Times New Roman" w:hAnsi="Times New Roman" w:cs="Times New Roman"/>
          <w:sz w:val="24"/>
          <w:szCs w:val="24"/>
        </w:rPr>
        <w:t>CCC, chronic comorbid conditions</w:t>
      </w:r>
    </w:p>
    <w:p w14:paraId="17946CAA" w14:textId="77777777" w:rsidR="00A64A84" w:rsidRPr="000C14A1" w:rsidRDefault="00A64A84" w:rsidP="00A64A84">
      <w:pPr>
        <w:spacing w:after="0"/>
        <w:rPr>
          <w:rFonts w:ascii="Times New Roman" w:hAnsi="Times New Roman" w:cs="Times New Roman"/>
          <w:b/>
          <w:sz w:val="24"/>
          <w:szCs w:val="24"/>
        </w:rPr>
      </w:pPr>
      <w:r w:rsidRPr="000C14A1">
        <w:rPr>
          <w:rFonts w:ascii="Times New Roman" w:hAnsi="Times New Roman" w:cs="Times New Roman"/>
          <w:sz w:val="24"/>
          <w:szCs w:val="24"/>
        </w:rPr>
        <w:t>Data are presented as median (interquartile range) or n (%)</w:t>
      </w:r>
      <w:r w:rsidRPr="000C14A1">
        <w:rPr>
          <w:rFonts w:ascii="Times New Roman" w:hAnsi="Times New Roman" w:cs="Times New Roman"/>
          <w:b/>
          <w:sz w:val="24"/>
          <w:szCs w:val="24"/>
        </w:rPr>
        <w:br w:type="page"/>
      </w:r>
    </w:p>
    <w:p w14:paraId="17946CAB" w14:textId="77777777" w:rsidR="00A64A84" w:rsidRPr="000C14A1" w:rsidRDefault="00A64A84" w:rsidP="00A64A84">
      <w:pPr>
        <w:rPr>
          <w:rFonts w:ascii="Times New Roman" w:hAnsi="Times New Roman" w:cs="Times New Roman"/>
          <w:b/>
          <w:sz w:val="24"/>
          <w:szCs w:val="24"/>
        </w:rPr>
      </w:pPr>
      <w:proofErr w:type="spellStart"/>
      <w:r w:rsidRPr="000C14A1">
        <w:rPr>
          <w:rFonts w:ascii="Times New Roman" w:hAnsi="Times New Roman" w:cs="Times New Roman"/>
          <w:b/>
          <w:sz w:val="24"/>
          <w:szCs w:val="24"/>
        </w:rPr>
        <w:lastRenderedPageBreak/>
        <w:t>eTable</w:t>
      </w:r>
      <w:proofErr w:type="spellEnd"/>
      <w:r w:rsidRPr="000C14A1">
        <w:rPr>
          <w:rFonts w:ascii="Times New Roman" w:hAnsi="Times New Roman" w:cs="Times New Roman"/>
          <w:b/>
          <w:sz w:val="24"/>
          <w:szCs w:val="24"/>
        </w:rPr>
        <w:t xml:space="preserve"> 4:  Multivariable Poisson Regression Model for Incidence of Sepsis Episodes Among All Hospital Encounters, 2011-2018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56"/>
        <w:gridCol w:w="1438"/>
        <w:gridCol w:w="2880"/>
        <w:gridCol w:w="1260"/>
      </w:tblGrid>
      <w:tr w:rsidR="00A64A84" w:rsidRPr="000C14A1" w14:paraId="17946CB0" w14:textId="77777777" w:rsidTr="004570B5">
        <w:trPr>
          <w:trHeight w:val="413"/>
        </w:trPr>
        <w:tc>
          <w:tcPr>
            <w:tcW w:w="3456" w:type="dxa"/>
            <w:vAlign w:val="center"/>
          </w:tcPr>
          <w:p w14:paraId="17946CAC" w14:textId="77777777" w:rsidR="00A64A84" w:rsidRPr="000C14A1" w:rsidRDefault="00A64A84" w:rsidP="004570B5">
            <w:pPr>
              <w:rPr>
                <w:rFonts w:ascii="Times New Roman" w:hAnsi="Times New Roman" w:cs="Times New Roman"/>
                <w:b/>
                <w:sz w:val="24"/>
                <w:szCs w:val="24"/>
              </w:rPr>
            </w:pPr>
            <w:r w:rsidRPr="000C14A1">
              <w:rPr>
                <w:rFonts w:ascii="Times New Roman" w:hAnsi="Times New Roman" w:cs="Times New Roman"/>
                <w:b/>
                <w:sz w:val="24"/>
                <w:szCs w:val="24"/>
              </w:rPr>
              <w:t>Variable</w:t>
            </w:r>
          </w:p>
        </w:tc>
        <w:tc>
          <w:tcPr>
            <w:tcW w:w="1438" w:type="dxa"/>
            <w:vAlign w:val="center"/>
          </w:tcPr>
          <w:p w14:paraId="17946CAD" w14:textId="77777777" w:rsidR="00A64A84" w:rsidRPr="000C14A1" w:rsidRDefault="005C0B38" w:rsidP="004570B5">
            <w:pPr>
              <w:jc w:val="center"/>
              <w:rPr>
                <w:rFonts w:ascii="Times New Roman" w:hAnsi="Times New Roman" w:cs="Times New Roman"/>
                <w:b/>
                <w:sz w:val="24"/>
                <w:szCs w:val="24"/>
              </w:rPr>
            </w:pPr>
            <w:proofErr w:type="spellStart"/>
            <w:r>
              <w:rPr>
                <w:rFonts w:ascii="Times New Roman" w:hAnsi="Times New Roman" w:cs="Times New Roman"/>
                <w:b/>
                <w:sz w:val="24"/>
                <w:szCs w:val="24"/>
              </w:rPr>
              <w:t>aIRR</w:t>
            </w:r>
            <w:proofErr w:type="spellEnd"/>
          </w:p>
        </w:tc>
        <w:tc>
          <w:tcPr>
            <w:tcW w:w="2880" w:type="dxa"/>
            <w:vAlign w:val="center"/>
          </w:tcPr>
          <w:p w14:paraId="17946CAE"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95% Confidence Interval</w:t>
            </w:r>
          </w:p>
        </w:tc>
        <w:tc>
          <w:tcPr>
            <w:tcW w:w="1260" w:type="dxa"/>
            <w:vAlign w:val="center"/>
          </w:tcPr>
          <w:p w14:paraId="17946CAF" w14:textId="77777777" w:rsidR="00A64A84" w:rsidRPr="000C14A1" w:rsidRDefault="00A64A84" w:rsidP="004570B5">
            <w:pPr>
              <w:jc w:val="center"/>
              <w:rPr>
                <w:rFonts w:ascii="Times New Roman" w:hAnsi="Times New Roman" w:cs="Times New Roman"/>
                <w:b/>
                <w:i/>
                <w:sz w:val="24"/>
                <w:szCs w:val="24"/>
              </w:rPr>
            </w:pPr>
            <w:r w:rsidRPr="000C14A1">
              <w:rPr>
                <w:rFonts w:ascii="Times New Roman" w:hAnsi="Times New Roman" w:cs="Times New Roman"/>
                <w:b/>
                <w:i/>
                <w:sz w:val="24"/>
                <w:szCs w:val="24"/>
              </w:rPr>
              <w:t>P Value</w:t>
            </w:r>
          </w:p>
        </w:tc>
      </w:tr>
      <w:tr w:rsidR="00A64A84" w:rsidRPr="000C14A1" w14:paraId="17946CB5" w14:textId="77777777" w:rsidTr="004570B5">
        <w:tc>
          <w:tcPr>
            <w:tcW w:w="3456" w:type="dxa"/>
          </w:tcPr>
          <w:p w14:paraId="17946CB1"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Year</w:t>
            </w:r>
          </w:p>
        </w:tc>
        <w:tc>
          <w:tcPr>
            <w:tcW w:w="1438" w:type="dxa"/>
          </w:tcPr>
          <w:p w14:paraId="17946CB2" w14:textId="77777777" w:rsidR="00A64A84" w:rsidRPr="000C14A1" w:rsidRDefault="005C0B38" w:rsidP="005C0B38">
            <w:pPr>
              <w:jc w:val="center"/>
              <w:rPr>
                <w:rFonts w:ascii="Times New Roman" w:hAnsi="Times New Roman" w:cs="Times New Roman"/>
                <w:sz w:val="24"/>
                <w:szCs w:val="24"/>
              </w:rPr>
            </w:pPr>
            <w:r>
              <w:rPr>
                <w:rFonts w:ascii="Times New Roman" w:hAnsi="Times New Roman" w:cs="Times New Roman"/>
                <w:sz w:val="24"/>
                <w:szCs w:val="24"/>
              </w:rPr>
              <w:t>1.07</w:t>
            </w:r>
          </w:p>
        </w:tc>
        <w:tc>
          <w:tcPr>
            <w:tcW w:w="2880" w:type="dxa"/>
          </w:tcPr>
          <w:p w14:paraId="17946CB3" w14:textId="77777777" w:rsidR="00A64A84" w:rsidRPr="000C14A1" w:rsidRDefault="005C0B38" w:rsidP="005C0B38">
            <w:pPr>
              <w:jc w:val="center"/>
              <w:rPr>
                <w:rFonts w:ascii="Times New Roman" w:hAnsi="Times New Roman" w:cs="Times New Roman"/>
                <w:sz w:val="24"/>
                <w:szCs w:val="24"/>
              </w:rPr>
            </w:pPr>
            <w:r>
              <w:rPr>
                <w:rFonts w:ascii="Times New Roman" w:hAnsi="Times New Roman" w:cs="Times New Roman"/>
                <w:sz w:val="24"/>
                <w:szCs w:val="24"/>
              </w:rPr>
              <w:t>1.06, 1.08</w:t>
            </w:r>
          </w:p>
        </w:tc>
        <w:tc>
          <w:tcPr>
            <w:tcW w:w="1260" w:type="dxa"/>
          </w:tcPr>
          <w:p w14:paraId="17946CB4"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r w:rsidR="00A64A84" w:rsidRPr="000C14A1" w14:paraId="17946CBA" w14:textId="77777777" w:rsidTr="004570B5">
        <w:tc>
          <w:tcPr>
            <w:tcW w:w="3456" w:type="dxa"/>
          </w:tcPr>
          <w:p w14:paraId="17946CB6"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Age, years</w:t>
            </w:r>
          </w:p>
        </w:tc>
        <w:tc>
          <w:tcPr>
            <w:tcW w:w="1438" w:type="dxa"/>
          </w:tcPr>
          <w:p w14:paraId="17946CB7" w14:textId="77777777" w:rsidR="00A64A84" w:rsidRPr="000C14A1" w:rsidRDefault="005C0B38" w:rsidP="005C0B38">
            <w:pPr>
              <w:jc w:val="center"/>
              <w:rPr>
                <w:rFonts w:ascii="Times New Roman" w:hAnsi="Times New Roman" w:cs="Times New Roman"/>
                <w:sz w:val="24"/>
                <w:szCs w:val="24"/>
              </w:rPr>
            </w:pPr>
            <w:r>
              <w:rPr>
                <w:rFonts w:ascii="Times New Roman" w:hAnsi="Times New Roman" w:cs="Times New Roman"/>
                <w:sz w:val="24"/>
                <w:szCs w:val="24"/>
              </w:rPr>
              <w:t>1.02</w:t>
            </w:r>
          </w:p>
        </w:tc>
        <w:tc>
          <w:tcPr>
            <w:tcW w:w="2880" w:type="dxa"/>
          </w:tcPr>
          <w:p w14:paraId="17946CB8"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1.01, 1.02</w:t>
            </w:r>
          </w:p>
        </w:tc>
        <w:tc>
          <w:tcPr>
            <w:tcW w:w="1260" w:type="dxa"/>
          </w:tcPr>
          <w:p w14:paraId="17946CB9"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r w:rsidR="00A64A84" w:rsidRPr="000C14A1" w14:paraId="17946CBF" w14:textId="77777777" w:rsidTr="004570B5">
        <w:tc>
          <w:tcPr>
            <w:tcW w:w="3456" w:type="dxa"/>
          </w:tcPr>
          <w:p w14:paraId="17946CBB"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Sex</w:t>
            </w:r>
          </w:p>
        </w:tc>
        <w:tc>
          <w:tcPr>
            <w:tcW w:w="1438" w:type="dxa"/>
          </w:tcPr>
          <w:p w14:paraId="17946CBC" w14:textId="77777777" w:rsidR="00A64A84" w:rsidRPr="000C14A1" w:rsidRDefault="00A64A84" w:rsidP="004570B5">
            <w:pPr>
              <w:jc w:val="center"/>
              <w:rPr>
                <w:rFonts w:ascii="Times New Roman" w:hAnsi="Times New Roman" w:cs="Times New Roman"/>
                <w:sz w:val="24"/>
                <w:szCs w:val="24"/>
              </w:rPr>
            </w:pPr>
          </w:p>
        </w:tc>
        <w:tc>
          <w:tcPr>
            <w:tcW w:w="2880" w:type="dxa"/>
          </w:tcPr>
          <w:p w14:paraId="17946CBD" w14:textId="77777777" w:rsidR="00A64A84" w:rsidRPr="000C14A1" w:rsidRDefault="00A64A84" w:rsidP="004570B5">
            <w:pPr>
              <w:jc w:val="center"/>
              <w:rPr>
                <w:rFonts w:ascii="Times New Roman" w:hAnsi="Times New Roman" w:cs="Times New Roman"/>
                <w:sz w:val="24"/>
                <w:szCs w:val="24"/>
              </w:rPr>
            </w:pPr>
          </w:p>
        </w:tc>
        <w:tc>
          <w:tcPr>
            <w:tcW w:w="1260" w:type="dxa"/>
          </w:tcPr>
          <w:p w14:paraId="17946CBE" w14:textId="77777777" w:rsidR="00A64A84" w:rsidRPr="000C14A1" w:rsidRDefault="00A64A84" w:rsidP="004570B5">
            <w:pPr>
              <w:jc w:val="center"/>
              <w:rPr>
                <w:rFonts w:ascii="Times New Roman" w:hAnsi="Times New Roman" w:cs="Times New Roman"/>
                <w:sz w:val="24"/>
                <w:szCs w:val="24"/>
              </w:rPr>
            </w:pPr>
          </w:p>
        </w:tc>
      </w:tr>
      <w:tr w:rsidR="00A64A84" w:rsidRPr="000C14A1" w14:paraId="17946CC4" w14:textId="77777777" w:rsidTr="004570B5">
        <w:tc>
          <w:tcPr>
            <w:tcW w:w="3456" w:type="dxa"/>
          </w:tcPr>
          <w:p w14:paraId="17946CC0"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Female</w:t>
            </w:r>
          </w:p>
        </w:tc>
        <w:tc>
          <w:tcPr>
            <w:tcW w:w="1438" w:type="dxa"/>
          </w:tcPr>
          <w:p w14:paraId="17946CC1"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Reference</w:t>
            </w:r>
          </w:p>
        </w:tc>
        <w:tc>
          <w:tcPr>
            <w:tcW w:w="2880" w:type="dxa"/>
          </w:tcPr>
          <w:p w14:paraId="17946CC2" w14:textId="77777777" w:rsidR="00A64A84" w:rsidRPr="000C14A1" w:rsidRDefault="00A64A84" w:rsidP="004570B5">
            <w:pPr>
              <w:jc w:val="center"/>
              <w:rPr>
                <w:rFonts w:ascii="Times New Roman" w:hAnsi="Times New Roman" w:cs="Times New Roman"/>
                <w:sz w:val="24"/>
                <w:szCs w:val="24"/>
              </w:rPr>
            </w:pPr>
          </w:p>
        </w:tc>
        <w:tc>
          <w:tcPr>
            <w:tcW w:w="1260" w:type="dxa"/>
          </w:tcPr>
          <w:p w14:paraId="17946CC3" w14:textId="77777777" w:rsidR="00A64A84" w:rsidRPr="000C14A1" w:rsidRDefault="00A64A84" w:rsidP="004570B5">
            <w:pPr>
              <w:jc w:val="center"/>
              <w:rPr>
                <w:rFonts w:ascii="Times New Roman" w:hAnsi="Times New Roman" w:cs="Times New Roman"/>
                <w:sz w:val="24"/>
                <w:szCs w:val="24"/>
              </w:rPr>
            </w:pPr>
          </w:p>
        </w:tc>
      </w:tr>
      <w:tr w:rsidR="00A64A84" w:rsidRPr="000C14A1" w14:paraId="17946CC9" w14:textId="77777777" w:rsidTr="004570B5">
        <w:tc>
          <w:tcPr>
            <w:tcW w:w="3456" w:type="dxa"/>
          </w:tcPr>
          <w:p w14:paraId="17946CC5"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Male</w:t>
            </w:r>
          </w:p>
        </w:tc>
        <w:tc>
          <w:tcPr>
            <w:tcW w:w="1438" w:type="dxa"/>
          </w:tcPr>
          <w:p w14:paraId="17946CC6"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1.0</w:t>
            </w:r>
          </w:p>
        </w:tc>
        <w:tc>
          <w:tcPr>
            <w:tcW w:w="2880" w:type="dxa"/>
          </w:tcPr>
          <w:p w14:paraId="17946CC7"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0.95, 1.06</w:t>
            </w:r>
          </w:p>
        </w:tc>
        <w:tc>
          <w:tcPr>
            <w:tcW w:w="1260" w:type="dxa"/>
          </w:tcPr>
          <w:p w14:paraId="17946CC8"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0.94</w:t>
            </w:r>
          </w:p>
        </w:tc>
      </w:tr>
      <w:tr w:rsidR="00A64A84" w:rsidRPr="000C14A1" w14:paraId="17946CCE" w14:textId="77777777" w:rsidTr="004570B5">
        <w:tc>
          <w:tcPr>
            <w:tcW w:w="3456" w:type="dxa"/>
          </w:tcPr>
          <w:p w14:paraId="17946CCA"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Race</w:t>
            </w:r>
          </w:p>
        </w:tc>
        <w:tc>
          <w:tcPr>
            <w:tcW w:w="1438" w:type="dxa"/>
          </w:tcPr>
          <w:p w14:paraId="17946CCB" w14:textId="77777777" w:rsidR="00A64A84" w:rsidRPr="000C14A1" w:rsidRDefault="00A64A84" w:rsidP="004570B5">
            <w:pPr>
              <w:jc w:val="center"/>
              <w:rPr>
                <w:rFonts w:ascii="Times New Roman" w:hAnsi="Times New Roman" w:cs="Times New Roman"/>
                <w:sz w:val="24"/>
                <w:szCs w:val="24"/>
              </w:rPr>
            </w:pPr>
          </w:p>
        </w:tc>
        <w:tc>
          <w:tcPr>
            <w:tcW w:w="2880" w:type="dxa"/>
          </w:tcPr>
          <w:p w14:paraId="17946CCC" w14:textId="77777777" w:rsidR="00A64A84" w:rsidRPr="000C14A1" w:rsidRDefault="00A64A84" w:rsidP="004570B5">
            <w:pPr>
              <w:jc w:val="center"/>
              <w:rPr>
                <w:rFonts w:ascii="Times New Roman" w:hAnsi="Times New Roman" w:cs="Times New Roman"/>
                <w:sz w:val="24"/>
                <w:szCs w:val="24"/>
              </w:rPr>
            </w:pPr>
          </w:p>
        </w:tc>
        <w:tc>
          <w:tcPr>
            <w:tcW w:w="1260" w:type="dxa"/>
          </w:tcPr>
          <w:p w14:paraId="17946CCD" w14:textId="77777777" w:rsidR="00A64A84" w:rsidRPr="000C14A1" w:rsidRDefault="00A64A84" w:rsidP="004570B5">
            <w:pPr>
              <w:jc w:val="center"/>
              <w:rPr>
                <w:rFonts w:ascii="Times New Roman" w:hAnsi="Times New Roman" w:cs="Times New Roman"/>
                <w:sz w:val="24"/>
                <w:szCs w:val="24"/>
              </w:rPr>
            </w:pPr>
          </w:p>
        </w:tc>
      </w:tr>
      <w:tr w:rsidR="00A64A84" w:rsidRPr="000C14A1" w14:paraId="17946CD3" w14:textId="77777777" w:rsidTr="004570B5">
        <w:tc>
          <w:tcPr>
            <w:tcW w:w="3456" w:type="dxa"/>
          </w:tcPr>
          <w:p w14:paraId="17946CCF"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White</w:t>
            </w:r>
          </w:p>
        </w:tc>
        <w:tc>
          <w:tcPr>
            <w:tcW w:w="1438" w:type="dxa"/>
          </w:tcPr>
          <w:p w14:paraId="17946CD0"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Reference</w:t>
            </w:r>
          </w:p>
        </w:tc>
        <w:tc>
          <w:tcPr>
            <w:tcW w:w="2880" w:type="dxa"/>
          </w:tcPr>
          <w:p w14:paraId="17946CD1" w14:textId="77777777" w:rsidR="00A64A84" w:rsidRPr="000C14A1" w:rsidRDefault="00A64A84" w:rsidP="004570B5">
            <w:pPr>
              <w:jc w:val="center"/>
              <w:rPr>
                <w:rFonts w:ascii="Times New Roman" w:hAnsi="Times New Roman" w:cs="Times New Roman"/>
                <w:sz w:val="24"/>
                <w:szCs w:val="24"/>
              </w:rPr>
            </w:pPr>
          </w:p>
        </w:tc>
        <w:tc>
          <w:tcPr>
            <w:tcW w:w="1260" w:type="dxa"/>
          </w:tcPr>
          <w:p w14:paraId="17946CD2" w14:textId="77777777" w:rsidR="00A64A84" w:rsidRPr="000C14A1" w:rsidRDefault="00A64A84" w:rsidP="004570B5">
            <w:pPr>
              <w:jc w:val="center"/>
              <w:rPr>
                <w:rFonts w:ascii="Times New Roman" w:hAnsi="Times New Roman" w:cs="Times New Roman"/>
                <w:sz w:val="24"/>
                <w:szCs w:val="24"/>
              </w:rPr>
            </w:pPr>
          </w:p>
        </w:tc>
      </w:tr>
      <w:tr w:rsidR="00A64A84" w:rsidRPr="000C14A1" w14:paraId="17946CD8" w14:textId="77777777" w:rsidTr="004570B5">
        <w:tc>
          <w:tcPr>
            <w:tcW w:w="3456" w:type="dxa"/>
          </w:tcPr>
          <w:p w14:paraId="17946CD4"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Black</w:t>
            </w:r>
          </w:p>
        </w:tc>
        <w:tc>
          <w:tcPr>
            <w:tcW w:w="1438" w:type="dxa"/>
          </w:tcPr>
          <w:p w14:paraId="17946CD5"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0.59</w:t>
            </w:r>
          </w:p>
        </w:tc>
        <w:tc>
          <w:tcPr>
            <w:tcW w:w="2880" w:type="dxa"/>
          </w:tcPr>
          <w:p w14:paraId="17946CD6"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0.55, 0.63</w:t>
            </w:r>
          </w:p>
        </w:tc>
        <w:tc>
          <w:tcPr>
            <w:tcW w:w="1260" w:type="dxa"/>
          </w:tcPr>
          <w:p w14:paraId="17946CD7"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r w:rsidR="00A64A84" w:rsidRPr="000C14A1" w14:paraId="17946CDD" w14:textId="77777777" w:rsidTr="004570B5">
        <w:tc>
          <w:tcPr>
            <w:tcW w:w="3456" w:type="dxa"/>
          </w:tcPr>
          <w:p w14:paraId="17946CD9"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Asian</w:t>
            </w:r>
          </w:p>
        </w:tc>
        <w:tc>
          <w:tcPr>
            <w:tcW w:w="1438" w:type="dxa"/>
          </w:tcPr>
          <w:p w14:paraId="17946CDA"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1.08</w:t>
            </w:r>
          </w:p>
        </w:tc>
        <w:tc>
          <w:tcPr>
            <w:tcW w:w="2880" w:type="dxa"/>
          </w:tcPr>
          <w:p w14:paraId="17946CDB"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0.95, 1.23</w:t>
            </w:r>
          </w:p>
        </w:tc>
        <w:tc>
          <w:tcPr>
            <w:tcW w:w="1260" w:type="dxa"/>
          </w:tcPr>
          <w:p w14:paraId="17946CDC"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0.22</w:t>
            </w:r>
          </w:p>
        </w:tc>
      </w:tr>
      <w:tr w:rsidR="00A64A84" w:rsidRPr="000C14A1" w14:paraId="17946CE2" w14:textId="77777777" w:rsidTr="004570B5">
        <w:tc>
          <w:tcPr>
            <w:tcW w:w="3456" w:type="dxa"/>
          </w:tcPr>
          <w:p w14:paraId="17946CDE"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Multiple races</w:t>
            </w:r>
          </w:p>
        </w:tc>
        <w:tc>
          <w:tcPr>
            <w:tcW w:w="1438" w:type="dxa"/>
          </w:tcPr>
          <w:p w14:paraId="17946CDF"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0.98</w:t>
            </w:r>
          </w:p>
        </w:tc>
        <w:tc>
          <w:tcPr>
            <w:tcW w:w="2880" w:type="dxa"/>
          </w:tcPr>
          <w:p w14:paraId="17946CE0"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0.82, 1.15</w:t>
            </w:r>
          </w:p>
        </w:tc>
        <w:tc>
          <w:tcPr>
            <w:tcW w:w="1260" w:type="dxa"/>
          </w:tcPr>
          <w:p w14:paraId="17946CE1"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0.77</w:t>
            </w:r>
          </w:p>
        </w:tc>
      </w:tr>
      <w:tr w:rsidR="00A64A84" w:rsidRPr="000C14A1" w14:paraId="17946CE7" w14:textId="77777777" w:rsidTr="004570B5">
        <w:tc>
          <w:tcPr>
            <w:tcW w:w="3456" w:type="dxa"/>
          </w:tcPr>
          <w:p w14:paraId="17946CE3"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Other</w:t>
            </w:r>
          </w:p>
        </w:tc>
        <w:tc>
          <w:tcPr>
            <w:tcW w:w="1438" w:type="dxa"/>
          </w:tcPr>
          <w:p w14:paraId="17946CE4"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1.25</w:t>
            </w:r>
          </w:p>
        </w:tc>
        <w:tc>
          <w:tcPr>
            <w:tcW w:w="2880" w:type="dxa"/>
          </w:tcPr>
          <w:p w14:paraId="17946CE5"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1.17, 1.34</w:t>
            </w:r>
          </w:p>
        </w:tc>
        <w:tc>
          <w:tcPr>
            <w:tcW w:w="1260" w:type="dxa"/>
          </w:tcPr>
          <w:p w14:paraId="17946CE6"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r w:rsidR="00A64A84" w:rsidRPr="000C14A1" w14:paraId="17946CEC" w14:textId="77777777" w:rsidTr="004570B5">
        <w:tc>
          <w:tcPr>
            <w:tcW w:w="3456" w:type="dxa"/>
          </w:tcPr>
          <w:p w14:paraId="17946CE8"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color w:val="000000"/>
                <w:sz w:val="24"/>
                <w:szCs w:val="24"/>
              </w:rPr>
              <w:t>CCC, number of categories</w:t>
            </w:r>
          </w:p>
        </w:tc>
        <w:tc>
          <w:tcPr>
            <w:tcW w:w="1438" w:type="dxa"/>
          </w:tcPr>
          <w:p w14:paraId="17946CE9"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2.16</w:t>
            </w:r>
          </w:p>
        </w:tc>
        <w:tc>
          <w:tcPr>
            <w:tcW w:w="2880" w:type="dxa"/>
          </w:tcPr>
          <w:p w14:paraId="17946CEA" w14:textId="77777777" w:rsidR="00A64A84" w:rsidRPr="000C14A1" w:rsidRDefault="005C0B38" w:rsidP="004570B5">
            <w:pPr>
              <w:jc w:val="center"/>
              <w:rPr>
                <w:rFonts w:ascii="Times New Roman" w:hAnsi="Times New Roman" w:cs="Times New Roman"/>
                <w:sz w:val="24"/>
                <w:szCs w:val="24"/>
              </w:rPr>
            </w:pPr>
            <w:r>
              <w:rPr>
                <w:rFonts w:ascii="Times New Roman" w:hAnsi="Times New Roman" w:cs="Times New Roman"/>
                <w:sz w:val="24"/>
                <w:szCs w:val="24"/>
              </w:rPr>
              <w:t>2.14, 2.19</w:t>
            </w:r>
          </w:p>
        </w:tc>
        <w:tc>
          <w:tcPr>
            <w:tcW w:w="1260" w:type="dxa"/>
          </w:tcPr>
          <w:p w14:paraId="17946CEB"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bl>
    <w:p w14:paraId="17946CED" w14:textId="77777777" w:rsidR="00A64A84" w:rsidRPr="000C14A1" w:rsidRDefault="005C0B38" w:rsidP="00A64A84">
      <w:pPr>
        <w:spacing w:after="0"/>
        <w:rPr>
          <w:rFonts w:ascii="Times New Roman" w:hAnsi="Times New Roman" w:cs="Times New Roman"/>
          <w:sz w:val="24"/>
          <w:szCs w:val="24"/>
        </w:rPr>
      </w:pPr>
      <w:proofErr w:type="spellStart"/>
      <w:r>
        <w:rPr>
          <w:rFonts w:ascii="Times New Roman" w:hAnsi="Times New Roman" w:cs="Times New Roman"/>
          <w:sz w:val="24"/>
          <w:szCs w:val="24"/>
        </w:rPr>
        <w:t>aIRR</w:t>
      </w:r>
      <w:proofErr w:type="spellEnd"/>
      <w:r>
        <w:rPr>
          <w:rFonts w:ascii="Times New Roman" w:hAnsi="Times New Roman" w:cs="Times New Roman"/>
          <w:sz w:val="24"/>
          <w:szCs w:val="24"/>
        </w:rPr>
        <w:t xml:space="preserve">, adjusted incidence rate ratio; </w:t>
      </w:r>
      <w:r w:rsidR="00A64A84" w:rsidRPr="000C14A1">
        <w:rPr>
          <w:rFonts w:ascii="Times New Roman" w:hAnsi="Times New Roman" w:cs="Times New Roman"/>
          <w:sz w:val="24"/>
          <w:szCs w:val="24"/>
        </w:rPr>
        <w:t>CCC, chronic comorbid conditions</w:t>
      </w:r>
    </w:p>
    <w:p w14:paraId="17946CEE" w14:textId="77777777" w:rsidR="00A64A84" w:rsidRPr="000C14A1" w:rsidRDefault="00A64A84" w:rsidP="00A64A84">
      <w:pPr>
        <w:spacing w:after="0"/>
        <w:rPr>
          <w:rFonts w:ascii="Times New Roman" w:hAnsi="Times New Roman" w:cs="Times New Roman"/>
          <w:b/>
          <w:sz w:val="24"/>
          <w:szCs w:val="24"/>
        </w:rPr>
      </w:pPr>
      <w:r w:rsidRPr="000C14A1">
        <w:rPr>
          <w:rFonts w:ascii="Times New Roman" w:hAnsi="Times New Roman" w:cs="Times New Roman"/>
          <w:sz w:val="24"/>
          <w:szCs w:val="24"/>
        </w:rPr>
        <w:t xml:space="preserve">Reported </w:t>
      </w:r>
      <w:r w:rsidR="005C0B38">
        <w:rPr>
          <w:rFonts w:ascii="Times New Roman" w:hAnsi="Times New Roman" w:cs="Times New Roman"/>
          <w:sz w:val="24"/>
          <w:szCs w:val="24"/>
        </w:rPr>
        <w:t>incidence rate ratio</w:t>
      </w:r>
      <w:r w:rsidR="005C0B38" w:rsidRPr="000C14A1">
        <w:rPr>
          <w:rFonts w:ascii="Times New Roman" w:hAnsi="Times New Roman" w:cs="Times New Roman"/>
          <w:sz w:val="24"/>
          <w:szCs w:val="24"/>
        </w:rPr>
        <w:t xml:space="preserve"> </w:t>
      </w:r>
      <w:r w:rsidRPr="000C14A1">
        <w:rPr>
          <w:rFonts w:ascii="Times New Roman" w:hAnsi="Times New Roman" w:cs="Times New Roman"/>
          <w:sz w:val="24"/>
          <w:szCs w:val="24"/>
        </w:rPr>
        <w:t>is adjusted for all other variables listed.</w:t>
      </w:r>
      <w:r w:rsidRPr="000C14A1">
        <w:rPr>
          <w:rFonts w:ascii="Times New Roman" w:hAnsi="Times New Roman" w:cs="Times New Roman"/>
          <w:b/>
          <w:sz w:val="24"/>
          <w:szCs w:val="24"/>
        </w:rPr>
        <w:br w:type="page"/>
      </w:r>
    </w:p>
    <w:p w14:paraId="17946CEF" w14:textId="77777777" w:rsidR="00A64A84" w:rsidRPr="000C14A1" w:rsidRDefault="00A64A84" w:rsidP="00A64A84">
      <w:pPr>
        <w:rPr>
          <w:rFonts w:ascii="Times New Roman" w:hAnsi="Times New Roman" w:cs="Times New Roman"/>
          <w:b/>
          <w:sz w:val="24"/>
          <w:szCs w:val="24"/>
        </w:rPr>
      </w:pPr>
      <w:proofErr w:type="spellStart"/>
      <w:r w:rsidRPr="000C14A1">
        <w:rPr>
          <w:rFonts w:ascii="Times New Roman" w:hAnsi="Times New Roman" w:cs="Times New Roman"/>
          <w:b/>
          <w:sz w:val="24"/>
          <w:szCs w:val="24"/>
        </w:rPr>
        <w:lastRenderedPageBreak/>
        <w:t>eTable</w:t>
      </w:r>
      <w:proofErr w:type="spellEnd"/>
      <w:r w:rsidRPr="000C14A1">
        <w:rPr>
          <w:rFonts w:ascii="Times New Roman" w:hAnsi="Times New Roman" w:cs="Times New Roman"/>
          <w:b/>
          <w:sz w:val="24"/>
          <w:szCs w:val="24"/>
        </w:rPr>
        <w:t xml:space="preserve"> 5:  Multivariable Logistic Regression Model for Mortality Among Sepsis Episodes Identified by the </w:t>
      </w:r>
      <w:r w:rsidR="004A2182">
        <w:rPr>
          <w:rFonts w:ascii="Times New Roman" w:hAnsi="Times New Roman" w:cs="Times New Roman"/>
          <w:b/>
          <w:sz w:val="24"/>
          <w:szCs w:val="24"/>
        </w:rPr>
        <w:t>Surveillance</w:t>
      </w:r>
      <w:r w:rsidRPr="000C14A1">
        <w:rPr>
          <w:rFonts w:ascii="Times New Roman" w:hAnsi="Times New Roman" w:cs="Times New Roman"/>
          <w:b/>
          <w:sz w:val="24"/>
          <w:szCs w:val="24"/>
        </w:rPr>
        <w:t xml:space="preserve"> Algorithm, 2011-2018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56"/>
        <w:gridCol w:w="1438"/>
        <w:gridCol w:w="2880"/>
        <w:gridCol w:w="1260"/>
      </w:tblGrid>
      <w:tr w:rsidR="00A64A84" w:rsidRPr="000C14A1" w14:paraId="17946CF4" w14:textId="77777777" w:rsidTr="004570B5">
        <w:trPr>
          <w:trHeight w:val="413"/>
        </w:trPr>
        <w:tc>
          <w:tcPr>
            <w:tcW w:w="3456" w:type="dxa"/>
            <w:vAlign w:val="center"/>
          </w:tcPr>
          <w:p w14:paraId="17946CF0" w14:textId="77777777" w:rsidR="00A64A84" w:rsidRPr="000C14A1" w:rsidRDefault="00A64A84" w:rsidP="004570B5">
            <w:pPr>
              <w:rPr>
                <w:rFonts w:ascii="Times New Roman" w:hAnsi="Times New Roman" w:cs="Times New Roman"/>
                <w:b/>
                <w:sz w:val="24"/>
                <w:szCs w:val="24"/>
              </w:rPr>
            </w:pPr>
            <w:r w:rsidRPr="000C14A1">
              <w:rPr>
                <w:rFonts w:ascii="Times New Roman" w:hAnsi="Times New Roman" w:cs="Times New Roman"/>
                <w:b/>
                <w:sz w:val="24"/>
                <w:szCs w:val="24"/>
              </w:rPr>
              <w:t>Variable</w:t>
            </w:r>
          </w:p>
        </w:tc>
        <w:tc>
          <w:tcPr>
            <w:tcW w:w="1438" w:type="dxa"/>
            <w:vAlign w:val="center"/>
          </w:tcPr>
          <w:p w14:paraId="17946CF1" w14:textId="77777777" w:rsidR="00A64A84" w:rsidRPr="000C14A1" w:rsidRDefault="00A64A84" w:rsidP="004570B5">
            <w:pPr>
              <w:jc w:val="center"/>
              <w:rPr>
                <w:rFonts w:ascii="Times New Roman" w:hAnsi="Times New Roman" w:cs="Times New Roman"/>
                <w:b/>
                <w:sz w:val="24"/>
                <w:szCs w:val="24"/>
              </w:rPr>
            </w:pPr>
            <w:proofErr w:type="spellStart"/>
            <w:r w:rsidRPr="000C14A1">
              <w:rPr>
                <w:rFonts w:ascii="Times New Roman" w:hAnsi="Times New Roman" w:cs="Times New Roman"/>
                <w:b/>
                <w:sz w:val="24"/>
                <w:szCs w:val="24"/>
              </w:rPr>
              <w:t>aOR</w:t>
            </w:r>
            <w:proofErr w:type="spellEnd"/>
          </w:p>
        </w:tc>
        <w:tc>
          <w:tcPr>
            <w:tcW w:w="2880" w:type="dxa"/>
            <w:vAlign w:val="center"/>
          </w:tcPr>
          <w:p w14:paraId="17946CF2" w14:textId="77777777" w:rsidR="00A64A84" w:rsidRPr="000C14A1" w:rsidRDefault="00A64A84" w:rsidP="004570B5">
            <w:pPr>
              <w:jc w:val="center"/>
              <w:rPr>
                <w:rFonts w:ascii="Times New Roman" w:hAnsi="Times New Roman" w:cs="Times New Roman"/>
                <w:b/>
                <w:sz w:val="24"/>
                <w:szCs w:val="24"/>
              </w:rPr>
            </w:pPr>
            <w:r w:rsidRPr="000C14A1">
              <w:rPr>
                <w:rFonts w:ascii="Times New Roman" w:hAnsi="Times New Roman" w:cs="Times New Roman"/>
                <w:b/>
                <w:sz w:val="24"/>
                <w:szCs w:val="24"/>
              </w:rPr>
              <w:t>95% Confidence Interval</w:t>
            </w:r>
          </w:p>
        </w:tc>
        <w:tc>
          <w:tcPr>
            <w:tcW w:w="1260" w:type="dxa"/>
            <w:vAlign w:val="center"/>
          </w:tcPr>
          <w:p w14:paraId="17946CF3" w14:textId="77777777" w:rsidR="00A64A84" w:rsidRPr="000C14A1" w:rsidRDefault="00A64A84" w:rsidP="004570B5">
            <w:pPr>
              <w:jc w:val="center"/>
              <w:rPr>
                <w:rFonts w:ascii="Times New Roman" w:hAnsi="Times New Roman" w:cs="Times New Roman"/>
                <w:b/>
                <w:i/>
                <w:sz w:val="24"/>
                <w:szCs w:val="24"/>
              </w:rPr>
            </w:pPr>
            <w:r w:rsidRPr="000C14A1">
              <w:rPr>
                <w:rFonts w:ascii="Times New Roman" w:hAnsi="Times New Roman" w:cs="Times New Roman"/>
                <w:b/>
                <w:i/>
                <w:sz w:val="24"/>
                <w:szCs w:val="24"/>
              </w:rPr>
              <w:t>P Value</w:t>
            </w:r>
          </w:p>
        </w:tc>
      </w:tr>
      <w:tr w:rsidR="00A64A84" w:rsidRPr="000C14A1" w14:paraId="17946CF9" w14:textId="77777777" w:rsidTr="004570B5">
        <w:tc>
          <w:tcPr>
            <w:tcW w:w="3456" w:type="dxa"/>
          </w:tcPr>
          <w:p w14:paraId="17946CF5"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Year</w:t>
            </w:r>
          </w:p>
        </w:tc>
        <w:tc>
          <w:tcPr>
            <w:tcW w:w="1438" w:type="dxa"/>
          </w:tcPr>
          <w:p w14:paraId="17946CF6"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0.97</w:t>
            </w:r>
          </w:p>
        </w:tc>
        <w:tc>
          <w:tcPr>
            <w:tcW w:w="2880" w:type="dxa"/>
          </w:tcPr>
          <w:p w14:paraId="17946CF7"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0.93, 1.03</w:t>
            </w:r>
          </w:p>
        </w:tc>
        <w:tc>
          <w:tcPr>
            <w:tcW w:w="1260" w:type="dxa"/>
          </w:tcPr>
          <w:p w14:paraId="17946CF8"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0.38</w:t>
            </w:r>
          </w:p>
        </w:tc>
      </w:tr>
      <w:tr w:rsidR="00A64A84" w:rsidRPr="000C14A1" w14:paraId="17946CFE" w14:textId="77777777" w:rsidTr="004570B5">
        <w:tc>
          <w:tcPr>
            <w:tcW w:w="3456" w:type="dxa"/>
          </w:tcPr>
          <w:p w14:paraId="17946CFA"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Age, years</w:t>
            </w:r>
          </w:p>
        </w:tc>
        <w:tc>
          <w:tcPr>
            <w:tcW w:w="1438" w:type="dxa"/>
          </w:tcPr>
          <w:p w14:paraId="17946CFB"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1.0</w:t>
            </w:r>
          </w:p>
        </w:tc>
        <w:tc>
          <w:tcPr>
            <w:tcW w:w="2880" w:type="dxa"/>
          </w:tcPr>
          <w:p w14:paraId="17946CFC"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0.98, 1.01</w:t>
            </w:r>
          </w:p>
        </w:tc>
        <w:tc>
          <w:tcPr>
            <w:tcW w:w="1260" w:type="dxa"/>
          </w:tcPr>
          <w:p w14:paraId="17946CFD"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0.72</w:t>
            </w:r>
          </w:p>
        </w:tc>
      </w:tr>
      <w:tr w:rsidR="00A64A84" w:rsidRPr="000C14A1" w14:paraId="17946D03" w14:textId="77777777" w:rsidTr="004570B5">
        <w:tc>
          <w:tcPr>
            <w:tcW w:w="3456" w:type="dxa"/>
          </w:tcPr>
          <w:p w14:paraId="17946CFF"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Sex</w:t>
            </w:r>
          </w:p>
        </w:tc>
        <w:tc>
          <w:tcPr>
            <w:tcW w:w="1438" w:type="dxa"/>
          </w:tcPr>
          <w:p w14:paraId="17946D00" w14:textId="77777777" w:rsidR="00A64A84" w:rsidRPr="000C14A1" w:rsidRDefault="00A64A84" w:rsidP="004570B5">
            <w:pPr>
              <w:jc w:val="center"/>
              <w:rPr>
                <w:rFonts w:ascii="Times New Roman" w:hAnsi="Times New Roman" w:cs="Times New Roman"/>
                <w:sz w:val="24"/>
                <w:szCs w:val="24"/>
              </w:rPr>
            </w:pPr>
          </w:p>
        </w:tc>
        <w:tc>
          <w:tcPr>
            <w:tcW w:w="2880" w:type="dxa"/>
          </w:tcPr>
          <w:p w14:paraId="17946D01" w14:textId="77777777" w:rsidR="00A64A84" w:rsidRPr="000C14A1" w:rsidRDefault="00A64A84" w:rsidP="004570B5">
            <w:pPr>
              <w:jc w:val="center"/>
              <w:rPr>
                <w:rFonts w:ascii="Times New Roman" w:hAnsi="Times New Roman" w:cs="Times New Roman"/>
                <w:sz w:val="24"/>
                <w:szCs w:val="24"/>
              </w:rPr>
            </w:pPr>
          </w:p>
        </w:tc>
        <w:tc>
          <w:tcPr>
            <w:tcW w:w="1260" w:type="dxa"/>
          </w:tcPr>
          <w:p w14:paraId="17946D02" w14:textId="77777777" w:rsidR="00A64A84" w:rsidRPr="000C14A1" w:rsidRDefault="00A64A84" w:rsidP="004570B5">
            <w:pPr>
              <w:jc w:val="center"/>
              <w:rPr>
                <w:rFonts w:ascii="Times New Roman" w:hAnsi="Times New Roman" w:cs="Times New Roman"/>
                <w:sz w:val="24"/>
                <w:szCs w:val="24"/>
              </w:rPr>
            </w:pPr>
          </w:p>
        </w:tc>
      </w:tr>
      <w:tr w:rsidR="00A64A84" w:rsidRPr="000C14A1" w14:paraId="17946D08" w14:textId="77777777" w:rsidTr="004570B5">
        <w:tc>
          <w:tcPr>
            <w:tcW w:w="3456" w:type="dxa"/>
          </w:tcPr>
          <w:p w14:paraId="17946D04"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Female</w:t>
            </w:r>
          </w:p>
        </w:tc>
        <w:tc>
          <w:tcPr>
            <w:tcW w:w="1438" w:type="dxa"/>
          </w:tcPr>
          <w:p w14:paraId="17946D05"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Reference</w:t>
            </w:r>
          </w:p>
        </w:tc>
        <w:tc>
          <w:tcPr>
            <w:tcW w:w="2880" w:type="dxa"/>
          </w:tcPr>
          <w:p w14:paraId="17946D06" w14:textId="77777777" w:rsidR="00A64A84" w:rsidRPr="000C14A1" w:rsidRDefault="00A64A84" w:rsidP="004570B5">
            <w:pPr>
              <w:jc w:val="center"/>
              <w:rPr>
                <w:rFonts w:ascii="Times New Roman" w:hAnsi="Times New Roman" w:cs="Times New Roman"/>
                <w:sz w:val="24"/>
                <w:szCs w:val="24"/>
              </w:rPr>
            </w:pPr>
          </w:p>
        </w:tc>
        <w:tc>
          <w:tcPr>
            <w:tcW w:w="1260" w:type="dxa"/>
          </w:tcPr>
          <w:p w14:paraId="17946D07" w14:textId="77777777" w:rsidR="00A64A84" w:rsidRPr="000C14A1" w:rsidRDefault="00A64A84" w:rsidP="004570B5">
            <w:pPr>
              <w:jc w:val="center"/>
              <w:rPr>
                <w:rFonts w:ascii="Times New Roman" w:hAnsi="Times New Roman" w:cs="Times New Roman"/>
                <w:sz w:val="24"/>
                <w:szCs w:val="24"/>
              </w:rPr>
            </w:pPr>
          </w:p>
        </w:tc>
      </w:tr>
      <w:tr w:rsidR="00A64A84" w:rsidRPr="000C14A1" w14:paraId="17946D0D" w14:textId="77777777" w:rsidTr="004570B5">
        <w:tc>
          <w:tcPr>
            <w:tcW w:w="3456" w:type="dxa"/>
          </w:tcPr>
          <w:p w14:paraId="17946D09"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Male</w:t>
            </w:r>
          </w:p>
        </w:tc>
        <w:tc>
          <w:tcPr>
            <w:tcW w:w="1438" w:type="dxa"/>
          </w:tcPr>
          <w:p w14:paraId="17946D0A"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0.97</w:t>
            </w:r>
          </w:p>
        </w:tc>
        <w:tc>
          <w:tcPr>
            <w:tcW w:w="2880" w:type="dxa"/>
          </w:tcPr>
          <w:p w14:paraId="17946D0B"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0.78, 1.21</w:t>
            </w:r>
          </w:p>
        </w:tc>
        <w:tc>
          <w:tcPr>
            <w:tcW w:w="1260" w:type="dxa"/>
          </w:tcPr>
          <w:p w14:paraId="17946D0C"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0.78</w:t>
            </w:r>
          </w:p>
        </w:tc>
      </w:tr>
      <w:tr w:rsidR="00A64A84" w:rsidRPr="000C14A1" w14:paraId="17946D12" w14:textId="77777777" w:rsidTr="004570B5">
        <w:tc>
          <w:tcPr>
            <w:tcW w:w="3456" w:type="dxa"/>
          </w:tcPr>
          <w:p w14:paraId="17946D0E"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Race</w:t>
            </w:r>
          </w:p>
        </w:tc>
        <w:tc>
          <w:tcPr>
            <w:tcW w:w="1438" w:type="dxa"/>
          </w:tcPr>
          <w:p w14:paraId="17946D0F" w14:textId="77777777" w:rsidR="00A64A84" w:rsidRPr="000C14A1" w:rsidRDefault="00A64A84" w:rsidP="004570B5">
            <w:pPr>
              <w:jc w:val="center"/>
              <w:rPr>
                <w:rFonts w:ascii="Times New Roman" w:hAnsi="Times New Roman" w:cs="Times New Roman"/>
                <w:sz w:val="24"/>
                <w:szCs w:val="24"/>
              </w:rPr>
            </w:pPr>
          </w:p>
        </w:tc>
        <w:tc>
          <w:tcPr>
            <w:tcW w:w="2880" w:type="dxa"/>
          </w:tcPr>
          <w:p w14:paraId="17946D10" w14:textId="77777777" w:rsidR="00A64A84" w:rsidRPr="000C14A1" w:rsidRDefault="00A64A84" w:rsidP="004570B5">
            <w:pPr>
              <w:jc w:val="center"/>
              <w:rPr>
                <w:rFonts w:ascii="Times New Roman" w:hAnsi="Times New Roman" w:cs="Times New Roman"/>
                <w:sz w:val="24"/>
                <w:szCs w:val="24"/>
              </w:rPr>
            </w:pPr>
          </w:p>
        </w:tc>
        <w:tc>
          <w:tcPr>
            <w:tcW w:w="1260" w:type="dxa"/>
          </w:tcPr>
          <w:p w14:paraId="17946D11" w14:textId="77777777" w:rsidR="00A64A84" w:rsidRPr="000C14A1" w:rsidRDefault="00A64A84" w:rsidP="004570B5">
            <w:pPr>
              <w:jc w:val="center"/>
              <w:rPr>
                <w:rFonts w:ascii="Times New Roman" w:hAnsi="Times New Roman" w:cs="Times New Roman"/>
                <w:sz w:val="24"/>
                <w:szCs w:val="24"/>
              </w:rPr>
            </w:pPr>
          </w:p>
        </w:tc>
      </w:tr>
      <w:tr w:rsidR="00A64A84" w:rsidRPr="000C14A1" w14:paraId="17946D17" w14:textId="77777777" w:rsidTr="004570B5">
        <w:tc>
          <w:tcPr>
            <w:tcW w:w="3456" w:type="dxa"/>
          </w:tcPr>
          <w:p w14:paraId="17946D13"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White</w:t>
            </w:r>
          </w:p>
        </w:tc>
        <w:tc>
          <w:tcPr>
            <w:tcW w:w="1438" w:type="dxa"/>
          </w:tcPr>
          <w:p w14:paraId="17946D14"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Reference</w:t>
            </w:r>
          </w:p>
        </w:tc>
        <w:tc>
          <w:tcPr>
            <w:tcW w:w="2880" w:type="dxa"/>
          </w:tcPr>
          <w:p w14:paraId="17946D15" w14:textId="77777777" w:rsidR="00A64A84" w:rsidRPr="000C14A1" w:rsidRDefault="00A64A84" w:rsidP="004570B5">
            <w:pPr>
              <w:jc w:val="center"/>
              <w:rPr>
                <w:rFonts w:ascii="Times New Roman" w:hAnsi="Times New Roman" w:cs="Times New Roman"/>
                <w:sz w:val="24"/>
                <w:szCs w:val="24"/>
              </w:rPr>
            </w:pPr>
          </w:p>
        </w:tc>
        <w:tc>
          <w:tcPr>
            <w:tcW w:w="1260" w:type="dxa"/>
          </w:tcPr>
          <w:p w14:paraId="17946D16" w14:textId="77777777" w:rsidR="00A64A84" w:rsidRPr="000C14A1" w:rsidRDefault="00A64A84" w:rsidP="004570B5">
            <w:pPr>
              <w:jc w:val="center"/>
              <w:rPr>
                <w:rFonts w:ascii="Times New Roman" w:hAnsi="Times New Roman" w:cs="Times New Roman"/>
                <w:sz w:val="24"/>
                <w:szCs w:val="24"/>
              </w:rPr>
            </w:pPr>
          </w:p>
        </w:tc>
      </w:tr>
      <w:tr w:rsidR="00A64A84" w:rsidRPr="000C14A1" w14:paraId="17946D1C" w14:textId="77777777" w:rsidTr="004570B5">
        <w:tc>
          <w:tcPr>
            <w:tcW w:w="3456" w:type="dxa"/>
          </w:tcPr>
          <w:p w14:paraId="17946D18"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Black</w:t>
            </w:r>
          </w:p>
        </w:tc>
        <w:tc>
          <w:tcPr>
            <w:tcW w:w="1438" w:type="dxa"/>
          </w:tcPr>
          <w:p w14:paraId="17946D19"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0.61</w:t>
            </w:r>
          </w:p>
        </w:tc>
        <w:tc>
          <w:tcPr>
            <w:tcW w:w="2880" w:type="dxa"/>
          </w:tcPr>
          <w:p w14:paraId="17946D1A"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0.46, 0.82</w:t>
            </w:r>
          </w:p>
        </w:tc>
        <w:tc>
          <w:tcPr>
            <w:tcW w:w="1260" w:type="dxa"/>
          </w:tcPr>
          <w:p w14:paraId="17946D1B"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0.001</w:t>
            </w:r>
          </w:p>
        </w:tc>
      </w:tr>
      <w:tr w:rsidR="00A64A84" w:rsidRPr="000C14A1" w14:paraId="17946D21" w14:textId="77777777" w:rsidTr="004570B5">
        <w:tc>
          <w:tcPr>
            <w:tcW w:w="3456" w:type="dxa"/>
          </w:tcPr>
          <w:p w14:paraId="17946D1D"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Asian</w:t>
            </w:r>
          </w:p>
        </w:tc>
        <w:tc>
          <w:tcPr>
            <w:tcW w:w="1438" w:type="dxa"/>
          </w:tcPr>
          <w:p w14:paraId="17946D1E"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0.36</w:t>
            </w:r>
          </w:p>
        </w:tc>
        <w:tc>
          <w:tcPr>
            <w:tcW w:w="2880" w:type="dxa"/>
          </w:tcPr>
          <w:p w14:paraId="17946D1F"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0.17, 0.76</w:t>
            </w:r>
          </w:p>
        </w:tc>
        <w:tc>
          <w:tcPr>
            <w:tcW w:w="1260" w:type="dxa"/>
          </w:tcPr>
          <w:p w14:paraId="17946D20"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0.007</w:t>
            </w:r>
          </w:p>
        </w:tc>
      </w:tr>
      <w:tr w:rsidR="00A64A84" w:rsidRPr="000C14A1" w14:paraId="17946D26" w14:textId="77777777" w:rsidTr="004570B5">
        <w:tc>
          <w:tcPr>
            <w:tcW w:w="3456" w:type="dxa"/>
          </w:tcPr>
          <w:p w14:paraId="17946D22"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Multiple races</w:t>
            </w:r>
          </w:p>
        </w:tc>
        <w:tc>
          <w:tcPr>
            <w:tcW w:w="1438" w:type="dxa"/>
          </w:tcPr>
          <w:p w14:paraId="17946D23"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0.46</w:t>
            </w:r>
          </w:p>
        </w:tc>
        <w:tc>
          <w:tcPr>
            <w:tcW w:w="2880" w:type="dxa"/>
          </w:tcPr>
          <w:p w14:paraId="17946D24"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0.20, 1.08</w:t>
            </w:r>
          </w:p>
        </w:tc>
        <w:tc>
          <w:tcPr>
            <w:tcW w:w="1260" w:type="dxa"/>
          </w:tcPr>
          <w:p w14:paraId="17946D25"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0.08</w:t>
            </w:r>
          </w:p>
        </w:tc>
      </w:tr>
      <w:tr w:rsidR="00A64A84" w:rsidRPr="000C14A1" w14:paraId="17946D2B" w14:textId="77777777" w:rsidTr="004570B5">
        <w:tc>
          <w:tcPr>
            <w:tcW w:w="3456" w:type="dxa"/>
          </w:tcPr>
          <w:p w14:paraId="17946D27"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Other</w:t>
            </w:r>
          </w:p>
        </w:tc>
        <w:tc>
          <w:tcPr>
            <w:tcW w:w="1438" w:type="dxa"/>
          </w:tcPr>
          <w:p w14:paraId="17946D28"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0.87</w:t>
            </w:r>
          </w:p>
        </w:tc>
        <w:tc>
          <w:tcPr>
            <w:tcW w:w="2880" w:type="dxa"/>
          </w:tcPr>
          <w:p w14:paraId="17946D29"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0.66, 1.14</w:t>
            </w:r>
          </w:p>
        </w:tc>
        <w:tc>
          <w:tcPr>
            <w:tcW w:w="1260" w:type="dxa"/>
          </w:tcPr>
          <w:p w14:paraId="17946D2A"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0.30</w:t>
            </w:r>
          </w:p>
        </w:tc>
      </w:tr>
      <w:tr w:rsidR="00A64A84" w:rsidRPr="000C14A1" w14:paraId="17946D30" w14:textId="77777777" w:rsidTr="004570B5">
        <w:tc>
          <w:tcPr>
            <w:tcW w:w="3456" w:type="dxa"/>
          </w:tcPr>
          <w:p w14:paraId="17946D2C"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Location at sepsis onset</w:t>
            </w:r>
          </w:p>
        </w:tc>
        <w:tc>
          <w:tcPr>
            <w:tcW w:w="1438" w:type="dxa"/>
          </w:tcPr>
          <w:p w14:paraId="17946D2D" w14:textId="77777777" w:rsidR="00A64A84" w:rsidRPr="000C14A1" w:rsidRDefault="00A64A84" w:rsidP="004570B5">
            <w:pPr>
              <w:jc w:val="center"/>
              <w:rPr>
                <w:rFonts w:ascii="Times New Roman" w:hAnsi="Times New Roman" w:cs="Times New Roman"/>
                <w:sz w:val="24"/>
                <w:szCs w:val="24"/>
              </w:rPr>
            </w:pPr>
          </w:p>
        </w:tc>
        <w:tc>
          <w:tcPr>
            <w:tcW w:w="2880" w:type="dxa"/>
          </w:tcPr>
          <w:p w14:paraId="17946D2E" w14:textId="77777777" w:rsidR="00A64A84" w:rsidRPr="000C14A1" w:rsidRDefault="00A64A84" w:rsidP="004570B5">
            <w:pPr>
              <w:jc w:val="center"/>
              <w:rPr>
                <w:rFonts w:ascii="Times New Roman" w:hAnsi="Times New Roman" w:cs="Times New Roman"/>
                <w:sz w:val="24"/>
                <w:szCs w:val="24"/>
              </w:rPr>
            </w:pPr>
          </w:p>
        </w:tc>
        <w:tc>
          <w:tcPr>
            <w:tcW w:w="1260" w:type="dxa"/>
          </w:tcPr>
          <w:p w14:paraId="17946D2F" w14:textId="77777777" w:rsidR="00A64A84" w:rsidRPr="000C14A1" w:rsidRDefault="00A64A84" w:rsidP="004570B5">
            <w:pPr>
              <w:jc w:val="center"/>
              <w:rPr>
                <w:rFonts w:ascii="Times New Roman" w:hAnsi="Times New Roman" w:cs="Times New Roman"/>
                <w:sz w:val="24"/>
                <w:szCs w:val="24"/>
              </w:rPr>
            </w:pPr>
          </w:p>
        </w:tc>
      </w:tr>
      <w:tr w:rsidR="00A64A84" w:rsidRPr="000C14A1" w14:paraId="17946D35" w14:textId="77777777" w:rsidTr="004570B5">
        <w:tc>
          <w:tcPr>
            <w:tcW w:w="3456" w:type="dxa"/>
          </w:tcPr>
          <w:p w14:paraId="17946D31"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color w:val="000000"/>
                <w:sz w:val="24"/>
                <w:szCs w:val="24"/>
              </w:rPr>
              <w:t xml:space="preserve">  Community-acquired </w:t>
            </w:r>
          </w:p>
        </w:tc>
        <w:tc>
          <w:tcPr>
            <w:tcW w:w="1438" w:type="dxa"/>
          </w:tcPr>
          <w:p w14:paraId="17946D32"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Reference</w:t>
            </w:r>
          </w:p>
        </w:tc>
        <w:tc>
          <w:tcPr>
            <w:tcW w:w="2880" w:type="dxa"/>
          </w:tcPr>
          <w:p w14:paraId="17946D33" w14:textId="77777777" w:rsidR="00A64A84" w:rsidRPr="000C14A1" w:rsidRDefault="00A64A84" w:rsidP="004570B5">
            <w:pPr>
              <w:jc w:val="center"/>
              <w:rPr>
                <w:rFonts w:ascii="Times New Roman" w:hAnsi="Times New Roman" w:cs="Times New Roman"/>
                <w:sz w:val="24"/>
                <w:szCs w:val="24"/>
              </w:rPr>
            </w:pPr>
          </w:p>
        </w:tc>
        <w:tc>
          <w:tcPr>
            <w:tcW w:w="1260" w:type="dxa"/>
          </w:tcPr>
          <w:p w14:paraId="17946D34" w14:textId="77777777" w:rsidR="00A64A84" w:rsidRPr="000C14A1" w:rsidRDefault="00A64A84" w:rsidP="004570B5">
            <w:pPr>
              <w:jc w:val="center"/>
              <w:rPr>
                <w:rFonts w:ascii="Times New Roman" w:hAnsi="Times New Roman" w:cs="Times New Roman"/>
                <w:sz w:val="24"/>
                <w:szCs w:val="24"/>
              </w:rPr>
            </w:pPr>
          </w:p>
        </w:tc>
      </w:tr>
      <w:tr w:rsidR="00A64A84" w:rsidRPr="000C14A1" w14:paraId="17946D3A" w14:textId="77777777" w:rsidTr="004570B5">
        <w:tc>
          <w:tcPr>
            <w:tcW w:w="3456" w:type="dxa"/>
          </w:tcPr>
          <w:p w14:paraId="17946D36"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b/>
                <w:color w:val="000000"/>
                <w:sz w:val="24"/>
                <w:szCs w:val="24"/>
              </w:rPr>
              <w:t xml:space="preserve">  </w:t>
            </w:r>
            <w:r w:rsidRPr="000C14A1">
              <w:rPr>
                <w:rFonts w:ascii="Times New Roman" w:hAnsi="Times New Roman" w:cs="Times New Roman"/>
                <w:color w:val="000000"/>
                <w:sz w:val="24"/>
                <w:szCs w:val="24"/>
              </w:rPr>
              <w:t xml:space="preserve">Hospital-acquired </w:t>
            </w:r>
          </w:p>
        </w:tc>
        <w:tc>
          <w:tcPr>
            <w:tcW w:w="1438" w:type="dxa"/>
          </w:tcPr>
          <w:p w14:paraId="17946D37"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2.95</w:t>
            </w:r>
          </w:p>
        </w:tc>
        <w:tc>
          <w:tcPr>
            <w:tcW w:w="2880" w:type="dxa"/>
          </w:tcPr>
          <w:p w14:paraId="17946D38"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2.32, 3.74</w:t>
            </w:r>
          </w:p>
        </w:tc>
        <w:tc>
          <w:tcPr>
            <w:tcW w:w="1260" w:type="dxa"/>
          </w:tcPr>
          <w:p w14:paraId="17946D39"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r w:rsidR="00A64A84" w:rsidRPr="000C14A1" w14:paraId="17946D3F" w14:textId="77777777" w:rsidTr="004570B5">
        <w:tc>
          <w:tcPr>
            <w:tcW w:w="3456" w:type="dxa"/>
          </w:tcPr>
          <w:p w14:paraId="17946D3B"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color w:val="000000"/>
                <w:sz w:val="24"/>
                <w:szCs w:val="24"/>
              </w:rPr>
              <w:t>CCC present</w:t>
            </w:r>
          </w:p>
        </w:tc>
        <w:tc>
          <w:tcPr>
            <w:tcW w:w="1438" w:type="dxa"/>
          </w:tcPr>
          <w:p w14:paraId="17946D3C" w14:textId="77777777" w:rsidR="00A64A84" w:rsidRPr="000C14A1" w:rsidRDefault="00A64A84" w:rsidP="004570B5">
            <w:pPr>
              <w:jc w:val="center"/>
              <w:rPr>
                <w:rFonts w:ascii="Times New Roman" w:hAnsi="Times New Roman" w:cs="Times New Roman"/>
                <w:sz w:val="24"/>
                <w:szCs w:val="24"/>
              </w:rPr>
            </w:pPr>
          </w:p>
        </w:tc>
        <w:tc>
          <w:tcPr>
            <w:tcW w:w="2880" w:type="dxa"/>
          </w:tcPr>
          <w:p w14:paraId="17946D3D" w14:textId="77777777" w:rsidR="00A64A84" w:rsidRPr="000C14A1" w:rsidRDefault="00A64A84" w:rsidP="004570B5">
            <w:pPr>
              <w:jc w:val="center"/>
              <w:rPr>
                <w:rFonts w:ascii="Times New Roman" w:hAnsi="Times New Roman" w:cs="Times New Roman"/>
                <w:sz w:val="24"/>
                <w:szCs w:val="24"/>
              </w:rPr>
            </w:pPr>
          </w:p>
        </w:tc>
        <w:tc>
          <w:tcPr>
            <w:tcW w:w="1260" w:type="dxa"/>
          </w:tcPr>
          <w:p w14:paraId="17946D3E" w14:textId="77777777" w:rsidR="00A64A84" w:rsidRPr="000C14A1" w:rsidRDefault="00A64A84" w:rsidP="004570B5">
            <w:pPr>
              <w:jc w:val="center"/>
              <w:rPr>
                <w:rFonts w:ascii="Times New Roman" w:hAnsi="Times New Roman" w:cs="Times New Roman"/>
                <w:sz w:val="24"/>
                <w:szCs w:val="24"/>
              </w:rPr>
            </w:pPr>
          </w:p>
        </w:tc>
      </w:tr>
      <w:tr w:rsidR="00A64A84" w:rsidRPr="000C14A1" w14:paraId="17946D44" w14:textId="77777777" w:rsidTr="004570B5">
        <w:tc>
          <w:tcPr>
            <w:tcW w:w="3456" w:type="dxa"/>
          </w:tcPr>
          <w:p w14:paraId="17946D40"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No</w:t>
            </w:r>
          </w:p>
        </w:tc>
        <w:tc>
          <w:tcPr>
            <w:tcW w:w="1438" w:type="dxa"/>
          </w:tcPr>
          <w:p w14:paraId="17946D41"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Reference</w:t>
            </w:r>
          </w:p>
        </w:tc>
        <w:tc>
          <w:tcPr>
            <w:tcW w:w="2880" w:type="dxa"/>
          </w:tcPr>
          <w:p w14:paraId="17946D42" w14:textId="77777777" w:rsidR="00A64A84" w:rsidRPr="000C14A1" w:rsidRDefault="00A64A84" w:rsidP="004570B5">
            <w:pPr>
              <w:jc w:val="center"/>
              <w:rPr>
                <w:rFonts w:ascii="Times New Roman" w:hAnsi="Times New Roman" w:cs="Times New Roman"/>
                <w:sz w:val="24"/>
                <w:szCs w:val="24"/>
              </w:rPr>
            </w:pPr>
          </w:p>
        </w:tc>
        <w:tc>
          <w:tcPr>
            <w:tcW w:w="1260" w:type="dxa"/>
          </w:tcPr>
          <w:p w14:paraId="17946D43" w14:textId="77777777" w:rsidR="00A64A84" w:rsidRPr="000C14A1" w:rsidRDefault="00A64A84" w:rsidP="004570B5">
            <w:pPr>
              <w:jc w:val="center"/>
              <w:rPr>
                <w:rFonts w:ascii="Times New Roman" w:hAnsi="Times New Roman" w:cs="Times New Roman"/>
                <w:sz w:val="24"/>
                <w:szCs w:val="24"/>
              </w:rPr>
            </w:pPr>
          </w:p>
        </w:tc>
      </w:tr>
      <w:tr w:rsidR="00A64A84" w:rsidRPr="000C14A1" w14:paraId="17946D49" w14:textId="77777777" w:rsidTr="004570B5">
        <w:tc>
          <w:tcPr>
            <w:tcW w:w="3456" w:type="dxa"/>
          </w:tcPr>
          <w:p w14:paraId="17946D45"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Yes</w:t>
            </w:r>
          </w:p>
        </w:tc>
        <w:tc>
          <w:tcPr>
            <w:tcW w:w="1438" w:type="dxa"/>
          </w:tcPr>
          <w:p w14:paraId="17946D46"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3.18</w:t>
            </w:r>
          </w:p>
        </w:tc>
        <w:tc>
          <w:tcPr>
            <w:tcW w:w="2880" w:type="dxa"/>
          </w:tcPr>
          <w:p w14:paraId="17946D47"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1.94, 5.21</w:t>
            </w:r>
          </w:p>
        </w:tc>
        <w:tc>
          <w:tcPr>
            <w:tcW w:w="1260" w:type="dxa"/>
          </w:tcPr>
          <w:p w14:paraId="17946D48"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r w:rsidR="00A64A84" w:rsidRPr="000C14A1" w14:paraId="17946D4E" w14:textId="77777777" w:rsidTr="004570B5">
        <w:tc>
          <w:tcPr>
            <w:tcW w:w="3456" w:type="dxa"/>
          </w:tcPr>
          <w:p w14:paraId="17946D4A"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Number of organ dysfunctions</w:t>
            </w:r>
          </w:p>
        </w:tc>
        <w:tc>
          <w:tcPr>
            <w:tcW w:w="1438" w:type="dxa"/>
          </w:tcPr>
          <w:p w14:paraId="17946D4B" w14:textId="77777777" w:rsidR="00A64A84" w:rsidRPr="000C14A1" w:rsidRDefault="00A64A84" w:rsidP="004570B5">
            <w:pPr>
              <w:jc w:val="center"/>
              <w:rPr>
                <w:rFonts w:ascii="Times New Roman" w:hAnsi="Times New Roman" w:cs="Times New Roman"/>
                <w:sz w:val="24"/>
                <w:szCs w:val="24"/>
              </w:rPr>
            </w:pPr>
          </w:p>
        </w:tc>
        <w:tc>
          <w:tcPr>
            <w:tcW w:w="2880" w:type="dxa"/>
          </w:tcPr>
          <w:p w14:paraId="17946D4C" w14:textId="77777777" w:rsidR="00A64A84" w:rsidRPr="000C14A1" w:rsidRDefault="00A64A84" w:rsidP="004570B5">
            <w:pPr>
              <w:jc w:val="center"/>
              <w:rPr>
                <w:rFonts w:ascii="Times New Roman" w:hAnsi="Times New Roman" w:cs="Times New Roman"/>
                <w:sz w:val="24"/>
                <w:szCs w:val="24"/>
              </w:rPr>
            </w:pPr>
          </w:p>
        </w:tc>
        <w:tc>
          <w:tcPr>
            <w:tcW w:w="1260" w:type="dxa"/>
          </w:tcPr>
          <w:p w14:paraId="17946D4D" w14:textId="77777777" w:rsidR="00A64A84" w:rsidRPr="000C14A1" w:rsidRDefault="00A64A84" w:rsidP="004570B5">
            <w:pPr>
              <w:jc w:val="center"/>
              <w:rPr>
                <w:rFonts w:ascii="Times New Roman" w:hAnsi="Times New Roman" w:cs="Times New Roman"/>
                <w:sz w:val="24"/>
                <w:szCs w:val="24"/>
              </w:rPr>
            </w:pPr>
          </w:p>
        </w:tc>
      </w:tr>
      <w:tr w:rsidR="00A64A84" w:rsidRPr="000C14A1" w14:paraId="17946D53" w14:textId="77777777" w:rsidTr="004570B5">
        <w:tc>
          <w:tcPr>
            <w:tcW w:w="3456" w:type="dxa"/>
          </w:tcPr>
          <w:p w14:paraId="17946D4F"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One</w:t>
            </w:r>
          </w:p>
        </w:tc>
        <w:tc>
          <w:tcPr>
            <w:tcW w:w="1438" w:type="dxa"/>
          </w:tcPr>
          <w:p w14:paraId="17946D50"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Reference</w:t>
            </w:r>
          </w:p>
        </w:tc>
        <w:tc>
          <w:tcPr>
            <w:tcW w:w="2880" w:type="dxa"/>
          </w:tcPr>
          <w:p w14:paraId="17946D51" w14:textId="77777777" w:rsidR="00A64A84" w:rsidRPr="000C14A1" w:rsidRDefault="00A64A84" w:rsidP="004570B5">
            <w:pPr>
              <w:jc w:val="center"/>
              <w:rPr>
                <w:rFonts w:ascii="Times New Roman" w:hAnsi="Times New Roman" w:cs="Times New Roman"/>
                <w:sz w:val="24"/>
                <w:szCs w:val="24"/>
              </w:rPr>
            </w:pPr>
          </w:p>
        </w:tc>
        <w:tc>
          <w:tcPr>
            <w:tcW w:w="1260" w:type="dxa"/>
          </w:tcPr>
          <w:p w14:paraId="17946D52" w14:textId="77777777" w:rsidR="00A64A84" w:rsidRPr="000C14A1" w:rsidRDefault="00A64A84" w:rsidP="004570B5">
            <w:pPr>
              <w:jc w:val="center"/>
              <w:rPr>
                <w:rFonts w:ascii="Times New Roman" w:hAnsi="Times New Roman" w:cs="Times New Roman"/>
                <w:sz w:val="24"/>
                <w:szCs w:val="24"/>
              </w:rPr>
            </w:pPr>
          </w:p>
        </w:tc>
      </w:tr>
      <w:tr w:rsidR="00A64A84" w:rsidRPr="000C14A1" w14:paraId="17946D58" w14:textId="77777777" w:rsidTr="004570B5">
        <w:tc>
          <w:tcPr>
            <w:tcW w:w="3456" w:type="dxa"/>
          </w:tcPr>
          <w:p w14:paraId="17946D54"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Two</w:t>
            </w:r>
          </w:p>
        </w:tc>
        <w:tc>
          <w:tcPr>
            <w:tcW w:w="1438" w:type="dxa"/>
          </w:tcPr>
          <w:p w14:paraId="17946D55"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2.78</w:t>
            </w:r>
          </w:p>
        </w:tc>
        <w:tc>
          <w:tcPr>
            <w:tcW w:w="2880" w:type="dxa"/>
          </w:tcPr>
          <w:p w14:paraId="17946D56"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2.05, 3.78</w:t>
            </w:r>
          </w:p>
        </w:tc>
        <w:tc>
          <w:tcPr>
            <w:tcW w:w="1260" w:type="dxa"/>
          </w:tcPr>
          <w:p w14:paraId="17946D57"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r w:rsidR="00A64A84" w:rsidRPr="000C14A1" w14:paraId="17946D5D" w14:textId="77777777" w:rsidTr="004570B5">
        <w:tc>
          <w:tcPr>
            <w:tcW w:w="3456" w:type="dxa"/>
          </w:tcPr>
          <w:p w14:paraId="17946D59"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Three</w:t>
            </w:r>
          </w:p>
        </w:tc>
        <w:tc>
          <w:tcPr>
            <w:tcW w:w="1438" w:type="dxa"/>
          </w:tcPr>
          <w:p w14:paraId="17946D5A"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6.15</w:t>
            </w:r>
          </w:p>
        </w:tc>
        <w:tc>
          <w:tcPr>
            <w:tcW w:w="2880" w:type="dxa"/>
          </w:tcPr>
          <w:p w14:paraId="17946D5B"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4.45, 8.49</w:t>
            </w:r>
          </w:p>
        </w:tc>
        <w:tc>
          <w:tcPr>
            <w:tcW w:w="1260" w:type="dxa"/>
          </w:tcPr>
          <w:p w14:paraId="17946D5C"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r w:rsidR="00A64A84" w:rsidRPr="000C14A1" w14:paraId="17946D62" w14:textId="77777777" w:rsidTr="004570B5">
        <w:tc>
          <w:tcPr>
            <w:tcW w:w="3456" w:type="dxa"/>
          </w:tcPr>
          <w:p w14:paraId="17946D5E"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Four</w:t>
            </w:r>
          </w:p>
        </w:tc>
        <w:tc>
          <w:tcPr>
            <w:tcW w:w="1438" w:type="dxa"/>
          </w:tcPr>
          <w:p w14:paraId="17946D5F"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12.31</w:t>
            </w:r>
          </w:p>
        </w:tc>
        <w:tc>
          <w:tcPr>
            <w:tcW w:w="2880" w:type="dxa"/>
          </w:tcPr>
          <w:p w14:paraId="17946D60"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8.49, 17.83</w:t>
            </w:r>
          </w:p>
        </w:tc>
        <w:tc>
          <w:tcPr>
            <w:tcW w:w="1260" w:type="dxa"/>
          </w:tcPr>
          <w:p w14:paraId="17946D61"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r w:rsidR="00A64A84" w:rsidRPr="000C14A1" w14:paraId="17946D67" w14:textId="77777777" w:rsidTr="004570B5">
        <w:tc>
          <w:tcPr>
            <w:tcW w:w="3456" w:type="dxa"/>
          </w:tcPr>
          <w:p w14:paraId="17946D63"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Five</w:t>
            </w:r>
          </w:p>
        </w:tc>
        <w:tc>
          <w:tcPr>
            <w:tcW w:w="1438" w:type="dxa"/>
          </w:tcPr>
          <w:p w14:paraId="17946D64"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21.38</w:t>
            </w:r>
          </w:p>
        </w:tc>
        <w:tc>
          <w:tcPr>
            <w:tcW w:w="2880" w:type="dxa"/>
          </w:tcPr>
          <w:p w14:paraId="17946D65"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13.21, 34.57</w:t>
            </w:r>
          </w:p>
        </w:tc>
        <w:tc>
          <w:tcPr>
            <w:tcW w:w="1260" w:type="dxa"/>
          </w:tcPr>
          <w:p w14:paraId="17946D66"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r w:rsidR="00A64A84" w:rsidRPr="000C14A1" w14:paraId="17946D6C" w14:textId="77777777" w:rsidTr="004570B5">
        <w:tc>
          <w:tcPr>
            <w:tcW w:w="3456" w:type="dxa"/>
          </w:tcPr>
          <w:p w14:paraId="17946D68" w14:textId="77777777" w:rsidR="00A64A84" w:rsidRPr="000C14A1" w:rsidRDefault="00A64A84" w:rsidP="004570B5">
            <w:pPr>
              <w:rPr>
                <w:rFonts w:ascii="Times New Roman" w:hAnsi="Times New Roman" w:cs="Times New Roman"/>
                <w:sz w:val="24"/>
                <w:szCs w:val="24"/>
              </w:rPr>
            </w:pPr>
            <w:r w:rsidRPr="000C14A1">
              <w:rPr>
                <w:rFonts w:ascii="Times New Roman" w:hAnsi="Times New Roman" w:cs="Times New Roman"/>
                <w:sz w:val="24"/>
                <w:szCs w:val="24"/>
              </w:rPr>
              <w:t xml:space="preserve">  Six</w:t>
            </w:r>
          </w:p>
        </w:tc>
        <w:tc>
          <w:tcPr>
            <w:tcW w:w="1438" w:type="dxa"/>
          </w:tcPr>
          <w:p w14:paraId="17946D69"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45.77</w:t>
            </w:r>
          </w:p>
        </w:tc>
        <w:tc>
          <w:tcPr>
            <w:tcW w:w="2880" w:type="dxa"/>
          </w:tcPr>
          <w:p w14:paraId="17946D6A"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16.99, 123.3</w:t>
            </w:r>
          </w:p>
        </w:tc>
        <w:tc>
          <w:tcPr>
            <w:tcW w:w="1260" w:type="dxa"/>
          </w:tcPr>
          <w:p w14:paraId="17946D6B" w14:textId="77777777" w:rsidR="00A64A84" w:rsidRPr="000C14A1" w:rsidRDefault="00A64A84" w:rsidP="004570B5">
            <w:pPr>
              <w:jc w:val="center"/>
              <w:rPr>
                <w:rFonts w:ascii="Times New Roman" w:hAnsi="Times New Roman" w:cs="Times New Roman"/>
                <w:sz w:val="24"/>
                <w:szCs w:val="24"/>
              </w:rPr>
            </w:pPr>
            <w:r w:rsidRPr="000C14A1">
              <w:rPr>
                <w:rFonts w:ascii="Times New Roman" w:hAnsi="Times New Roman" w:cs="Times New Roman"/>
                <w:sz w:val="24"/>
                <w:szCs w:val="24"/>
              </w:rPr>
              <w:t>&lt;0.001</w:t>
            </w:r>
          </w:p>
        </w:tc>
      </w:tr>
    </w:tbl>
    <w:p w14:paraId="17946D6D" w14:textId="77777777" w:rsidR="00A64A84" w:rsidRPr="000C14A1" w:rsidRDefault="00A64A84" w:rsidP="00A64A84">
      <w:pPr>
        <w:spacing w:after="0"/>
        <w:rPr>
          <w:rFonts w:ascii="Times New Roman" w:hAnsi="Times New Roman" w:cs="Times New Roman"/>
          <w:sz w:val="24"/>
          <w:szCs w:val="24"/>
        </w:rPr>
      </w:pPr>
      <w:proofErr w:type="spellStart"/>
      <w:r w:rsidRPr="000C14A1">
        <w:rPr>
          <w:rFonts w:ascii="Times New Roman" w:hAnsi="Times New Roman" w:cs="Times New Roman"/>
          <w:sz w:val="24"/>
          <w:szCs w:val="24"/>
        </w:rPr>
        <w:t>aOR</w:t>
      </w:r>
      <w:proofErr w:type="spellEnd"/>
      <w:r w:rsidRPr="000C14A1">
        <w:rPr>
          <w:rFonts w:ascii="Times New Roman" w:hAnsi="Times New Roman" w:cs="Times New Roman"/>
          <w:sz w:val="24"/>
          <w:szCs w:val="24"/>
        </w:rPr>
        <w:t>, adjusted odds ratio; CCC, chronic comorbid conditions</w:t>
      </w:r>
    </w:p>
    <w:p w14:paraId="17946D6E" w14:textId="77777777" w:rsidR="00A64A84" w:rsidRPr="000C14A1" w:rsidRDefault="00A64A84" w:rsidP="00A64A84">
      <w:pPr>
        <w:spacing w:after="0"/>
        <w:rPr>
          <w:rFonts w:ascii="Times New Roman" w:hAnsi="Times New Roman" w:cs="Times New Roman"/>
          <w:sz w:val="24"/>
          <w:szCs w:val="24"/>
        </w:rPr>
      </w:pPr>
      <w:r w:rsidRPr="000C14A1">
        <w:rPr>
          <w:rFonts w:ascii="Times New Roman" w:hAnsi="Times New Roman" w:cs="Times New Roman"/>
          <w:sz w:val="24"/>
          <w:szCs w:val="24"/>
        </w:rPr>
        <w:t xml:space="preserve">Reported </w:t>
      </w:r>
      <w:proofErr w:type="spellStart"/>
      <w:r w:rsidRPr="000C14A1">
        <w:rPr>
          <w:rFonts w:ascii="Times New Roman" w:hAnsi="Times New Roman" w:cs="Times New Roman"/>
          <w:sz w:val="24"/>
          <w:szCs w:val="24"/>
        </w:rPr>
        <w:t>aOR</w:t>
      </w:r>
      <w:proofErr w:type="spellEnd"/>
      <w:r w:rsidRPr="000C14A1">
        <w:rPr>
          <w:rFonts w:ascii="Times New Roman" w:hAnsi="Times New Roman" w:cs="Times New Roman"/>
          <w:sz w:val="24"/>
          <w:szCs w:val="24"/>
        </w:rPr>
        <w:t xml:space="preserve"> is adjusted for all other variables listed.</w:t>
      </w:r>
    </w:p>
    <w:p w14:paraId="17946D6F" w14:textId="77534CDA" w:rsidR="003A7FEC" w:rsidRDefault="003A7FEC">
      <w:pPr>
        <w:rPr>
          <w:rFonts w:ascii="Times New Roman" w:hAnsi="Times New Roman" w:cs="Times New Roman"/>
          <w:sz w:val="24"/>
          <w:szCs w:val="24"/>
        </w:rPr>
      </w:pPr>
      <w:r>
        <w:rPr>
          <w:rFonts w:ascii="Times New Roman" w:hAnsi="Times New Roman" w:cs="Times New Roman"/>
          <w:sz w:val="24"/>
          <w:szCs w:val="24"/>
        </w:rPr>
        <w:br w:type="page"/>
      </w:r>
    </w:p>
    <w:p w14:paraId="20F1E4B0" w14:textId="77777777" w:rsidR="003A7FEC" w:rsidRDefault="003A7FEC" w:rsidP="003A7FEC">
      <w:pPr>
        <w:spacing w:after="0" w:line="480" w:lineRule="auto"/>
        <w:rPr>
          <w:rFonts w:ascii="Times New Roman" w:hAnsi="Times New Roman" w:cs="Times New Roman"/>
          <w:b/>
          <w:sz w:val="24"/>
        </w:rPr>
      </w:pPr>
      <w:proofErr w:type="spellStart"/>
      <w:r>
        <w:rPr>
          <w:rFonts w:ascii="Times New Roman" w:hAnsi="Times New Roman" w:cs="Times New Roman"/>
          <w:b/>
          <w:sz w:val="24"/>
        </w:rPr>
        <w:lastRenderedPageBreak/>
        <w:t>e</w:t>
      </w:r>
      <w:r w:rsidRPr="006D1DB3">
        <w:rPr>
          <w:rFonts w:ascii="Times New Roman" w:hAnsi="Times New Roman" w:cs="Times New Roman"/>
          <w:b/>
          <w:sz w:val="24"/>
        </w:rPr>
        <w:t>Figure</w:t>
      </w:r>
      <w:proofErr w:type="spellEnd"/>
      <w:r w:rsidRPr="006D1DB3">
        <w:rPr>
          <w:rFonts w:ascii="Times New Roman" w:hAnsi="Times New Roman" w:cs="Times New Roman"/>
          <w:b/>
          <w:sz w:val="24"/>
        </w:rPr>
        <w:t xml:space="preserve"> </w:t>
      </w:r>
      <w:proofErr w:type="spellStart"/>
      <w:r>
        <w:rPr>
          <w:rFonts w:ascii="Times New Roman" w:hAnsi="Times New Roman" w:cs="Times New Roman"/>
          <w:b/>
          <w:sz w:val="24"/>
        </w:rPr>
        <w:t>Legends</w:t>
      </w:r>
      <w:bookmarkStart w:id="0" w:name="_GoBack"/>
      <w:bookmarkEnd w:id="0"/>
    </w:p>
    <w:p w14:paraId="5846124D" w14:textId="77777777" w:rsidR="003A7FEC" w:rsidRDefault="003A7FEC" w:rsidP="003A7FEC">
      <w:pPr>
        <w:spacing w:after="0" w:line="480" w:lineRule="auto"/>
        <w:rPr>
          <w:rFonts w:ascii="Times New Roman" w:hAnsi="Times New Roman" w:cs="Times New Roman"/>
          <w:b/>
          <w:sz w:val="24"/>
        </w:rPr>
      </w:pPr>
      <w:proofErr w:type="spellEnd"/>
    </w:p>
    <w:p w14:paraId="231F8241" w14:textId="7ADF0169" w:rsidR="003A7FEC" w:rsidRDefault="003A7FEC" w:rsidP="003A7FEC">
      <w:pPr>
        <w:spacing w:after="0" w:line="480" w:lineRule="auto"/>
        <w:rPr>
          <w:rFonts w:ascii="Times New Roman" w:hAnsi="Times New Roman" w:cs="Times New Roman"/>
          <w:b/>
          <w:sz w:val="24"/>
        </w:rPr>
      </w:pPr>
      <w:proofErr w:type="spellStart"/>
      <w:r>
        <w:rPr>
          <w:rFonts w:ascii="Times New Roman" w:hAnsi="Times New Roman" w:cs="Times New Roman"/>
          <w:b/>
          <w:sz w:val="24"/>
        </w:rPr>
        <w:t>e</w:t>
      </w:r>
      <w:r w:rsidRPr="006D1DB3">
        <w:rPr>
          <w:rFonts w:ascii="Times New Roman" w:hAnsi="Times New Roman" w:cs="Times New Roman"/>
          <w:b/>
          <w:sz w:val="24"/>
        </w:rPr>
        <w:t>Figure</w:t>
      </w:r>
      <w:proofErr w:type="spellEnd"/>
      <w:r w:rsidRPr="006D1DB3">
        <w:rPr>
          <w:rFonts w:ascii="Times New Roman" w:hAnsi="Times New Roman" w:cs="Times New Roman"/>
          <w:b/>
          <w:sz w:val="24"/>
        </w:rPr>
        <w:t xml:space="preserve"> 1:  Patient Flow Diagram</w:t>
      </w:r>
    </w:p>
    <w:p w14:paraId="0AD4C9E3" w14:textId="77777777" w:rsidR="003A7FEC" w:rsidRDefault="003A7FEC" w:rsidP="003A7FEC">
      <w:pPr>
        <w:spacing w:after="0" w:line="480" w:lineRule="auto"/>
        <w:rPr>
          <w:rFonts w:ascii="Times New Roman" w:hAnsi="Times New Roman" w:cs="Times New Roman"/>
          <w:sz w:val="24"/>
        </w:rPr>
      </w:pPr>
      <w:r>
        <w:rPr>
          <w:rFonts w:ascii="Times New Roman" w:hAnsi="Times New Roman" w:cs="Times New Roman"/>
          <w:sz w:val="24"/>
        </w:rPr>
        <w:t>Total number of hospital episodes in the study period from January 1, 2011 through January 31, 2019, including number of hospital episodes included the in derivation and validation cohorts, number of suspected sepsis episodes flagged by the institutional quality improvement (QI) criteria, and the number of suspected sepsis episodes confirmed with or without sepsis after manual adjudication.  All 832,550 hospital episodes were used for the epidemiology analyses while a subset of 93,987 hospital episodes were used for the derivation cohort and a separate subset of 64,388 hospital episodes were used for the validation cohort.</w:t>
      </w:r>
    </w:p>
    <w:p w14:paraId="2051CDE0" w14:textId="77777777" w:rsidR="003A7FEC" w:rsidRDefault="003A7FEC" w:rsidP="003A7FEC">
      <w:pPr>
        <w:spacing w:after="0" w:line="480" w:lineRule="auto"/>
        <w:rPr>
          <w:rFonts w:ascii="Times New Roman" w:hAnsi="Times New Roman" w:cs="Times New Roman"/>
          <w:b/>
          <w:sz w:val="24"/>
        </w:rPr>
      </w:pPr>
    </w:p>
    <w:p w14:paraId="7D53DDFE" w14:textId="77777777" w:rsidR="003A7FEC" w:rsidRDefault="003A7FEC" w:rsidP="003A7FEC">
      <w:pPr>
        <w:spacing w:after="0" w:line="480" w:lineRule="auto"/>
        <w:rPr>
          <w:rFonts w:ascii="Times New Roman" w:hAnsi="Times New Roman" w:cs="Times New Roman"/>
          <w:b/>
          <w:sz w:val="24"/>
        </w:rPr>
      </w:pPr>
      <w:proofErr w:type="spellStart"/>
      <w:r>
        <w:rPr>
          <w:rFonts w:ascii="Times New Roman" w:hAnsi="Times New Roman" w:cs="Times New Roman"/>
          <w:b/>
          <w:sz w:val="24"/>
        </w:rPr>
        <w:t>e</w:t>
      </w:r>
      <w:r w:rsidRPr="006D1DB3">
        <w:rPr>
          <w:rFonts w:ascii="Times New Roman" w:hAnsi="Times New Roman" w:cs="Times New Roman"/>
          <w:b/>
          <w:sz w:val="24"/>
        </w:rPr>
        <w:t>Figure</w:t>
      </w:r>
      <w:proofErr w:type="spellEnd"/>
      <w:r w:rsidRPr="006D1DB3">
        <w:rPr>
          <w:rFonts w:ascii="Times New Roman" w:hAnsi="Times New Roman" w:cs="Times New Roman"/>
          <w:b/>
          <w:sz w:val="24"/>
        </w:rPr>
        <w:t xml:space="preserve"> 2:  Test Characteristics using Derivation and Validation Cohorts</w:t>
      </w:r>
    </w:p>
    <w:p w14:paraId="15784E64" w14:textId="77777777" w:rsidR="003A7FEC" w:rsidRDefault="003A7FEC" w:rsidP="003A7FEC">
      <w:pPr>
        <w:spacing w:after="0" w:line="480" w:lineRule="auto"/>
        <w:rPr>
          <w:rFonts w:ascii="Times New Roman" w:hAnsi="Times New Roman" w:cs="Times New Roman"/>
          <w:sz w:val="24"/>
        </w:rPr>
      </w:pPr>
      <w:r>
        <w:rPr>
          <w:rFonts w:ascii="Times New Roman" w:hAnsi="Times New Roman" w:cs="Times New Roman"/>
          <w:sz w:val="24"/>
        </w:rPr>
        <w:t>The 2x2 tables comparing adjudication of suspected sepsis episodes with categorization of sepsis by the surveillance algorithm in the derivation (A) and validation (B) cohorts.  Calculation of the test characteristics for the surveillance algorithm relative to the adjudicated reference-standard is shown.</w:t>
      </w:r>
    </w:p>
    <w:p w14:paraId="43640235" w14:textId="77777777" w:rsidR="003A7FEC" w:rsidRPr="007C23CD" w:rsidRDefault="003A7FEC" w:rsidP="003A7FEC">
      <w:pPr>
        <w:spacing w:after="0" w:line="480" w:lineRule="auto"/>
        <w:rPr>
          <w:rFonts w:ascii="Times New Roman" w:hAnsi="Times New Roman" w:cs="Times New Roman"/>
          <w:sz w:val="24"/>
        </w:rPr>
      </w:pPr>
    </w:p>
    <w:p w14:paraId="6EB587B7" w14:textId="77777777" w:rsidR="003A7FEC" w:rsidRDefault="003A7FEC" w:rsidP="003A7FEC">
      <w:pPr>
        <w:spacing w:after="0" w:line="480" w:lineRule="auto"/>
        <w:rPr>
          <w:rFonts w:ascii="Times New Roman" w:hAnsi="Times New Roman" w:cs="Times New Roman"/>
          <w:b/>
          <w:sz w:val="24"/>
        </w:rPr>
      </w:pPr>
      <w:proofErr w:type="spellStart"/>
      <w:r>
        <w:rPr>
          <w:rFonts w:ascii="Times New Roman" w:hAnsi="Times New Roman" w:cs="Times New Roman"/>
          <w:b/>
          <w:sz w:val="24"/>
        </w:rPr>
        <w:t>eFigure</w:t>
      </w:r>
      <w:proofErr w:type="spellEnd"/>
      <w:r>
        <w:rPr>
          <w:rFonts w:ascii="Times New Roman" w:hAnsi="Times New Roman" w:cs="Times New Roman"/>
          <w:b/>
          <w:sz w:val="24"/>
        </w:rPr>
        <w:t xml:space="preserve"> 3:  Proportion of Sepsis Episodes that Included Hyperlactatemia Over Time</w:t>
      </w:r>
    </w:p>
    <w:p w14:paraId="51B836EA" w14:textId="1BF5392C" w:rsidR="00A64A84" w:rsidRPr="000C14A1" w:rsidRDefault="003A7FEC" w:rsidP="003A7FEC">
      <w:pPr>
        <w:spacing w:after="0" w:line="480" w:lineRule="auto"/>
        <w:rPr>
          <w:rFonts w:ascii="Times New Roman" w:hAnsi="Times New Roman" w:cs="Times New Roman"/>
          <w:sz w:val="24"/>
          <w:szCs w:val="24"/>
        </w:rPr>
      </w:pPr>
      <w:r>
        <w:rPr>
          <w:rFonts w:ascii="Times New Roman" w:hAnsi="Times New Roman" w:cs="Times New Roman"/>
          <w:sz w:val="24"/>
        </w:rPr>
        <w:t xml:space="preserve">The proportion of sepsis episodes identified by the surveillance algorithm in which criteria for organ dysfunction included hyperlactatemia (defined as blood lactate ≥2.0 mmol/L) with or without other organ dysfunctions (blue line) or included hyperlactatemia as the only organ dysfunction (orange line).  There was no association between calendar year and the proportion of sepsis episodes that included hyperlactatemia as organ dysfunction (odds ratio 1.01, 95% confidence interval 0.99, 1.04; p=0.27).  </w:t>
      </w:r>
      <w:r>
        <w:rPr>
          <w:rFonts w:ascii="Times New Roman" w:hAnsi="Times New Roman" w:cs="Times New Roman"/>
          <w:color w:val="000000"/>
          <w:sz w:val="24"/>
          <w:szCs w:val="24"/>
        </w:rPr>
        <w:t>Error bars indicate 95% confidence intervals.</w:t>
      </w:r>
    </w:p>
    <w:sectPr w:rsidR="00A64A84" w:rsidRPr="000C14A1" w:rsidSect="00013E61">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46D72" w14:textId="77777777" w:rsidR="005E393E" w:rsidRDefault="005E393E" w:rsidP="00322E3F">
      <w:pPr>
        <w:spacing w:after="0" w:line="240" w:lineRule="auto"/>
      </w:pPr>
      <w:r>
        <w:separator/>
      </w:r>
    </w:p>
  </w:endnote>
  <w:endnote w:type="continuationSeparator" w:id="0">
    <w:p w14:paraId="17946D73" w14:textId="77777777" w:rsidR="005E393E" w:rsidRDefault="005E393E" w:rsidP="0032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463900"/>
      <w:docPartObj>
        <w:docPartGallery w:val="Page Numbers (Bottom of Page)"/>
        <w:docPartUnique/>
      </w:docPartObj>
    </w:sdtPr>
    <w:sdtEndPr>
      <w:rPr>
        <w:noProof/>
      </w:rPr>
    </w:sdtEndPr>
    <w:sdtContent>
      <w:p w14:paraId="17946D74" w14:textId="77777777" w:rsidR="00F11C19" w:rsidRDefault="00F11C19">
        <w:pPr>
          <w:pStyle w:val="Footer"/>
          <w:jc w:val="right"/>
        </w:pPr>
        <w:r>
          <w:fldChar w:fldCharType="begin"/>
        </w:r>
        <w:r>
          <w:instrText xml:space="preserve"> PAGE   \* MERGEFORMAT </w:instrText>
        </w:r>
        <w:r>
          <w:fldChar w:fldCharType="separate"/>
        </w:r>
        <w:r w:rsidR="009422CA">
          <w:rPr>
            <w:noProof/>
          </w:rPr>
          <w:t>1</w:t>
        </w:r>
        <w:r>
          <w:rPr>
            <w:noProof/>
          </w:rPr>
          <w:fldChar w:fldCharType="end"/>
        </w:r>
      </w:p>
    </w:sdtContent>
  </w:sdt>
  <w:p w14:paraId="17946D75" w14:textId="77777777" w:rsidR="00F11C19" w:rsidRDefault="00F11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061190"/>
      <w:docPartObj>
        <w:docPartGallery w:val="Page Numbers (Bottom of Page)"/>
        <w:docPartUnique/>
      </w:docPartObj>
    </w:sdtPr>
    <w:sdtEndPr>
      <w:rPr>
        <w:noProof/>
      </w:rPr>
    </w:sdtEndPr>
    <w:sdtContent>
      <w:p w14:paraId="17946D76" w14:textId="77777777" w:rsidR="00013E61" w:rsidRDefault="00013E61">
        <w:pPr>
          <w:pStyle w:val="Footer"/>
          <w:jc w:val="right"/>
        </w:pPr>
        <w:r>
          <w:fldChar w:fldCharType="begin"/>
        </w:r>
        <w:r>
          <w:instrText xml:space="preserve"> PAGE   \* MERGEFORMAT </w:instrText>
        </w:r>
        <w:r>
          <w:fldChar w:fldCharType="separate"/>
        </w:r>
        <w:r w:rsidR="009422CA">
          <w:rPr>
            <w:noProof/>
          </w:rPr>
          <w:t>8</w:t>
        </w:r>
        <w:r>
          <w:rPr>
            <w:noProof/>
          </w:rPr>
          <w:fldChar w:fldCharType="end"/>
        </w:r>
      </w:p>
    </w:sdtContent>
  </w:sdt>
  <w:p w14:paraId="17946D77" w14:textId="77777777" w:rsidR="00D83B33" w:rsidRDefault="00D8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6D70" w14:textId="77777777" w:rsidR="005E393E" w:rsidRDefault="005E393E" w:rsidP="00322E3F">
      <w:pPr>
        <w:spacing w:after="0" w:line="240" w:lineRule="auto"/>
      </w:pPr>
      <w:r>
        <w:separator/>
      </w:r>
    </w:p>
  </w:footnote>
  <w:footnote w:type="continuationSeparator" w:id="0">
    <w:p w14:paraId="17946D71" w14:textId="77777777" w:rsidR="005E393E" w:rsidRDefault="005E393E" w:rsidP="00322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8AF"/>
    <w:multiLevelType w:val="hybridMultilevel"/>
    <w:tmpl w:val="F244C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0C6A"/>
    <w:multiLevelType w:val="hybridMultilevel"/>
    <w:tmpl w:val="A34E622C"/>
    <w:lvl w:ilvl="0" w:tplc="76F28CC4">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A4EBB"/>
    <w:multiLevelType w:val="hybridMultilevel"/>
    <w:tmpl w:val="60029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27518"/>
    <w:multiLevelType w:val="hybridMultilevel"/>
    <w:tmpl w:val="B8C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B410C"/>
    <w:multiLevelType w:val="hybridMultilevel"/>
    <w:tmpl w:val="CD361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B4AA86">
      <w:start w:val="1"/>
      <w:numFmt w:val="lowerLetter"/>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C4B63"/>
    <w:multiLevelType w:val="hybridMultilevel"/>
    <w:tmpl w:val="7128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311E0"/>
    <w:multiLevelType w:val="hybridMultilevel"/>
    <w:tmpl w:val="BB20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4817"/>
    <w:multiLevelType w:val="hybridMultilevel"/>
    <w:tmpl w:val="48BCA2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65108"/>
    <w:multiLevelType w:val="hybridMultilevel"/>
    <w:tmpl w:val="9DCE8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E4831"/>
    <w:multiLevelType w:val="hybridMultilevel"/>
    <w:tmpl w:val="73C49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A3F8F"/>
    <w:multiLevelType w:val="hybridMultilevel"/>
    <w:tmpl w:val="699A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F7162"/>
    <w:multiLevelType w:val="hybridMultilevel"/>
    <w:tmpl w:val="8F30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9525D"/>
    <w:multiLevelType w:val="hybridMultilevel"/>
    <w:tmpl w:val="851ADB10"/>
    <w:lvl w:ilvl="0" w:tplc="FF7E42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94C29"/>
    <w:multiLevelType w:val="hybridMultilevel"/>
    <w:tmpl w:val="699A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D1BFC"/>
    <w:multiLevelType w:val="hybridMultilevel"/>
    <w:tmpl w:val="23DA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E3061"/>
    <w:multiLevelType w:val="hybridMultilevel"/>
    <w:tmpl w:val="5A84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C833D2"/>
    <w:multiLevelType w:val="hybridMultilevel"/>
    <w:tmpl w:val="38AA2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5717F3"/>
    <w:multiLevelType w:val="hybridMultilevel"/>
    <w:tmpl w:val="E2D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16"/>
  </w:num>
  <w:num w:numId="5">
    <w:abstractNumId w:val="5"/>
  </w:num>
  <w:num w:numId="6">
    <w:abstractNumId w:val="12"/>
  </w:num>
  <w:num w:numId="7">
    <w:abstractNumId w:val="8"/>
  </w:num>
  <w:num w:numId="8">
    <w:abstractNumId w:val="1"/>
  </w:num>
  <w:num w:numId="9">
    <w:abstractNumId w:val="7"/>
  </w:num>
  <w:num w:numId="10">
    <w:abstractNumId w:val="0"/>
  </w:num>
  <w:num w:numId="11">
    <w:abstractNumId w:val="2"/>
  </w:num>
  <w:num w:numId="12">
    <w:abstractNumId w:val="3"/>
  </w:num>
  <w:num w:numId="13">
    <w:abstractNumId w:val="11"/>
  </w:num>
  <w:num w:numId="14">
    <w:abstractNumId w:val="9"/>
  </w:num>
  <w:num w:numId="15">
    <w:abstractNumId w:val="4"/>
  </w:num>
  <w:num w:numId="16">
    <w:abstractNumId w:val="1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ritical Ca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5atszs552tf6e5wtv5vadcrzee2rf2v25p&quot;&gt;My EndNote Library&lt;record-ids&gt;&lt;item&gt;64&lt;/item&gt;&lt;item&gt;162&lt;/item&gt;&lt;item&gt;284&lt;/item&gt;&lt;item&gt;367&lt;/item&gt;&lt;item&gt;1001&lt;/item&gt;&lt;item&gt;1533&lt;/item&gt;&lt;item&gt;2583&lt;/item&gt;&lt;/record-ids&gt;&lt;/item&gt;&lt;/Libraries&gt;"/>
  </w:docVars>
  <w:rsids>
    <w:rsidRoot w:val="00F932B7"/>
    <w:rsid w:val="000069DB"/>
    <w:rsid w:val="00013E61"/>
    <w:rsid w:val="000140AF"/>
    <w:rsid w:val="000144C8"/>
    <w:rsid w:val="000302BD"/>
    <w:rsid w:val="00030DE6"/>
    <w:rsid w:val="000311F6"/>
    <w:rsid w:val="0004615F"/>
    <w:rsid w:val="000473EF"/>
    <w:rsid w:val="00066355"/>
    <w:rsid w:val="00090D96"/>
    <w:rsid w:val="00090F1B"/>
    <w:rsid w:val="000946E7"/>
    <w:rsid w:val="000B0C26"/>
    <w:rsid w:val="000B5097"/>
    <w:rsid w:val="000C043B"/>
    <w:rsid w:val="000C072F"/>
    <w:rsid w:val="000C09B5"/>
    <w:rsid w:val="000C14A1"/>
    <w:rsid w:val="000C1EBC"/>
    <w:rsid w:val="000E2C5C"/>
    <w:rsid w:val="00106ACF"/>
    <w:rsid w:val="00120654"/>
    <w:rsid w:val="001223D3"/>
    <w:rsid w:val="00122ABA"/>
    <w:rsid w:val="00124152"/>
    <w:rsid w:val="00125A3A"/>
    <w:rsid w:val="00132DC0"/>
    <w:rsid w:val="00161436"/>
    <w:rsid w:val="00173E32"/>
    <w:rsid w:val="00175343"/>
    <w:rsid w:val="001839A8"/>
    <w:rsid w:val="001B037F"/>
    <w:rsid w:val="001B140A"/>
    <w:rsid w:val="001B5A86"/>
    <w:rsid w:val="001B5F93"/>
    <w:rsid w:val="001C5D90"/>
    <w:rsid w:val="001D1FCF"/>
    <w:rsid w:val="00200E13"/>
    <w:rsid w:val="0020498A"/>
    <w:rsid w:val="002142F6"/>
    <w:rsid w:val="00232B69"/>
    <w:rsid w:val="002340BA"/>
    <w:rsid w:val="0023560F"/>
    <w:rsid w:val="00236B8A"/>
    <w:rsid w:val="0025400C"/>
    <w:rsid w:val="00261DC5"/>
    <w:rsid w:val="0026218B"/>
    <w:rsid w:val="002745D4"/>
    <w:rsid w:val="0029358D"/>
    <w:rsid w:val="002974F3"/>
    <w:rsid w:val="002B3A77"/>
    <w:rsid w:val="002B77CC"/>
    <w:rsid w:val="002D582A"/>
    <w:rsid w:val="002D5A0D"/>
    <w:rsid w:val="002D6392"/>
    <w:rsid w:val="002E117D"/>
    <w:rsid w:val="002F2110"/>
    <w:rsid w:val="003068D1"/>
    <w:rsid w:val="00310C97"/>
    <w:rsid w:val="0031518F"/>
    <w:rsid w:val="00316665"/>
    <w:rsid w:val="003175B3"/>
    <w:rsid w:val="003222A1"/>
    <w:rsid w:val="00322E3F"/>
    <w:rsid w:val="003331B2"/>
    <w:rsid w:val="00353B99"/>
    <w:rsid w:val="00363564"/>
    <w:rsid w:val="00364355"/>
    <w:rsid w:val="00375A53"/>
    <w:rsid w:val="00377899"/>
    <w:rsid w:val="003975C8"/>
    <w:rsid w:val="003A7FEC"/>
    <w:rsid w:val="003C01F9"/>
    <w:rsid w:val="003D21CD"/>
    <w:rsid w:val="003E428F"/>
    <w:rsid w:val="003E7E2D"/>
    <w:rsid w:val="003F664C"/>
    <w:rsid w:val="003F7BC7"/>
    <w:rsid w:val="004248C0"/>
    <w:rsid w:val="00434E56"/>
    <w:rsid w:val="00436D5A"/>
    <w:rsid w:val="00463F1E"/>
    <w:rsid w:val="00471B9C"/>
    <w:rsid w:val="004727ED"/>
    <w:rsid w:val="00476C8E"/>
    <w:rsid w:val="00482D97"/>
    <w:rsid w:val="00491DA3"/>
    <w:rsid w:val="004A037B"/>
    <w:rsid w:val="004A075E"/>
    <w:rsid w:val="004A2182"/>
    <w:rsid w:val="004C27FD"/>
    <w:rsid w:val="004C441A"/>
    <w:rsid w:val="004C49CA"/>
    <w:rsid w:val="004C59C3"/>
    <w:rsid w:val="004C65C7"/>
    <w:rsid w:val="004D4462"/>
    <w:rsid w:val="004E6334"/>
    <w:rsid w:val="004F3A5C"/>
    <w:rsid w:val="00512ADA"/>
    <w:rsid w:val="0052222A"/>
    <w:rsid w:val="005250C6"/>
    <w:rsid w:val="005275F3"/>
    <w:rsid w:val="00530FB7"/>
    <w:rsid w:val="005370BE"/>
    <w:rsid w:val="00537E70"/>
    <w:rsid w:val="00541892"/>
    <w:rsid w:val="005467C8"/>
    <w:rsid w:val="00547AE4"/>
    <w:rsid w:val="00560723"/>
    <w:rsid w:val="00562668"/>
    <w:rsid w:val="00564F65"/>
    <w:rsid w:val="00577852"/>
    <w:rsid w:val="00586542"/>
    <w:rsid w:val="005A31C8"/>
    <w:rsid w:val="005B773E"/>
    <w:rsid w:val="005C0792"/>
    <w:rsid w:val="005C0B38"/>
    <w:rsid w:val="005C1D6D"/>
    <w:rsid w:val="005C6559"/>
    <w:rsid w:val="005D24B2"/>
    <w:rsid w:val="005E393E"/>
    <w:rsid w:val="00604F72"/>
    <w:rsid w:val="006076E9"/>
    <w:rsid w:val="00624C8C"/>
    <w:rsid w:val="00627B53"/>
    <w:rsid w:val="0063138E"/>
    <w:rsid w:val="00673FB6"/>
    <w:rsid w:val="00674F92"/>
    <w:rsid w:val="00675259"/>
    <w:rsid w:val="00697194"/>
    <w:rsid w:val="00697A90"/>
    <w:rsid w:val="006A38C3"/>
    <w:rsid w:val="006A4579"/>
    <w:rsid w:val="006B152C"/>
    <w:rsid w:val="006E069D"/>
    <w:rsid w:val="007060FE"/>
    <w:rsid w:val="0071630A"/>
    <w:rsid w:val="007214BD"/>
    <w:rsid w:val="00725509"/>
    <w:rsid w:val="00737288"/>
    <w:rsid w:val="00755813"/>
    <w:rsid w:val="00756976"/>
    <w:rsid w:val="0076373F"/>
    <w:rsid w:val="00764EB7"/>
    <w:rsid w:val="007664EB"/>
    <w:rsid w:val="0078733C"/>
    <w:rsid w:val="00792B09"/>
    <w:rsid w:val="00793557"/>
    <w:rsid w:val="007C25CE"/>
    <w:rsid w:val="007C40ED"/>
    <w:rsid w:val="007D4896"/>
    <w:rsid w:val="007D5752"/>
    <w:rsid w:val="007E20FB"/>
    <w:rsid w:val="007F08E9"/>
    <w:rsid w:val="007F3408"/>
    <w:rsid w:val="00803A18"/>
    <w:rsid w:val="00803A87"/>
    <w:rsid w:val="00817723"/>
    <w:rsid w:val="0082557D"/>
    <w:rsid w:val="00832F0A"/>
    <w:rsid w:val="0083343C"/>
    <w:rsid w:val="00851A39"/>
    <w:rsid w:val="0086564E"/>
    <w:rsid w:val="00883737"/>
    <w:rsid w:val="0089691E"/>
    <w:rsid w:val="008A04C1"/>
    <w:rsid w:val="008B1517"/>
    <w:rsid w:val="008D3B3C"/>
    <w:rsid w:val="008E679A"/>
    <w:rsid w:val="00900F5D"/>
    <w:rsid w:val="00911377"/>
    <w:rsid w:val="009170CE"/>
    <w:rsid w:val="009239B5"/>
    <w:rsid w:val="0094204F"/>
    <w:rsid w:val="009422CA"/>
    <w:rsid w:val="009430B9"/>
    <w:rsid w:val="009653D4"/>
    <w:rsid w:val="009B16CA"/>
    <w:rsid w:val="009B5DD0"/>
    <w:rsid w:val="00A156EA"/>
    <w:rsid w:val="00A16B00"/>
    <w:rsid w:val="00A1715F"/>
    <w:rsid w:val="00A233E3"/>
    <w:rsid w:val="00A27F15"/>
    <w:rsid w:val="00A30519"/>
    <w:rsid w:val="00A30C64"/>
    <w:rsid w:val="00A34A12"/>
    <w:rsid w:val="00A36DB5"/>
    <w:rsid w:val="00A4100D"/>
    <w:rsid w:val="00A42B26"/>
    <w:rsid w:val="00A54CE1"/>
    <w:rsid w:val="00A64A84"/>
    <w:rsid w:val="00A75A6F"/>
    <w:rsid w:val="00A849EA"/>
    <w:rsid w:val="00A928CC"/>
    <w:rsid w:val="00A96F86"/>
    <w:rsid w:val="00AE50D9"/>
    <w:rsid w:val="00AE67D5"/>
    <w:rsid w:val="00B00691"/>
    <w:rsid w:val="00B05FC2"/>
    <w:rsid w:val="00B26C18"/>
    <w:rsid w:val="00B56C30"/>
    <w:rsid w:val="00B5779D"/>
    <w:rsid w:val="00B867BC"/>
    <w:rsid w:val="00BA73C8"/>
    <w:rsid w:val="00BB4631"/>
    <w:rsid w:val="00BC41F7"/>
    <w:rsid w:val="00BE36DB"/>
    <w:rsid w:val="00C0217A"/>
    <w:rsid w:val="00C12DC8"/>
    <w:rsid w:val="00C15C2B"/>
    <w:rsid w:val="00C17D0F"/>
    <w:rsid w:val="00C25A4D"/>
    <w:rsid w:val="00C31135"/>
    <w:rsid w:val="00C40531"/>
    <w:rsid w:val="00C4063D"/>
    <w:rsid w:val="00C47D92"/>
    <w:rsid w:val="00C512BA"/>
    <w:rsid w:val="00C52F8D"/>
    <w:rsid w:val="00C56576"/>
    <w:rsid w:val="00C67A22"/>
    <w:rsid w:val="00C844E4"/>
    <w:rsid w:val="00C85C32"/>
    <w:rsid w:val="00C8630D"/>
    <w:rsid w:val="00C87268"/>
    <w:rsid w:val="00CB5EDC"/>
    <w:rsid w:val="00CC365B"/>
    <w:rsid w:val="00CD3C14"/>
    <w:rsid w:val="00CF4BEB"/>
    <w:rsid w:val="00D1360F"/>
    <w:rsid w:val="00D36842"/>
    <w:rsid w:val="00D37DE4"/>
    <w:rsid w:val="00D83B33"/>
    <w:rsid w:val="00D94D57"/>
    <w:rsid w:val="00DA59C6"/>
    <w:rsid w:val="00DD3781"/>
    <w:rsid w:val="00DE6BC0"/>
    <w:rsid w:val="00E01BF4"/>
    <w:rsid w:val="00E01DE4"/>
    <w:rsid w:val="00E03E3F"/>
    <w:rsid w:val="00E1685F"/>
    <w:rsid w:val="00E2084B"/>
    <w:rsid w:val="00E4344F"/>
    <w:rsid w:val="00E4394D"/>
    <w:rsid w:val="00E44DF5"/>
    <w:rsid w:val="00E45AEB"/>
    <w:rsid w:val="00E464D8"/>
    <w:rsid w:val="00E616C2"/>
    <w:rsid w:val="00E96716"/>
    <w:rsid w:val="00EA1AD5"/>
    <w:rsid w:val="00EC6DA9"/>
    <w:rsid w:val="00ED1DCE"/>
    <w:rsid w:val="00ED4D23"/>
    <w:rsid w:val="00EF360A"/>
    <w:rsid w:val="00F11C19"/>
    <w:rsid w:val="00F31EDE"/>
    <w:rsid w:val="00F321A5"/>
    <w:rsid w:val="00F53833"/>
    <w:rsid w:val="00F5452E"/>
    <w:rsid w:val="00F57F54"/>
    <w:rsid w:val="00F643CC"/>
    <w:rsid w:val="00F8274A"/>
    <w:rsid w:val="00F9099F"/>
    <w:rsid w:val="00F932B7"/>
    <w:rsid w:val="00FA5627"/>
    <w:rsid w:val="00FB3F68"/>
    <w:rsid w:val="00FC3CF2"/>
    <w:rsid w:val="00FC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946B4D"/>
  <w15:docId w15:val="{D399581B-8767-43CB-8637-4E124B12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2B7"/>
    <w:pPr>
      <w:spacing w:after="0" w:line="240" w:lineRule="auto"/>
    </w:pPr>
  </w:style>
  <w:style w:type="table" w:styleId="TableGrid">
    <w:name w:val="Table Grid"/>
    <w:basedOn w:val="TableNormal"/>
    <w:uiPriority w:val="39"/>
    <w:rsid w:val="00F9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1517"/>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B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17"/>
    <w:rPr>
      <w:rFonts w:ascii="Tahoma" w:hAnsi="Tahoma" w:cs="Tahoma"/>
      <w:sz w:val="16"/>
      <w:szCs w:val="16"/>
    </w:rPr>
  </w:style>
  <w:style w:type="table" w:styleId="LightList">
    <w:name w:val="Light List"/>
    <w:basedOn w:val="TableNormal"/>
    <w:uiPriority w:val="61"/>
    <w:rsid w:val="00397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068D1"/>
    <w:rPr>
      <w:sz w:val="16"/>
      <w:szCs w:val="16"/>
    </w:rPr>
  </w:style>
  <w:style w:type="paragraph" w:styleId="CommentText">
    <w:name w:val="annotation text"/>
    <w:basedOn w:val="Normal"/>
    <w:link w:val="CommentTextChar"/>
    <w:uiPriority w:val="99"/>
    <w:semiHidden/>
    <w:unhideWhenUsed/>
    <w:rsid w:val="003068D1"/>
    <w:pPr>
      <w:spacing w:line="240" w:lineRule="auto"/>
    </w:pPr>
    <w:rPr>
      <w:sz w:val="20"/>
      <w:szCs w:val="20"/>
    </w:rPr>
  </w:style>
  <w:style w:type="character" w:customStyle="1" w:styleId="CommentTextChar">
    <w:name w:val="Comment Text Char"/>
    <w:basedOn w:val="DefaultParagraphFont"/>
    <w:link w:val="CommentText"/>
    <w:uiPriority w:val="99"/>
    <w:semiHidden/>
    <w:rsid w:val="003068D1"/>
    <w:rPr>
      <w:sz w:val="20"/>
      <w:szCs w:val="20"/>
    </w:rPr>
  </w:style>
  <w:style w:type="paragraph" w:styleId="CommentSubject">
    <w:name w:val="annotation subject"/>
    <w:basedOn w:val="CommentText"/>
    <w:next w:val="CommentText"/>
    <w:link w:val="CommentSubjectChar"/>
    <w:uiPriority w:val="99"/>
    <w:semiHidden/>
    <w:unhideWhenUsed/>
    <w:rsid w:val="003068D1"/>
    <w:rPr>
      <w:b/>
      <w:bCs/>
    </w:rPr>
  </w:style>
  <w:style w:type="character" w:customStyle="1" w:styleId="CommentSubjectChar">
    <w:name w:val="Comment Subject Char"/>
    <w:basedOn w:val="CommentTextChar"/>
    <w:link w:val="CommentSubject"/>
    <w:uiPriority w:val="99"/>
    <w:semiHidden/>
    <w:rsid w:val="003068D1"/>
    <w:rPr>
      <w:b/>
      <w:bCs/>
      <w:sz w:val="20"/>
      <w:szCs w:val="20"/>
    </w:rPr>
  </w:style>
  <w:style w:type="paragraph" w:styleId="ListParagraph">
    <w:name w:val="List Paragraph"/>
    <w:basedOn w:val="Normal"/>
    <w:link w:val="ListParagraphChar"/>
    <w:uiPriority w:val="34"/>
    <w:qFormat/>
    <w:rsid w:val="00562668"/>
    <w:pPr>
      <w:ind w:left="720"/>
      <w:contextualSpacing/>
    </w:pPr>
  </w:style>
  <w:style w:type="character" w:customStyle="1" w:styleId="apple-converted-space">
    <w:name w:val="apple-converted-space"/>
    <w:basedOn w:val="DefaultParagraphFont"/>
    <w:rsid w:val="00471B9C"/>
  </w:style>
  <w:style w:type="paragraph" w:customStyle="1" w:styleId="EndNoteBibliographyTitle">
    <w:name w:val="EndNote Bibliography Title"/>
    <w:basedOn w:val="Normal"/>
    <w:link w:val="EndNoteBibliographyTitleChar"/>
    <w:rsid w:val="00D1360F"/>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D1360F"/>
  </w:style>
  <w:style w:type="character" w:customStyle="1" w:styleId="EndNoteBibliographyTitleChar">
    <w:name w:val="EndNote Bibliography Title Char"/>
    <w:basedOn w:val="ListParagraphChar"/>
    <w:link w:val="EndNoteBibliographyTitle"/>
    <w:rsid w:val="00D1360F"/>
    <w:rPr>
      <w:rFonts w:ascii="Calibri" w:hAnsi="Calibri"/>
      <w:noProof/>
    </w:rPr>
  </w:style>
  <w:style w:type="paragraph" w:customStyle="1" w:styleId="EndNoteBibliography">
    <w:name w:val="EndNote Bibliography"/>
    <w:basedOn w:val="Normal"/>
    <w:link w:val="EndNoteBibliographyChar"/>
    <w:rsid w:val="00D1360F"/>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D1360F"/>
    <w:rPr>
      <w:rFonts w:ascii="Calibri" w:hAnsi="Calibri"/>
      <w:noProof/>
    </w:rPr>
  </w:style>
  <w:style w:type="paragraph" w:styleId="Header">
    <w:name w:val="header"/>
    <w:basedOn w:val="Normal"/>
    <w:link w:val="HeaderChar"/>
    <w:uiPriority w:val="99"/>
    <w:unhideWhenUsed/>
    <w:rsid w:val="00322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E3F"/>
  </w:style>
  <w:style w:type="paragraph" w:styleId="Footer">
    <w:name w:val="footer"/>
    <w:basedOn w:val="Normal"/>
    <w:link w:val="FooterChar"/>
    <w:uiPriority w:val="99"/>
    <w:unhideWhenUsed/>
    <w:rsid w:val="00322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E3F"/>
  </w:style>
  <w:style w:type="table" w:styleId="ListTable6Colorful">
    <w:name w:val="List Table 6 Colorful"/>
    <w:basedOn w:val="TableNormal"/>
    <w:uiPriority w:val="51"/>
    <w:rsid w:val="00A64A8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6945">
      <w:bodyDiv w:val="1"/>
      <w:marLeft w:val="0"/>
      <w:marRight w:val="0"/>
      <w:marTop w:val="0"/>
      <w:marBottom w:val="0"/>
      <w:divBdr>
        <w:top w:val="none" w:sz="0" w:space="0" w:color="auto"/>
        <w:left w:val="none" w:sz="0" w:space="0" w:color="auto"/>
        <w:bottom w:val="none" w:sz="0" w:space="0" w:color="auto"/>
        <w:right w:val="none" w:sz="0" w:space="0" w:color="auto"/>
      </w:divBdr>
    </w:div>
    <w:div w:id="631636998">
      <w:bodyDiv w:val="1"/>
      <w:marLeft w:val="0"/>
      <w:marRight w:val="0"/>
      <w:marTop w:val="0"/>
      <w:marBottom w:val="0"/>
      <w:divBdr>
        <w:top w:val="none" w:sz="0" w:space="0" w:color="auto"/>
        <w:left w:val="none" w:sz="0" w:space="0" w:color="auto"/>
        <w:bottom w:val="none" w:sz="0" w:space="0" w:color="auto"/>
        <w:right w:val="none" w:sz="0" w:space="0" w:color="auto"/>
      </w:divBdr>
    </w:div>
    <w:div w:id="1173305191">
      <w:bodyDiv w:val="1"/>
      <w:marLeft w:val="0"/>
      <w:marRight w:val="0"/>
      <w:marTop w:val="0"/>
      <w:marBottom w:val="0"/>
      <w:divBdr>
        <w:top w:val="none" w:sz="0" w:space="0" w:color="auto"/>
        <w:left w:val="none" w:sz="0" w:space="0" w:color="auto"/>
        <w:bottom w:val="none" w:sz="0" w:space="0" w:color="auto"/>
        <w:right w:val="none" w:sz="0" w:space="0" w:color="auto"/>
      </w:divBdr>
    </w:div>
    <w:div w:id="213845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DC11-A9F1-4591-BC72-AB82C526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weisss</dc:creator>
  <cp:lastModifiedBy>Baeuerlein, Christopher</cp:lastModifiedBy>
  <cp:revision>3</cp:revision>
  <dcterms:created xsi:type="dcterms:W3CDTF">2019-08-19T13:43:00Z</dcterms:created>
  <dcterms:modified xsi:type="dcterms:W3CDTF">2019-09-26T19:10:00Z</dcterms:modified>
</cp:coreProperties>
</file>