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0870" w14:textId="3E2C2623" w:rsidR="00A05B1C" w:rsidRPr="007231BD" w:rsidRDefault="00A05B1C" w:rsidP="00F26C8F">
      <w:pPr>
        <w:spacing w:after="0" w:line="480" w:lineRule="auto"/>
        <w:rPr>
          <w:rFonts w:ascii="Times New Roman" w:hAnsi="Times New Roman" w:cs="Times New Roman"/>
          <w:b/>
          <w:bCs/>
          <w:sz w:val="24"/>
          <w:szCs w:val="24"/>
        </w:rPr>
      </w:pPr>
      <w:r w:rsidRPr="007231BD">
        <w:rPr>
          <w:rFonts w:ascii="Times New Roman" w:hAnsi="Times New Roman" w:cs="Times New Roman"/>
          <w:b/>
          <w:bCs/>
          <w:sz w:val="24"/>
          <w:szCs w:val="24"/>
        </w:rPr>
        <w:t xml:space="preserve">Supplementary </w:t>
      </w:r>
      <w:r w:rsidR="00EF0370">
        <w:rPr>
          <w:rFonts w:ascii="Times New Roman" w:hAnsi="Times New Roman" w:cs="Times New Roman"/>
          <w:b/>
          <w:bCs/>
          <w:sz w:val="24"/>
          <w:szCs w:val="24"/>
        </w:rPr>
        <w:t>Data</w:t>
      </w:r>
      <w:bookmarkStart w:id="0" w:name="_GoBack"/>
      <w:bookmarkEnd w:id="0"/>
      <w:r w:rsidRPr="007231BD">
        <w:rPr>
          <w:rFonts w:ascii="Times New Roman" w:hAnsi="Times New Roman" w:cs="Times New Roman"/>
          <w:b/>
          <w:bCs/>
          <w:sz w:val="24"/>
          <w:szCs w:val="24"/>
        </w:rPr>
        <w:t>:</w:t>
      </w:r>
    </w:p>
    <w:p w14:paraId="20B09355" w14:textId="0039A1D0" w:rsidR="00BC669F" w:rsidRPr="007231BD" w:rsidRDefault="00BC669F" w:rsidP="00F26C8F">
      <w:pPr>
        <w:spacing w:after="0" w:line="480" w:lineRule="auto"/>
        <w:rPr>
          <w:rFonts w:ascii="Times New Roman" w:hAnsi="Times New Roman" w:cs="Times New Roman"/>
          <w:bCs/>
          <w:sz w:val="24"/>
          <w:szCs w:val="24"/>
        </w:rPr>
      </w:pPr>
      <w:r w:rsidRPr="007231BD">
        <w:rPr>
          <w:rFonts w:ascii="Times New Roman" w:hAnsi="Times New Roman" w:cs="Times New Roman"/>
          <w:bCs/>
          <w:sz w:val="24"/>
          <w:szCs w:val="24"/>
        </w:rPr>
        <w:t>The study wasn’t significantly powered to identify risk factors of polyneuropathy. We couldn’t identify any difference between the groups with and without polyneuropathy with respect to clinical characteristics, therapeutic interventions and micronutrient levels (</w:t>
      </w:r>
      <w:r w:rsidR="007231BD" w:rsidRPr="007231BD">
        <w:rPr>
          <w:rFonts w:ascii="Times New Roman" w:hAnsi="Times New Roman" w:cs="Times New Roman"/>
          <w:bCs/>
          <w:sz w:val="24"/>
          <w:szCs w:val="24"/>
        </w:rPr>
        <w:t>S</w:t>
      </w:r>
      <w:r w:rsidR="00134BE9" w:rsidRPr="007231BD">
        <w:rPr>
          <w:rFonts w:ascii="Times New Roman" w:hAnsi="Times New Roman" w:cs="Times New Roman"/>
          <w:bCs/>
          <w:sz w:val="24"/>
          <w:szCs w:val="24"/>
        </w:rPr>
        <w:t xml:space="preserve">upplementary </w:t>
      </w:r>
      <w:r w:rsidR="007231BD" w:rsidRPr="007231BD">
        <w:rPr>
          <w:rFonts w:ascii="Times New Roman" w:hAnsi="Times New Roman" w:cs="Times New Roman"/>
          <w:bCs/>
          <w:sz w:val="24"/>
          <w:szCs w:val="24"/>
        </w:rPr>
        <w:t>T</w:t>
      </w:r>
      <w:r w:rsidRPr="007231BD">
        <w:rPr>
          <w:rFonts w:ascii="Times New Roman" w:hAnsi="Times New Roman" w:cs="Times New Roman"/>
          <w:bCs/>
          <w:sz w:val="24"/>
          <w:szCs w:val="24"/>
        </w:rPr>
        <w:t>able 1).</w:t>
      </w:r>
    </w:p>
    <w:p w14:paraId="756A4DFE" w14:textId="77777777" w:rsidR="00BC669F" w:rsidRPr="007231BD" w:rsidRDefault="00BC669F" w:rsidP="00F26C8F">
      <w:pPr>
        <w:spacing w:after="0" w:line="480" w:lineRule="auto"/>
        <w:rPr>
          <w:rFonts w:ascii="Times New Roman" w:hAnsi="Times New Roman" w:cs="Times New Roman"/>
          <w:bCs/>
          <w:sz w:val="24"/>
          <w:szCs w:val="24"/>
        </w:rPr>
      </w:pPr>
    </w:p>
    <w:p w14:paraId="1ADF342C" w14:textId="5A572F16" w:rsidR="00F26C8F" w:rsidRPr="007231BD" w:rsidRDefault="007231BD" w:rsidP="00F26C8F">
      <w:pPr>
        <w:spacing w:after="0" w:line="480" w:lineRule="auto"/>
        <w:rPr>
          <w:rFonts w:ascii="Times New Roman" w:hAnsi="Times New Roman" w:cs="Times New Roman"/>
          <w:b/>
          <w:sz w:val="24"/>
          <w:szCs w:val="24"/>
        </w:rPr>
      </w:pPr>
      <w:r w:rsidRPr="007231BD">
        <w:rPr>
          <w:rFonts w:ascii="Times New Roman" w:hAnsi="Times New Roman" w:cs="Times New Roman"/>
          <w:b/>
          <w:sz w:val="24"/>
          <w:szCs w:val="24"/>
        </w:rPr>
        <w:t xml:space="preserve">Supplementary </w:t>
      </w:r>
      <w:r w:rsidR="00BC669F" w:rsidRPr="007231BD">
        <w:rPr>
          <w:rFonts w:ascii="Times New Roman" w:hAnsi="Times New Roman" w:cs="Times New Roman"/>
          <w:b/>
          <w:sz w:val="24"/>
          <w:szCs w:val="24"/>
        </w:rPr>
        <w:t xml:space="preserve">Table 1. </w:t>
      </w:r>
      <w:r w:rsidR="00F26C8F" w:rsidRPr="007231BD">
        <w:rPr>
          <w:rFonts w:ascii="Times New Roman" w:hAnsi="Times New Roman" w:cs="Times New Roman"/>
          <w:b/>
          <w:sz w:val="24"/>
          <w:szCs w:val="24"/>
        </w:rPr>
        <w:t>Comparison of various characteristics between the Polyneuropathy (n=29) and no Polyneuropathy (n=3) group</w:t>
      </w:r>
    </w:p>
    <w:tbl>
      <w:tblPr>
        <w:tblStyle w:val="TableGrid"/>
        <w:tblW w:w="0" w:type="auto"/>
        <w:tblLayout w:type="fixed"/>
        <w:tblLook w:val="04A0" w:firstRow="1" w:lastRow="0" w:firstColumn="1" w:lastColumn="0" w:noHBand="0" w:noVBand="1"/>
      </w:tblPr>
      <w:tblGrid>
        <w:gridCol w:w="3794"/>
        <w:gridCol w:w="2268"/>
        <w:gridCol w:w="2268"/>
        <w:gridCol w:w="912"/>
      </w:tblGrid>
      <w:tr w:rsidR="007231BD" w:rsidRPr="007231BD" w14:paraId="30DA784F" w14:textId="77777777" w:rsidTr="00832A2E">
        <w:tc>
          <w:tcPr>
            <w:tcW w:w="3794" w:type="dxa"/>
          </w:tcPr>
          <w:p w14:paraId="7FE12DBC" w14:textId="77777777" w:rsidR="00F26C8F" w:rsidRPr="007231BD" w:rsidRDefault="00F26C8F" w:rsidP="00044081">
            <w:pPr>
              <w:spacing w:before="40" w:line="480" w:lineRule="auto"/>
              <w:rPr>
                <w:rFonts w:ascii="Times New Roman" w:hAnsi="Times New Roman" w:cs="Times New Roman"/>
                <w:b/>
                <w:sz w:val="24"/>
                <w:szCs w:val="24"/>
              </w:rPr>
            </w:pPr>
            <w:r w:rsidRPr="007231BD">
              <w:rPr>
                <w:rFonts w:ascii="Times New Roman" w:hAnsi="Times New Roman" w:cs="Times New Roman"/>
                <w:b/>
                <w:sz w:val="24"/>
                <w:szCs w:val="24"/>
              </w:rPr>
              <w:t>Characteristics, n=32</w:t>
            </w:r>
          </w:p>
        </w:tc>
        <w:tc>
          <w:tcPr>
            <w:tcW w:w="2268" w:type="dxa"/>
          </w:tcPr>
          <w:p w14:paraId="7CA47683" w14:textId="1273AF7F" w:rsidR="00F26C8F" w:rsidRPr="007231BD" w:rsidRDefault="00F26C8F" w:rsidP="00044081">
            <w:pPr>
              <w:spacing w:before="40" w:after="40" w:line="480" w:lineRule="auto"/>
              <w:jc w:val="center"/>
              <w:rPr>
                <w:rFonts w:ascii="Times New Roman" w:hAnsi="Times New Roman" w:cs="Times New Roman"/>
                <w:b/>
                <w:sz w:val="24"/>
                <w:szCs w:val="24"/>
              </w:rPr>
            </w:pPr>
            <w:r w:rsidRPr="007231BD">
              <w:rPr>
                <w:rFonts w:ascii="Times New Roman" w:hAnsi="Times New Roman" w:cs="Times New Roman"/>
                <w:b/>
                <w:sz w:val="24"/>
                <w:szCs w:val="24"/>
              </w:rPr>
              <w:t>No Polyneuropathy n=3</w:t>
            </w:r>
          </w:p>
        </w:tc>
        <w:tc>
          <w:tcPr>
            <w:tcW w:w="2268" w:type="dxa"/>
          </w:tcPr>
          <w:p w14:paraId="4C636B1D" w14:textId="46EA5ED7" w:rsidR="00F26C8F" w:rsidRPr="007231BD" w:rsidRDefault="00F26C8F" w:rsidP="00044081">
            <w:pPr>
              <w:spacing w:before="40" w:after="40" w:line="480" w:lineRule="auto"/>
              <w:jc w:val="center"/>
              <w:rPr>
                <w:rFonts w:ascii="Times New Roman" w:hAnsi="Times New Roman" w:cs="Times New Roman"/>
                <w:b/>
                <w:sz w:val="24"/>
                <w:szCs w:val="24"/>
              </w:rPr>
            </w:pPr>
            <w:r w:rsidRPr="007231BD">
              <w:rPr>
                <w:rFonts w:ascii="Times New Roman" w:hAnsi="Times New Roman" w:cs="Times New Roman"/>
                <w:b/>
                <w:sz w:val="24"/>
                <w:szCs w:val="24"/>
              </w:rPr>
              <w:t>Polyneuropathy</w:t>
            </w:r>
            <w:r w:rsidR="00832A2E" w:rsidRPr="007231BD">
              <w:rPr>
                <w:rFonts w:ascii="Times New Roman" w:hAnsi="Times New Roman" w:cs="Times New Roman"/>
                <w:b/>
                <w:sz w:val="24"/>
                <w:szCs w:val="24"/>
              </w:rPr>
              <w:t xml:space="preserve"> </w:t>
            </w:r>
            <w:r w:rsidRPr="007231BD">
              <w:rPr>
                <w:rFonts w:ascii="Times New Roman" w:hAnsi="Times New Roman" w:cs="Times New Roman"/>
                <w:b/>
                <w:sz w:val="24"/>
                <w:szCs w:val="24"/>
              </w:rPr>
              <w:t>n=29</w:t>
            </w:r>
          </w:p>
        </w:tc>
        <w:tc>
          <w:tcPr>
            <w:tcW w:w="912" w:type="dxa"/>
          </w:tcPr>
          <w:p w14:paraId="1D110430" w14:textId="77777777" w:rsidR="00F26C8F" w:rsidRPr="007231BD" w:rsidRDefault="00F26C8F" w:rsidP="00044081">
            <w:pPr>
              <w:spacing w:before="40" w:after="40" w:line="480" w:lineRule="auto"/>
              <w:jc w:val="center"/>
              <w:rPr>
                <w:rFonts w:ascii="Times New Roman" w:hAnsi="Times New Roman" w:cs="Times New Roman"/>
                <w:b/>
                <w:sz w:val="24"/>
                <w:szCs w:val="24"/>
              </w:rPr>
            </w:pPr>
            <w:r w:rsidRPr="007231BD">
              <w:rPr>
                <w:rFonts w:ascii="Times New Roman" w:hAnsi="Times New Roman" w:cs="Times New Roman"/>
                <w:b/>
                <w:sz w:val="24"/>
                <w:szCs w:val="24"/>
              </w:rPr>
              <w:t>P Value</w:t>
            </w:r>
          </w:p>
        </w:tc>
      </w:tr>
      <w:tr w:rsidR="007231BD" w:rsidRPr="007231BD" w14:paraId="01C83CF5" w14:textId="77777777" w:rsidTr="00832A2E">
        <w:tc>
          <w:tcPr>
            <w:tcW w:w="3794" w:type="dxa"/>
          </w:tcPr>
          <w:p w14:paraId="4846447E" w14:textId="77777777"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Age (months), median (IQR)</w:t>
            </w:r>
          </w:p>
        </w:tc>
        <w:tc>
          <w:tcPr>
            <w:tcW w:w="2268" w:type="dxa"/>
          </w:tcPr>
          <w:p w14:paraId="06AD0D22" w14:textId="2873BCA2" w:rsidR="00F26C8F" w:rsidRPr="007231BD" w:rsidRDefault="00F26C8F" w:rsidP="00F35B6C">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84 (74-84)</w:t>
            </w:r>
          </w:p>
        </w:tc>
        <w:tc>
          <w:tcPr>
            <w:tcW w:w="2268" w:type="dxa"/>
          </w:tcPr>
          <w:p w14:paraId="49379F70" w14:textId="7B184F3E" w:rsidR="00F26C8F" w:rsidRPr="007231BD" w:rsidRDefault="00F26C8F" w:rsidP="00F35B6C">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84 (38-132)</w:t>
            </w:r>
          </w:p>
        </w:tc>
        <w:tc>
          <w:tcPr>
            <w:tcW w:w="912" w:type="dxa"/>
          </w:tcPr>
          <w:p w14:paraId="06F1B563" w14:textId="6EA4E6CC" w:rsidR="00F26C8F" w:rsidRPr="007231BD" w:rsidRDefault="00F26C8F" w:rsidP="00F35B6C">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0.974</w:t>
            </w:r>
          </w:p>
        </w:tc>
      </w:tr>
      <w:tr w:rsidR="007231BD" w:rsidRPr="007231BD" w14:paraId="3ACBCCE5" w14:textId="77777777" w:rsidTr="00832A2E">
        <w:tc>
          <w:tcPr>
            <w:tcW w:w="3794" w:type="dxa"/>
          </w:tcPr>
          <w:p w14:paraId="79D73A00" w14:textId="77777777"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Male, n (%)</w:t>
            </w:r>
          </w:p>
        </w:tc>
        <w:tc>
          <w:tcPr>
            <w:tcW w:w="2268" w:type="dxa"/>
          </w:tcPr>
          <w:p w14:paraId="50D8F847"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 (66.7%)</w:t>
            </w:r>
          </w:p>
        </w:tc>
        <w:tc>
          <w:tcPr>
            <w:tcW w:w="2268" w:type="dxa"/>
          </w:tcPr>
          <w:p w14:paraId="2EB9AA50"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21 (72.4%)</w:t>
            </w:r>
          </w:p>
        </w:tc>
        <w:tc>
          <w:tcPr>
            <w:tcW w:w="912" w:type="dxa"/>
          </w:tcPr>
          <w:p w14:paraId="23C795D5"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1.000</w:t>
            </w:r>
          </w:p>
        </w:tc>
      </w:tr>
      <w:tr w:rsidR="007231BD" w:rsidRPr="007231BD" w14:paraId="4E7C4F82" w14:textId="77777777" w:rsidTr="00832A2E">
        <w:tc>
          <w:tcPr>
            <w:tcW w:w="3794" w:type="dxa"/>
          </w:tcPr>
          <w:p w14:paraId="37802FBB" w14:textId="6699E331"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PIM 2 predicted mortality (%)</w:t>
            </w:r>
            <w:r w:rsidR="00832A2E" w:rsidRPr="007231BD">
              <w:rPr>
                <w:rFonts w:ascii="Times New Roman" w:hAnsi="Times New Roman" w:cs="Times New Roman"/>
                <w:sz w:val="24"/>
                <w:szCs w:val="24"/>
              </w:rPr>
              <w:t>, median (IQR)</w:t>
            </w:r>
          </w:p>
        </w:tc>
        <w:tc>
          <w:tcPr>
            <w:tcW w:w="2268" w:type="dxa"/>
          </w:tcPr>
          <w:p w14:paraId="4BB3D7CC"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4.9 (4.7-9.4)</w:t>
            </w:r>
          </w:p>
        </w:tc>
        <w:tc>
          <w:tcPr>
            <w:tcW w:w="2268" w:type="dxa"/>
          </w:tcPr>
          <w:p w14:paraId="0D0F6FB3" w14:textId="473701E4" w:rsidR="00F26C8F" w:rsidRPr="007231BD" w:rsidRDefault="00F26C8F" w:rsidP="00F35B6C">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5.1 (3.6-7.8)</w:t>
            </w:r>
          </w:p>
        </w:tc>
        <w:tc>
          <w:tcPr>
            <w:tcW w:w="912" w:type="dxa"/>
          </w:tcPr>
          <w:p w14:paraId="243CE079"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0.698</w:t>
            </w:r>
          </w:p>
        </w:tc>
      </w:tr>
      <w:tr w:rsidR="007231BD" w:rsidRPr="007231BD" w14:paraId="087E5CC0" w14:textId="77777777" w:rsidTr="00832A2E">
        <w:tc>
          <w:tcPr>
            <w:tcW w:w="3794" w:type="dxa"/>
          </w:tcPr>
          <w:p w14:paraId="195665FB" w14:textId="24506351" w:rsidR="00F26C8F" w:rsidRPr="007231BD" w:rsidRDefault="00F26C8F" w:rsidP="00F35B6C">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WAZ, median (IQR)</w:t>
            </w:r>
          </w:p>
          <w:p w14:paraId="7D405BBA" w14:textId="3AFEEBF3" w:rsidR="00F26C8F" w:rsidRPr="007231BD" w:rsidRDefault="00F26C8F" w:rsidP="00F35B6C">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LAZ</w:t>
            </w:r>
          </w:p>
          <w:p w14:paraId="290BE436" w14:textId="77777777"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BAZ</w:t>
            </w:r>
          </w:p>
        </w:tc>
        <w:tc>
          <w:tcPr>
            <w:tcW w:w="2268" w:type="dxa"/>
          </w:tcPr>
          <w:p w14:paraId="2672A17F" w14:textId="6A6F269E"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-1.96 (-4.81 to</w:t>
            </w:r>
            <w:r w:rsidR="00F35B6C" w:rsidRPr="007231BD">
              <w:rPr>
                <w:rFonts w:ascii="Times New Roman" w:hAnsi="Times New Roman" w:cs="Times New Roman"/>
                <w:sz w:val="24"/>
                <w:szCs w:val="24"/>
              </w:rPr>
              <w:t xml:space="preserve"> </w:t>
            </w:r>
            <w:r w:rsidRPr="007231BD">
              <w:rPr>
                <w:rFonts w:ascii="Times New Roman" w:hAnsi="Times New Roman" w:cs="Times New Roman"/>
                <w:sz w:val="24"/>
                <w:szCs w:val="24"/>
              </w:rPr>
              <w:t>-1.01)</w:t>
            </w:r>
          </w:p>
          <w:p w14:paraId="1BE5E9BA" w14:textId="60AE94BA"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0.24 (-1.69 to 0.41)</w:t>
            </w:r>
          </w:p>
          <w:p w14:paraId="7B3AE99D" w14:textId="6107D0AE" w:rsidR="00F26C8F" w:rsidRPr="007231BD" w:rsidRDefault="00F26C8F" w:rsidP="00F35B6C">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-1.93 (-7.88 to</w:t>
            </w:r>
            <w:r w:rsidR="00F35B6C" w:rsidRPr="007231BD">
              <w:rPr>
                <w:rFonts w:ascii="Times New Roman" w:hAnsi="Times New Roman" w:cs="Times New Roman"/>
                <w:sz w:val="24"/>
                <w:szCs w:val="24"/>
              </w:rPr>
              <w:t xml:space="preserve"> </w:t>
            </w:r>
            <w:r w:rsidRPr="007231BD">
              <w:rPr>
                <w:rFonts w:ascii="Times New Roman" w:hAnsi="Times New Roman" w:cs="Times New Roman"/>
                <w:sz w:val="24"/>
                <w:szCs w:val="24"/>
              </w:rPr>
              <w:t>-1.3)</w:t>
            </w:r>
          </w:p>
        </w:tc>
        <w:tc>
          <w:tcPr>
            <w:tcW w:w="2268" w:type="dxa"/>
          </w:tcPr>
          <w:p w14:paraId="77CDC75F" w14:textId="248CA06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-1.42 (-2.87 to 0.05)</w:t>
            </w:r>
          </w:p>
          <w:p w14:paraId="74742905" w14:textId="28971E1C"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-1.09 (-2.41 to</w:t>
            </w:r>
            <w:r w:rsidR="00F35B6C" w:rsidRPr="007231BD">
              <w:rPr>
                <w:rFonts w:ascii="Times New Roman" w:hAnsi="Times New Roman" w:cs="Times New Roman"/>
                <w:sz w:val="24"/>
                <w:szCs w:val="24"/>
              </w:rPr>
              <w:t xml:space="preserve"> </w:t>
            </w:r>
            <w:r w:rsidRPr="007231BD">
              <w:rPr>
                <w:rFonts w:ascii="Times New Roman" w:hAnsi="Times New Roman" w:cs="Times New Roman"/>
                <w:sz w:val="24"/>
                <w:szCs w:val="24"/>
              </w:rPr>
              <w:t>-0.1)</w:t>
            </w:r>
          </w:p>
          <w:p w14:paraId="41562A87" w14:textId="48240229" w:rsidR="00F26C8F" w:rsidRPr="007231BD" w:rsidRDefault="00F26C8F" w:rsidP="00F35B6C">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-1.07 (-2.6 to</w:t>
            </w:r>
            <w:r w:rsidR="00F35B6C" w:rsidRPr="007231BD">
              <w:rPr>
                <w:rFonts w:ascii="Times New Roman" w:hAnsi="Times New Roman" w:cs="Times New Roman"/>
                <w:sz w:val="24"/>
                <w:szCs w:val="24"/>
              </w:rPr>
              <w:t xml:space="preserve"> </w:t>
            </w:r>
            <w:r w:rsidRPr="007231BD">
              <w:rPr>
                <w:rFonts w:ascii="Times New Roman" w:hAnsi="Times New Roman" w:cs="Times New Roman"/>
                <w:sz w:val="24"/>
                <w:szCs w:val="24"/>
              </w:rPr>
              <w:t>-0.35)</w:t>
            </w:r>
          </w:p>
        </w:tc>
        <w:tc>
          <w:tcPr>
            <w:tcW w:w="912" w:type="dxa"/>
          </w:tcPr>
          <w:p w14:paraId="1E47141D" w14:textId="586F3885" w:rsidR="00F26C8F" w:rsidRPr="007231BD" w:rsidRDefault="00F26C8F" w:rsidP="00F35B6C">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0.315</w:t>
            </w:r>
          </w:p>
          <w:p w14:paraId="250C2415" w14:textId="3DD81FA2" w:rsidR="00F26C8F" w:rsidRPr="007231BD" w:rsidRDefault="00F26C8F" w:rsidP="00F35B6C">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0.286</w:t>
            </w:r>
          </w:p>
          <w:p w14:paraId="33E58DD1" w14:textId="2742511C" w:rsidR="00F26C8F" w:rsidRPr="007231BD" w:rsidRDefault="00F26C8F" w:rsidP="00F35B6C">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0.232</w:t>
            </w:r>
          </w:p>
        </w:tc>
      </w:tr>
      <w:tr w:rsidR="007231BD" w:rsidRPr="007231BD" w14:paraId="7A989F0E" w14:textId="77777777" w:rsidTr="00832A2E">
        <w:tc>
          <w:tcPr>
            <w:tcW w:w="3794" w:type="dxa"/>
          </w:tcPr>
          <w:p w14:paraId="72B8F2B6" w14:textId="77777777"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Diagnosis; n (%)</w:t>
            </w:r>
          </w:p>
          <w:p w14:paraId="3C441C77" w14:textId="77777777" w:rsidR="00F26C8F" w:rsidRPr="007231BD" w:rsidRDefault="00F26C8F" w:rsidP="00044081">
            <w:pPr>
              <w:spacing w:before="40" w:after="40" w:line="480" w:lineRule="auto"/>
              <w:ind w:left="720"/>
              <w:rPr>
                <w:rFonts w:ascii="Times New Roman" w:hAnsi="Times New Roman" w:cs="Times New Roman"/>
                <w:sz w:val="24"/>
                <w:szCs w:val="24"/>
              </w:rPr>
            </w:pPr>
            <w:r w:rsidRPr="007231BD">
              <w:rPr>
                <w:rFonts w:ascii="Times New Roman" w:hAnsi="Times New Roman" w:cs="Times New Roman"/>
                <w:sz w:val="24"/>
                <w:szCs w:val="24"/>
              </w:rPr>
              <w:t>Respiratory</w:t>
            </w:r>
          </w:p>
          <w:p w14:paraId="1C04CDE2" w14:textId="77777777" w:rsidR="00F26C8F" w:rsidRPr="007231BD" w:rsidRDefault="00F26C8F" w:rsidP="00044081">
            <w:pPr>
              <w:spacing w:before="40" w:after="40" w:line="480" w:lineRule="auto"/>
              <w:ind w:left="720"/>
              <w:rPr>
                <w:rFonts w:ascii="Times New Roman" w:hAnsi="Times New Roman" w:cs="Times New Roman"/>
                <w:sz w:val="24"/>
                <w:szCs w:val="24"/>
              </w:rPr>
            </w:pPr>
            <w:r w:rsidRPr="007231BD">
              <w:rPr>
                <w:rFonts w:ascii="Times New Roman" w:hAnsi="Times New Roman" w:cs="Times New Roman"/>
                <w:sz w:val="24"/>
                <w:szCs w:val="24"/>
              </w:rPr>
              <w:t>Cardiovascular</w:t>
            </w:r>
          </w:p>
          <w:p w14:paraId="7F5B29F8" w14:textId="77777777" w:rsidR="00F26C8F" w:rsidRPr="007231BD" w:rsidRDefault="00F26C8F" w:rsidP="00044081">
            <w:pPr>
              <w:spacing w:before="40" w:after="40" w:line="480" w:lineRule="auto"/>
              <w:ind w:left="720"/>
              <w:rPr>
                <w:rFonts w:ascii="Times New Roman" w:hAnsi="Times New Roman" w:cs="Times New Roman"/>
                <w:sz w:val="24"/>
                <w:szCs w:val="24"/>
              </w:rPr>
            </w:pPr>
            <w:r w:rsidRPr="007231BD">
              <w:rPr>
                <w:rFonts w:ascii="Times New Roman" w:hAnsi="Times New Roman" w:cs="Times New Roman"/>
                <w:sz w:val="24"/>
                <w:szCs w:val="24"/>
              </w:rPr>
              <w:t>Gastrointestinal</w:t>
            </w:r>
          </w:p>
          <w:p w14:paraId="67660B3F" w14:textId="77777777" w:rsidR="00F26C8F" w:rsidRPr="007231BD" w:rsidRDefault="00F26C8F" w:rsidP="00044081">
            <w:pPr>
              <w:spacing w:before="40" w:after="40" w:line="480" w:lineRule="auto"/>
              <w:ind w:left="720"/>
              <w:rPr>
                <w:rFonts w:ascii="Times New Roman" w:hAnsi="Times New Roman" w:cs="Times New Roman"/>
                <w:sz w:val="24"/>
                <w:szCs w:val="24"/>
              </w:rPr>
            </w:pPr>
            <w:r w:rsidRPr="007231BD">
              <w:rPr>
                <w:rFonts w:ascii="Times New Roman" w:hAnsi="Times New Roman" w:cs="Times New Roman"/>
                <w:sz w:val="24"/>
                <w:szCs w:val="24"/>
              </w:rPr>
              <w:t>Renal</w:t>
            </w:r>
          </w:p>
          <w:p w14:paraId="50CA6F57" w14:textId="77777777" w:rsidR="00F26C8F" w:rsidRPr="007231BD" w:rsidRDefault="00F26C8F" w:rsidP="00044081">
            <w:pPr>
              <w:spacing w:before="40" w:after="40" w:line="480" w:lineRule="auto"/>
              <w:ind w:left="720"/>
              <w:rPr>
                <w:rFonts w:ascii="Times New Roman" w:hAnsi="Times New Roman" w:cs="Times New Roman"/>
                <w:sz w:val="24"/>
                <w:szCs w:val="24"/>
              </w:rPr>
            </w:pPr>
            <w:r w:rsidRPr="007231BD">
              <w:rPr>
                <w:rFonts w:ascii="Times New Roman" w:hAnsi="Times New Roman" w:cs="Times New Roman"/>
                <w:sz w:val="24"/>
                <w:szCs w:val="24"/>
              </w:rPr>
              <w:t>Nervous system</w:t>
            </w:r>
          </w:p>
          <w:p w14:paraId="011E3553" w14:textId="77777777" w:rsidR="00F26C8F" w:rsidRPr="007231BD" w:rsidRDefault="00F26C8F" w:rsidP="00044081">
            <w:pPr>
              <w:spacing w:before="40" w:after="40" w:line="480" w:lineRule="auto"/>
              <w:ind w:left="720"/>
              <w:rPr>
                <w:rFonts w:ascii="Times New Roman" w:hAnsi="Times New Roman" w:cs="Times New Roman"/>
                <w:sz w:val="24"/>
                <w:szCs w:val="24"/>
              </w:rPr>
            </w:pPr>
            <w:r w:rsidRPr="007231BD">
              <w:rPr>
                <w:rFonts w:ascii="Times New Roman" w:hAnsi="Times New Roman" w:cs="Times New Roman"/>
                <w:sz w:val="24"/>
                <w:szCs w:val="24"/>
              </w:rPr>
              <w:lastRenderedPageBreak/>
              <w:t>Other</w:t>
            </w:r>
          </w:p>
        </w:tc>
        <w:tc>
          <w:tcPr>
            <w:tcW w:w="2268" w:type="dxa"/>
          </w:tcPr>
          <w:p w14:paraId="7EF06706" w14:textId="77777777" w:rsidR="00F26C8F" w:rsidRPr="007231BD" w:rsidRDefault="00F26C8F" w:rsidP="00044081">
            <w:pPr>
              <w:keepNext/>
              <w:keepLines/>
              <w:spacing w:before="40" w:after="40" w:line="480" w:lineRule="auto"/>
              <w:jc w:val="center"/>
              <w:outlineLvl w:val="0"/>
              <w:rPr>
                <w:rFonts w:ascii="Times New Roman" w:hAnsi="Times New Roman" w:cs="Times New Roman"/>
                <w:sz w:val="24"/>
                <w:szCs w:val="24"/>
              </w:rPr>
            </w:pPr>
          </w:p>
          <w:p w14:paraId="67AD4205"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 (33.3%)</w:t>
            </w:r>
          </w:p>
          <w:p w14:paraId="7CCAB452"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w:t>
            </w:r>
          </w:p>
          <w:p w14:paraId="0774AD52"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 (33.3%)</w:t>
            </w:r>
          </w:p>
          <w:p w14:paraId="2229DC43"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w:t>
            </w:r>
          </w:p>
          <w:p w14:paraId="3AF3B608"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w:t>
            </w:r>
          </w:p>
          <w:p w14:paraId="329B1385"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lastRenderedPageBreak/>
              <w:t>1 (33.3%)</w:t>
            </w:r>
          </w:p>
        </w:tc>
        <w:tc>
          <w:tcPr>
            <w:tcW w:w="2268" w:type="dxa"/>
          </w:tcPr>
          <w:p w14:paraId="02489B27" w14:textId="77777777" w:rsidR="00F26C8F" w:rsidRPr="007231BD" w:rsidRDefault="00F26C8F" w:rsidP="00044081">
            <w:pPr>
              <w:keepNext/>
              <w:keepLines/>
              <w:spacing w:before="40" w:after="40" w:line="480" w:lineRule="auto"/>
              <w:jc w:val="center"/>
              <w:outlineLvl w:val="0"/>
              <w:rPr>
                <w:rFonts w:ascii="Times New Roman" w:hAnsi="Times New Roman" w:cs="Times New Roman"/>
                <w:sz w:val="24"/>
                <w:szCs w:val="24"/>
              </w:rPr>
            </w:pPr>
          </w:p>
          <w:p w14:paraId="3674E5BC"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 (6.9%)</w:t>
            </w:r>
          </w:p>
          <w:p w14:paraId="3D9E2A7A"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5 (17.2%)</w:t>
            </w:r>
          </w:p>
          <w:p w14:paraId="77D0583E"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4 (13.8%)</w:t>
            </w:r>
          </w:p>
          <w:p w14:paraId="0ED63F22"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7 (24.1%)</w:t>
            </w:r>
          </w:p>
          <w:p w14:paraId="4C40B186"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5 (17.2%)</w:t>
            </w:r>
          </w:p>
          <w:p w14:paraId="68E74808"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lastRenderedPageBreak/>
              <w:t>6 (20.7%)</w:t>
            </w:r>
          </w:p>
        </w:tc>
        <w:tc>
          <w:tcPr>
            <w:tcW w:w="912" w:type="dxa"/>
          </w:tcPr>
          <w:p w14:paraId="0BC33965"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lastRenderedPageBreak/>
              <w:t>0.526</w:t>
            </w:r>
          </w:p>
          <w:p w14:paraId="5B7D8D0A" w14:textId="77777777" w:rsidR="00F26C8F" w:rsidRPr="007231BD" w:rsidRDefault="00F26C8F" w:rsidP="00044081">
            <w:pPr>
              <w:keepNext/>
              <w:keepLines/>
              <w:spacing w:before="40" w:after="40" w:line="480" w:lineRule="auto"/>
              <w:jc w:val="center"/>
              <w:outlineLvl w:val="0"/>
              <w:rPr>
                <w:rFonts w:ascii="Times New Roman" w:hAnsi="Times New Roman" w:cs="Times New Roman"/>
                <w:sz w:val="24"/>
                <w:szCs w:val="24"/>
              </w:rPr>
            </w:pPr>
          </w:p>
        </w:tc>
      </w:tr>
      <w:tr w:rsidR="007231BD" w:rsidRPr="007231BD" w14:paraId="391EF3CA" w14:textId="77777777" w:rsidTr="00832A2E">
        <w:tc>
          <w:tcPr>
            <w:tcW w:w="3794" w:type="dxa"/>
          </w:tcPr>
          <w:p w14:paraId="4C1AE7E7" w14:textId="77777777"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SIRS, n (%)</w:t>
            </w:r>
          </w:p>
        </w:tc>
        <w:tc>
          <w:tcPr>
            <w:tcW w:w="2268" w:type="dxa"/>
          </w:tcPr>
          <w:p w14:paraId="3F3F60A9"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 (66.7%)</w:t>
            </w:r>
          </w:p>
        </w:tc>
        <w:tc>
          <w:tcPr>
            <w:tcW w:w="2268" w:type="dxa"/>
          </w:tcPr>
          <w:p w14:paraId="7D6C01C4"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29 (100%)</w:t>
            </w:r>
          </w:p>
        </w:tc>
        <w:tc>
          <w:tcPr>
            <w:tcW w:w="912" w:type="dxa"/>
          </w:tcPr>
          <w:p w14:paraId="338CBC42"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0.094</w:t>
            </w:r>
          </w:p>
        </w:tc>
      </w:tr>
      <w:tr w:rsidR="007231BD" w:rsidRPr="007231BD" w14:paraId="10311AE5" w14:textId="77777777" w:rsidTr="00832A2E">
        <w:tc>
          <w:tcPr>
            <w:tcW w:w="3794" w:type="dxa"/>
          </w:tcPr>
          <w:p w14:paraId="737B4E9E" w14:textId="77777777"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Sepsis, n (%)</w:t>
            </w:r>
          </w:p>
        </w:tc>
        <w:tc>
          <w:tcPr>
            <w:tcW w:w="2268" w:type="dxa"/>
          </w:tcPr>
          <w:p w14:paraId="5C83F31D"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 (66.7%)</w:t>
            </w:r>
          </w:p>
        </w:tc>
        <w:tc>
          <w:tcPr>
            <w:tcW w:w="2268" w:type="dxa"/>
          </w:tcPr>
          <w:p w14:paraId="4D129925"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29 (100%)</w:t>
            </w:r>
          </w:p>
        </w:tc>
        <w:tc>
          <w:tcPr>
            <w:tcW w:w="912" w:type="dxa"/>
          </w:tcPr>
          <w:p w14:paraId="5D89F2B6"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0.094</w:t>
            </w:r>
          </w:p>
        </w:tc>
      </w:tr>
      <w:tr w:rsidR="007231BD" w:rsidRPr="007231BD" w14:paraId="601F4530" w14:textId="77777777" w:rsidTr="00832A2E">
        <w:tc>
          <w:tcPr>
            <w:tcW w:w="3794" w:type="dxa"/>
          </w:tcPr>
          <w:p w14:paraId="46E17073" w14:textId="77777777"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MODS, n (%)</w:t>
            </w:r>
          </w:p>
          <w:p w14:paraId="51A3BA87" w14:textId="77777777" w:rsidR="00F26C8F" w:rsidRPr="007231BD" w:rsidRDefault="00F26C8F" w:rsidP="00044081">
            <w:pPr>
              <w:spacing w:before="40" w:after="40" w:line="480" w:lineRule="auto"/>
              <w:rPr>
                <w:rFonts w:ascii="Times New Roman" w:hAnsi="Times New Roman" w:cs="Times New Roman"/>
                <w:bCs/>
                <w:sz w:val="24"/>
                <w:szCs w:val="24"/>
              </w:rPr>
            </w:pPr>
            <w:r w:rsidRPr="007231BD">
              <w:rPr>
                <w:rFonts w:ascii="Times New Roman" w:hAnsi="Times New Roman" w:cs="Times New Roman"/>
                <w:bCs/>
                <w:sz w:val="24"/>
                <w:szCs w:val="24"/>
              </w:rPr>
              <w:t>Organ dysfunction,</w:t>
            </w:r>
            <w:r w:rsidRPr="007231BD">
              <w:rPr>
                <w:rFonts w:ascii="Times New Roman" w:hAnsi="Times New Roman" w:cs="Times New Roman"/>
                <w:sz w:val="24"/>
                <w:szCs w:val="24"/>
              </w:rPr>
              <w:t xml:space="preserve"> n (%)</w:t>
            </w:r>
          </w:p>
          <w:p w14:paraId="1137A337" w14:textId="77777777" w:rsidR="00F26C8F" w:rsidRPr="007231BD" w:rsidRDefault="00F26C8F" w:rsidP="00044081">
            <w:pPr>
              <w:spacing w:before="40" w:after="40" w:line="480" w:lineRule="auto"/>
              <w:ind w:left="720"/>
              <w:rPr>
                <w:rFonts w:ascii="Times New Roman" w:hAnsi="Times New Roman" w:cs="Times New Roman"/>
                <w:sz w:val="24"/>
                <w:szCs w:val="24"/>
              </w:rPr>
            </w:pPr>
            <w:r w:rsidRPr="007231BD">
              <w:rPr>
                <w:rFonts w:ascii="Times New Roman" w:hAnsi="Times New Roman" w:cs="Times New Roman"/>
                <w:sz w:val="24"/>
                <w:szCs w:val="24"/>
              </w:rPr>
              <w:t>Respiratory</w:t>
            </w:r>
          </w:p>
          <w:p w14:paraId="1E7D241D" w14:textId="77777777" w:rsidR="00F26C8F" w:rsidRPr="007231BD" w:rsidRDefault="00F26C8F" w:rsidP="00044081">
            <w:pPr>
              <w:spacing w:before="40" w:after="40" w:line="480" w:lineRule="auto"/>
              <w:ind w:left="720"/>
              <w:rPr>
                <w:rFonts w:ascii="Times New Roman" w:hAnsi="Times New Roman" w:cs="Times New Roman"/>
                <w:sz w:val="24"/>
                <w:szCs w:val="24"/>
              </w:rPr>
            </w:pPr>
            <w:r w:rsidRPr="007231BD">
              <w:rPr>
                <w:rFonts w:ascii="Times New Roman" w:hAnsi="Times New Roman" w:cs="Times New Roman"/>
                <w:sz w:val="24"/>
                <w:szCs w:val="24"/>
              </w:rPr>
              <w:t>Cardiovascular</w:t>
            </w:r>
          </w:p>
          <w:p w14:paraId="41DF29AD" w14:textId="77777777" w:rsidR="00F26C8F" w:rsidRPr="007231BD" w:rsidRDefault="00F26C8F" w:rsidP="00044081">
            <w:pPr>
              <w:spacing w:before="40" w:after="40" w:line="480" w:lineRule="auto"/>
              <w:ind w:left="720"/>
              <w:rPr>
                <w:rFonts w:ascii="Times New Roman" w:hAnsi="Times New Roman" w:cs="Times New Roman"/>
                <w:sz w:val="24"/>
                <w:szCs w:val="24"/>
              </w:rPr>
            </w:pPr>
            <w:r w:rsidRPr="007231BD">
              <w:rPr>
                <w:rFonts w:ascii="Times New Roman" w:hAnsi="Times New Roman" w:cs="Times New Roman"/>
                <w:sz w:val="24"/>
                <w:szCs w:val="24"/>
              </w:rPr>
              <w:t>Neurological</w:t>
            </w:r>
          </w:p>
          <w:p w14:paraId="294EB415" w14:textId="77777777" w:rsidR="00F26C8F" w:rsidRPr="007231BD" w:rsidRDefault="00F26C8F" w:rsidP="00044081">
            <w:pPr>
              <w:spacing w:before="40" w:after="40" w:line="480" w:lineRule="auto"/>
              <w:ind w:left="720"/>
              <w:rPr>
                <w:rFonts w:ascii="Times New Roman" w:hAnsi="Times New Roman" w:cs="Times New Roman"/>
                <w:sz w:val="24"/>
                <w:szCs w:val="24"/>
              </w:rPr>
            </w:pPr>
            <w:proofErr w:type="spellStart"/>
            <w:r w:rsidRPr="007231BD">
              <w:rPr>
                <w:rFonts w:ascii="Times New Roman" w:hAnsi="Times New Roman" w:cs="Times New Roman"/>
                <w:sz w:val="24"/>
                <w:szCs w:val="24"/>
              </w:rPr>
              <w:t>Hematological</w:t>
            </w:r>
            <w:proofErr w:type="spellEnd"/>
          </w:p>
          <w:p w14:paraId="4B5F4220" w14:textId="77777777" w:rsidR="00F26C8F" w:rsidRPr="007231BD" w:rsidRDefault="00F26C8F" w:rsidP="00044081">
            <w:pPr>
              <w:spacing w:before="40" w:after="40" w:line="480" w:lineRule="auto"/>
              <w:ind w:left="720"/>
              <w:rPr>
                <w:rFonts w:ascii="Times New Roman" w:hAnsi="Times New Roman" w:cs="Times New Roman"/>
                <w:sz w:val="24"/>
                <w:szCs w:val="24"/>
              </w:rPr>
            </w:pPr>
            <w:r w:rsidRPr="007231BD">
              <w:rPr>
                <w:rFonts w:ascii="Times New Roman" w:hAnsi="Times New Roman" w:cs="Times New Roman"/>
                <w:sz w:val="24"/>
                <w:szCs w:val="24"/>
              </w:rPr>
              <w:t>Renal</w:t>
            </w:r>
          </w:p>
          <w:p w14:paraId="20789DD1" w14:textId="77777777" w:rsidR="00F26C8F" w:rsidRPr="007231BD" w:rsidRDefault="00F26C8F" w:rsidP="00044081">
            <w:pPr>
              <w:spacing w:before="40" w:after="40" w:line="480" w:lineRule="auto"/>
              <w:ind w:left="720"/>
              <w:rPr>
                <w:rFonts w:ascii="Times New Roman" w:hAnsi="Times New Roman" w:cs="Times New Roman"/>
                <w:sz w:val="24"/>
                <w:szCs w:val="24"/>
              </w:rPr>
            </w:pPr>
            <w:r w:rsidRPr="007231BD">
              <w:rPr>
                <w:rFonts w:ascii="Times New Roman" w:hAnsi="Times New Roman" w:cs="Times New Roman"/>
                <w:sz w:val="24"/>
                <w:szCs w:val="24"/>
              </w:rPr>
              <w:t>Hepatic</w:t>
            </w:r>
          </w:p>
        </w:tc>
        <w:tc>
          <w:tcPr>
            <w:tcW w:w="2268" w:type="dxa"/>
          </w:tcPr>
          <w:p w14:paraId="4E4B2CBF"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 (66.7%)</w:t>
            </w:r>
          </w:p>
          <w:p w14:paraId="350082B7" w14:textId="77777777" w:rsidR="00F26C8F" w:rsidRPr="007231BD" w:rsidRDefault="00F26C8F" w:rsidP="00044081">
            <w:pPr>
              <w:keepNext/>
              <w:keepLines/>
              <w:spacing w:before="40" w:after="40" w:line="480" w:lineRule="auto"/>
              <w:jc w:val="center"/>
              <w:outlineLvl w:val="0"/>
              <w:rPr>
                <w:rFonts w:ascii="Times New Roman" w:hAnsi="Times New Roman" w:cs="Times New Roman"/>
                <w:sz w:val="24"/>
                <w:szCs w:val="24"/>
              </w:rPr>
            </w:pPr>
          </w:p>
          <w:p w14:paraId="6FA36C76"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3 (100%)</w:t>
            </w:r>
          </w:p>
          <w:p w14:paraId="6B84DDBB"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 (66.7%)</w:t>
            </w:r>
          </w:p>
          <w:p w14:paraId="633B3A4E"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w:t>
            </w:r>
          </w:p>
          <w:p w14:paraId="7238A769"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 (66.7%)</w:t>
            </w:r>
          </w:p>
          <w:p w14:paraId="027B68A0"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 (33.3%)</w:t>
            </w:r>
          </w:p>
          <w:p w14:paraId="536970CE"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w:t>
            </w:r>
          </w:p>
        </w:tc>
        <w:tc>
          <w:tcPr>
            <w:tcW w:w="2268" w:type="dxa"/>
          </w:tcPr>
          <w:p w14:paraId="0F196EE6"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29 (100%)</w:t>
            </w:r>
          </w:p>
          <w:p w14:paraId="5DC032C9" w14:textId="77777777" w:rsidR="00F26C8F" w:rsidRPr="007231BD" w:rsidRDefault="00F26C8F" w:rsidP="00044081">
            <w:pPr>
              <w:keepNext/>
              <w:keepLines/>
              <w:spacing w:before="40" w:after="40" w:line="480" w:lineRule="auto"/>
              <w:jc w:val="center"/>
              <w:outlineLvl w:val="0"/>
              <w:rPr>
                <w:rFonts w:ascii="Times New Roman" w:hAnsi="Times New Roman" w:cs="Times New Roman"/>
                <w:sz w:val="24"/>
                <w:szCs w:val="24"/>
              </w:rPr>
            </w:pPr>
          </w:p>
          <w:p w14:paraId="316942EE"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29 (100%)</w:t>
            </w:r>
          </w:p>
          <w:p w14:paraId="2E396C3E"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19 (65.5%)</w:t>
            </w:r>
          </w:p>
          <w:p w14:paraId="6BFA60CF"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5 (17.2%)</w:t>
            </w:r>
          </w:p>
          <w:p w14:paraId="7F60E0AD"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20 (69%)</w:t>
            </w:r>
          </w:p>
          <w:p w14:paraId="42985A3D"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 (34.5%)</w:t>
            </w:r>
          </w:p>
          <w:p w14:paraId="69CAA6B5"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14 (48.3%)</w:t>
            </w:r>
          </w:p>
        </w:tc>
        <w:tc>
          <w:tcPr>
            <w:tcW w:w="912" w:type="dxa"/>
          </w:tcPr>
          <w:p w14:paraId="1E6A51B6"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0.094</w:t>
            </w:r>
          </w:p>
          <w:p w14:paraId="6FCD726E" w14:textId="77777777" w:rsidR="00F26C8F" w:rsidRPr="007231BD" w:rsidRDefault="00F26C8F" w:rsidP="00044081">
            <w:pPr>
              <w:keepNext/>
              <w:keepLines/>
              <w:spacing w:before="40" w:after="40" w:line="480" w:lineRule="auto"/>
              <w:jc w:val="center"/>
              <w:outlineLvl w:val="0"/>
              <w:rPr>
                <w:rFonts w:ascii="Times New Roman" w:hAnsi="Times New Roman" w:cs="Times New Roman"/>
                <w:sz w:val="24"/>
                <w:szCs w:val="24"/>
              </w:rPr>
            </w:pPr>
          </w:p>
          <w:p w14:paraId="37ABD275"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w:t>
            </w:r>
          </w:p>
          <w:p w14:paraId="55B5ACF1"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1.000</w:t>
            </w:r>
          </w:p>
          <w:p w14:paraId="35B87C9B"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1.000</w:t>
            </w:r>
          </w:p>
          <w:p w14:paraId="01912519"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1.000</w:t>
            </w:r>
          </w:p>
          <w:p w14:paraId="3848DAF1"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1.000</w:t>
            </w:r>
          </w:p>
          <w:p w14:paraId="5E04257E"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0.238</w:t>
            </w:r>
          </w:p>
        </w:tc>
      </w:tr>
      <w:tr w:rsidR="007231BD" w:rsidRPr="007231BD" w14:paraId="1F11EDEF" w14:textId="77777777" w:rsidTr="00832A2E">
        <w:trPr>
          <w:trHeight w:val="2227"/>
        </w:trPr>
        <w:tc>
          <w:tcPr>
            <w:tcW w:w="3794" w:type="dxa"/>
          </w:tcPr>
          <w:p w14:paraId="2AAE2A4A" w14:textId="5C276BBB"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TPN Use</w:t>
            </w:r>
            <w:r w:rsidR="00832A2E" w:rsidRPr="007231BD">
              <w:rPr>
                <w:rFonts w:ascii="Times New Roman" w:hAnsi="Times New Roman" w:cs="Times New Roman"/>
                <w:sz w:val="24"/>
                <w:szCs w:val="24"/>
              </w:rPr>
              <w:t>, n (%)</w:t>
            </w:r>
          </w:p>
          <w:p w14:paraId="76992947" w14:textId="273814B8"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Steroids Use</w:t>
            </w:r>
            <w:r w:rsidR="00832A2E" w:rsidRPr="007231BD">
              <w:rPr>
                <w:rFonts w:ascii="Times New Roman" w:hAnsi="Times New Roman" w:cs="Times New Roman"/>
                <w:sz w:val="24"/>
                <w:szCs w:val="24"/>
              </w:rPr>
              <w:t>, n (%)</w:t>
            </w:r>
          </w:p>
          <w:p w14:paraId="6CD1852C" w14:textId="7D14AAC9"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Neuromuscular Blockers’ Use</w:t>
            </w:r>
            <w:r w:rsidR="00832A2E" w:rsidRPr="007231BD">
              <w:rPr>
                <w:rFonts w:ascii="Times New Roman" w:hAnsi="Times New Roman" w:cs="Times New Roman"/>
                <w:sz w:val="24"/>
                <w:szCs w:val="24"/>
              </w:rPr>
              <w:t>, n (%)</w:t>
            </w:r>
          </w:p>
          <w:p w14:paraId="31B747BE" w14:textId="5AE211E1"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Hypoalbuminemia</w:t>
            </w:r>
            <w:r w:rsidR="00832A2E" w:rsidRPr="007231BD">
              <w:rPr>
                <w:rFonts w:ascii="Times New Roman" w:hAnsi="Times New Roman" w:cs="Times New Roman"/>
                <w:sz w:val="24"/>
                <w:szCs w:val="24"/>
              </w:rPr>
              <w:t xml:space="preserve">, n (%) </w:t>
            </w:r>
            <w:r w:rsidRPr="007231BD">
              <w:rPr>
                <w:rFonts w:ascii="Times New Roman" w:hAnsi="Times New Roman" w:cs="Times New Roman"/>
                <w:sz w:val="24"/>
                <w:szCs w:val="24"/>
              </w:rPr>
              <w:t>Vasopressor Use</w:t>
            </w:r>
            <w:r w:rsidR="00832A2E" w:rsidRPr="007231BD">
              <w:rPr>
                <w:rFonts w:ascii="Times New Roman" w:hAnsi="Times New Roman" w:cs="Times New Roman"/>
                <w:sz w:val="24"/>
                <w:szCs w:val="24"/>
              </w:rPr>
              <w:t>, n (%)</w:t>
            </w:r>
          </w:p>
        </w:tc>
        <w:tc>
          <w:tcPr>
            <w:tcW w:w="2268" w:type="dxa"/>
          </w:tcPr>
          <w:p w14:paraId="5F48061C"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w:t>
            </w:r>
          </w:p>
          <w:p w14:paraId="691F41F3"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 (66.7%)</w:t>
            </w:r>
          </w:p>
          <w:p w14:paraId="6D9228A3" w14:textId="362E6F0C"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 (33.3%)</w:t>
            </w:r>
          </w:p>
          <w:p w14:paraId="1B2DEB3B"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w:t>
            </w:r>
          </w:p>
          <w:p w14:paraId="4BA5ED35"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 (66.7%)</w:t>
            </w:r>
          </w:p>
        </w:tc>
        <w:tc>
          <w:tcPr>
            <w:tcW w:w="2268" w:type="dxa"/>
          </w:tcPr>
          <w:p w14:paraId="3789DBA0"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4 (13.8%)</w:t>
            </w:r>
          </w:p>
          <w:p w14:paraId="3EBB6D01"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26 (89.7%)</w:t>
            </w:r>
          </w:p>
          <w:p w14:paraId="512A0928" w14:textId="2E66EAF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4 (13.8%)</w:t>
            </w:r>
          </w:p>
          <w:p w14:paraId="54AE1D98"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13 (44.8%)</w:t>
            </w:r>
          </w:p>
          <w:p w14:paraId="36B236CC"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19 (65.5%)</w:t>
            </w:r>
          </w:p>
        </w:tc>
        <w:tc>
          <w:tcPr>
            <w:tcW w:w="912" w:type="dxa"/>
          </w:tcPr>
          <w:p w14:paraId="6DECFD22"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1.000</w:t>
            </w:r>
          </w:p>
          <w:p w14:paraId="37B7F711"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0.340</w:t>
            </w:r>
          </w:p>
          <w:p w14:paraId="0EE6928C" w14:textId="3D50C3C6"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0.410</w:t>
            </w:r>
          </w:p>
          <w:p w14:paraId="3E90C0E1"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0.259</w:t>
            </w:r>
          </w:p>
          <w:p w14:paraId="52443E2C"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1.000</w:t>
            </w:r>
          </w:p>
        </w:tc>
      </w:tr>
      <w:tr w:rsidR="007231BD" w:rsidRPr="007231BD" w14:paraId="07AB9822" w14:textId="77777777" w:rsidTr="00832A2E">
        <w:tc>
          <w:tcPr>
            <w:tcW w:w="3794" w:type="dxa"/>
          </w:tcPr>
          <w:p w14:paraId="3565A321" w14:textId="01216C9E" w:rsidR="00F35B6C"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Micronutrients level</w:t>
            </w:r>
            <w:r w:rsidR="00832A2E" w:rsidRPr="007231BD">
              <w:rPr>
                <w:rFonts w:ascii="Times New Roman" w:hAnsi="Times New Roman" w:cs="Times New Roman"/>
                <w:sz w:val="24"/>
                <w:szCs w:val="24"/>
              </w:rPr>
              <w:t>, median (IQR)</w:t>
            </w:r>
          </w:p>
          <w:p w14:paraId="0DE1BC66" w14:textId="120D953E"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Vitamin B12 (</w:t>
            </w:r>
            <w:proofErr w:type="spellStart"/>
            <w:r w:rsidR="00D42DDB" w:rsidRPr="007231BD">
              <w:rPr>
                <w:rFonts w:ascii="Times New Roman" w:hAnsi="Times New Roman" w:cs="Times New Roman"/>
                <w:sz w:val="24"/>
                <w:szCs w:val="24"/>
              </w:rPr>
              <w:t>p</w:t>
            </w:r>
            <w:r w:rsidR="00F35B6C" w:rsidRPr="007231BD">
              <w:rPr>
                <w:rFonts w:ascii="Times New Roman" w:hAnsi="Times New Roman" w:cs="Times New Roman"/>
                <w:sz w:val="24"/>
                <w:szCs w:val="24"/>
              </w:rPr>
              <w:t>g</w:t>
            </w:r>
            <w:proofErr w:type="spellEnd"/>
            <w:r w:rsidRPr="007231BD">
              <w:rPr>
                <w:rFonts w:ascii="Times New Roman" w:hAnsi="Times New Roman" w:cs="Times New Roman"/>
                <w:sz w:val="24"/>
                <w:szCs w:val="24"/>
              </w:rPr>
              <w:t>/mL)</w:t>
            </w:r>
          </w:p>
          <w:p w14:paraId="4678BEF6" w14:textId="30345618" w:rsidR="00345C35" w:rsidRPr="007231BD" w:rsidRDefault="00F35B6C"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Vitamin B12 deficiency</w:t>
            </w:r>
            <w:r w:rsidR="00832A2E" w:rsidRPr="007231BD">
              <w:rPr>
                <w:rFonts w:ascii="Times New Roman" w:hAnsi="Times New Roman" w:cs="Times New Roman"/>
                <w:sz w:val="24"/>
                <w:szCs w:val="24"/>
              </w:rPr>
              <w:t>, n (%)</w:t>
            </w:r>
          </w:p>
          <w:p w14:paraId="28054EFA" w14:textId="2AB8948B"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Copper (mcg/L)</w:t>
            </w:r>
          </w:p>
          <w:p w14:paraId="06277377" w14:textId="4E67B244" w:rsidR="00F35B6C" w:rsidRPr="007231BD" w:rsidRDefault="00F35B6C"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Copper deficiency</w:t>
            </w:r>
            <w:r w:rsidR="00832A2E" w:rsidRPr="007231BD">
              <w:rPr>
                <w:rFonts w:ascii="Times New Roman" w:hAnsi="Times New Roman" w:cs="Times New Roman"/>
                <w:sz w:val="24"/>
                <w:szCs w:val="24"/>
              </w:rPr>
              <w:t>,</w:t>
            </w:r>
            <w:r w:rsidRPr="007231BD">
              <w:rPr>
                <w:rFonts w:ascii="Times New Roman" w:hAnsi="Times New Roman" w:cs="Times New Roman"/>
                <w:sz w:val="24"/>
                <w:szCs w:val="24"/>
              </w:rPr>
              <w:t xml:space="preserve"> </w:t>
            </w:r>
            <w:r w:rsidR="00832A2E" w:rsidRPr="007231BD">
              <w:rPr>
                <w:rFonts w:ascii="Times New Roman" w:hAnsi="Times New Roman" w:cs="Times New Roman"/>
                <w:sz w:val="24"/>
                <w:szCs w:val="24"/>
              </w:rPr>
              <w:t>n (%)</w:t>
            </w:r>
          </w:p>
          <w:p w14:paraId="6EB38FF4" w14:textId="36996010"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Zinc (mcg/L)</w:t>
            </w:r>
          </w:p>
          <w:p w14:paraId="3507195C" w14:textId="5843E2A8" w:rsidR="00F35B6C" w:rsidRPr="007231BD" w:rsidRDefault="00F35B6C"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Zinc deficiency</w:t>
            </w:r>
            <w:r w:rsidR="00832A2E" w:rsidRPr="007231BD">
              <w:rPr>
                <w:rFonts w:ascii="Times New Roman" w:hAnsi="Times New Roman" w:cs="Times New Roman"/>
                <w:sz w:val="24"/>
                <w:szCs w:val="24"/>
              </w:rPr>
              <w:t>, n (%)</w:t>
            </w:r>
            <w:r w:rsidRPr="007231BD">
              <w:rPr>
                <w:rFonts w:ascii="Times New Roman" w:hAnsi="Times New Roman" w:cs="Times New Roman"/>
                <w:sz w:val="24"/>
                <w:szCs w:val="24"/>
              </w:rPr>
              <w:t xml:space="preserve"> </w:t>
            </w:r>
          </w:p>
          <w:p w14:paraId="78526DB2" w14:textId="77777777" w:rsidR="00F26C8F" w:rsidRPr="007231BD" w:rsidRDefault="00F26C8F"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lastRenderedPageBreak/>
              <w:t>Folate (ng/mL)</w:t>
            </w:r>
          </w:p>
          <w:p w14:paraId="79A67A40" w14:textId="3F5B25E4" w:rsidR="00F35B6C" w:rsidRPr="007231BD" w:rsidRDefault="00F35B6C" w:rsidP="00044081">
            <w:pPr>
              <w:spacing w:before="40" w:after="40" w:line="480" w:lineRule="auto"/>
              <w:rPr>
                <w:rFonts w:ascii="Times New Roman" w:hAnsi="Times New Roman" w:cs="Times New Roman"/>
                <w:sz w:val="24"/>
                <w:szCs w:val="24"/>
              </w:rPr>
            </w:pPr>
            <w:r w:rsidRPr="007231BD">
              <w:rPr>
                <w:rFonts w:ascii="Times New Roman" w:hAnsi="Times New Roman" w:cs="Times New Roman"/>
                <w:sz w:val="24"/>
                <w:szCs w:val="24"/>
              </w:rPr>
              <w:t>Folate deficiency</w:t>
            </w:r>
            <w:r w:rsidR="00832A2E" w:rsidRPr="007231BD">
              <w:rPr>
                <w:rFonts w:ascii="Times New Roman" w:hAnsi="Times New Roman" w:cs="Times New Roman"/>
                <w:sz w:val="24"/>
                <w:szCs w:val="24"/>
              </w:rPr>
              <w:t>, n (%)</w:t>
            </w:r>
          </w:p>
        </w:tc>
        <w:tc>
          <w:tcPr>
            <w:tcW w:w="2268" w:type="dxa"/>
          </w:tcPr>
          <w:p w14:paraId="02ACD7C6" w14:textId="77777777" w:rsidR="00F26C8F" w:rsidRPr="007231BD" w:rsidRDefault="00F26C8F" w:rsidP="00044081">
            <w:pPr>
              <w:keepNext/>
              <w:keepLines/>
              <w:spacing w:before="40" w:after="40" w:line="480" w:lineRule="auto"/>
              <w:jc w:val="center"/>
              <w:outlineLvl w:val="0"/>
              <w:rPr>
                <w:rFonts w:ascii="Times New Roman" w:hAnsi="Times New Roman" w:cs="Times New Roman"/>
                <w:sz w:val="24"/>
                <w:szCs w:val="24"/>
              </w:rPr>
            </w:pPr>
          </w:p>
          <w:p w14:paraId="3BDE7769" w14:textId="65A71D0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1108 (390-1119)</w:t>
            </w:r>
          </w:p>
          <w:p w14:paraId="57117214" w14:textId="53524F9E"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w:t>
            </w:r>
          </w:p>
          <w:p w14:paraId="6097BEA0" w14:textId="3582978D"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1023 (828-1279)</w:t>
            </w:r>
          </w:p>
          <w:p w14:paraId="6DFCC87F" w14:textId="4104755D"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 (33.3%)</w:t>
            </w:r>
          </w:p>
          <w:p w14:paraId="3878FBE8" w14:textId="5E7345B0"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476 (324-503)</w:t>
            </w:r>
          </w:p>
          <w:p w14:paraId="07456B13" w14:textId="02930056"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3 (100%)</w:t>
            </w:r>
          </w:p>
          <w:p w14:paraId="458AAE03"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lastRenderedPageBreak/>
              <w:t>13.2 (9.7-14.9)</w:t>
            </w:r>
          </w:p>
          <w:p w14:paraId="1464CFD2" w14:textId="74428BD8"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w:t>
            </w:r>
          </w:p>
        </w:tc>
        <w:tc>
          <w:tcPr>
            <w:tcW w:w="2268" w:type="dxa"/>
          </w:tcPr>
          <w:p w14:paraId="7A856B46" w14:textId="77777777" w:rsidR="00F26C8F" w:rsidRPr="007231BD" w:rsidRDefault="00F26C8F" w:rsidP="00044081">
            <w:pPr>
              <w:keepNext/>
              <w:keepLines/>
              <w:spacing w:before="40" w:after="40" w:line="480" w:lineRule="auto"/>
              <w:jc w:val="center"/>
              <w:outlineLvl w:val="0"/>
              <w:rPr>
                <w:rFonts w:ascii="Times New Roman" w:hAnsi="Times New Roman" w:cs="Times New Roman"/>
                <w:sz w:val="24"/>
                <w:szCs w:val="24"/>
              </w:rPr>
            </w:pPr>
          </w:p>
          <w:p w14:paraId="6B716146" w14:textId="17C53EE3"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1016 (322-1111)</w:t>
            </w:r>
          </w:p>
          <w:p w14:paraId="050A3FD1" w14:textId="0BA41510"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4</w:t>
            </w:r>
            <w:r w:rsidR="004F403D" w:rsidRPr="007231BD">
              <w:rPr>
                <w:rFonts w:ascii="Times New Roman" w:hAnsi="Times New Roman" w:cs="Times New Roman"/>
                <w:sz w:val="24"/>
                <w:szCs w:val="24"/>
              </w:rPr>
              <w:t>/28</w:t>
            </w:r>
            <w:r w:rsidRPr="007231BD">
              <w:rPr>
                <w:rFonts w:ascii="Times New Roman" w:hAnsi="Times New Roman" w:cs="Times New Roman"/>
                <w:sz w:val="24"/>
                <w:szCs w:val="24"/>
              </w:rPr>
              <w:t xml:space="preserve"> (14.3%)</w:t>
            </w:r>
          </w:p>
          <w:p w14:paraId="77ADBC94" w14:textId="63173F15"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1030 (843-1153)</w:t>
            </w:r>
          </w:p>
          <w:p w14:paraId="0DDC01B7" w14:textId="57ED0A41"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13</w:t>
            </w:r>
            <w:r w:rsidR="004F403D" w:rsidRPr="007231BD">
              <w:rPr>
                <w:rFonts w:ascii="Times New Roman" w:hAnsi="Times New Roman" w:cs="Times New Roman"/>
                <w:sz w:val="24"/>
                <w:szCs w:val="24"/>
              </w:rPr>
              <w:t>/28</w:t>
            </w:r>
            <w:r w:rsidRPr="007231BD">
              <w:rPr>
                <w:rFonts w:ascii="Times New Roman" w:hAnsi="Times New Roman" w:cs="Times New Roman"/>
                <w:sz w:val="24"/>
                <w:szCs w:val="24"/>
              </w:rPr>
              <w:t xml:space="preserve"> (46.4%)</w:t>
            </w:r>
          </w:p>
          <w:p w14:paraId="5F28673C" w14:textId="5C809106"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539 (372-973)</w:t>
            </w:r>
          </w:p>
          <w:p w14:paraId="4B486C59" w14:textId="5C4EEC51"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18</w:t>
            </w:r>
            <w:r w:rsidR="004F403D" w:rsidRPr="007231BD">
              <w:rPr>
                <w:rFonts w:ascii="Times New Roman" w:hAnsi="Times New Roman" w:cs="Times New Roman"/>
                <w:sz w:val="24"/>
                <w:szCs w:val="24"/>
              </w:rPr>
              <w:t>/28</w:t>
            </w:r>
            <w:r w:rsidRPr="007231BD">
              <w:rPr>
                <w:rFonts w:ascii="Times New Roman" w:hAnsi="Times New Roman" w:cs="Times New Roman"/>
                <w:sz w:val="24"/>
                <w:szCs w:val="24"/>
              </w:rPr>
              <w:t xml:space="preserve"> (64.3%)</w:t>
            </w:r>
          </w:p>
          <w:p w14:paraId="510448CE"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lastRenderedPageBreak/>
              <w:t>7.3 (3.2-16.1)</w:t>
            </w:r>
          </w:p>
          <w:p w14:paraId="2C0D512C" w14:textId="584D6F07"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8</w:t>
            </w:r>
            <w:r w:rsidR="004F403D" w:rsidRPr="007231BD">
              <w:rPr>
                <w:rFonts w:ascii="Times New Roman" w:hAnsi="Times New Roman" w:cs="Times New Roman"/>
                <w:sz w:val="24"/>
                <w:szCs w:val="24"/>
              </w:rPr>
              <w:t>/28</w:t>
            </w:r>
            <w:r w:rsidRPr="007231BD">
              <w:rPr>
                <w:rFonts w:ascii="Times New Roman" w:hAnsi="Times New Roman" w:cs="Times New Roman"/>
                <w:sz w:val="24"/>
                <w:szCs w:val="24"/>
              </w:rPr>
              <w:t xml:space="preserve"> (28.6%)</w:t>
            </w:r>
          </w:p>
        </w:tc>
        <w:tc>
          <w:tcPr>
            <w:tcW w:w="912" w:type="dxa"/>
          </w:tcPr>
          <w:p w14:paraId="15EFDFCD" w14:textId="77777777" w:rsidR="00F26C8F" w:rsidRPr="007231BD" w:rsidRDefault="00F26C8F" w:rsidP="00044081">
            <w:pPr>
              <w:keepNext/>
              <w:keepLines/>
              <w:spacing w:before="40" w:after="40" w:line="480" w:lineRule="auto"/>
              <w:jc w:val="center"/>
              <w:outlineLvl w:val="0"/>
              <w:rPr>
                <w:rFonts w:ascii="Times New Roman" w:hAnsi="Times New Roman" w:cs="Times New Roman"/>
                <w:sz w:val="24"/>
                <w:szCs w:val="24"/>
              </w:rPr>
            </w:pPr>
          </w:p>
          <w:p w14:paraId="2E6974A5" w14:textId="1EDD80B0"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0.592</w:t>
            </w:r>
          </w:p>
          <w:p w14:paraId="329E96B6" w14:textId="3C0BC605"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1.000</w:t>
            </w:r>
          </w:p>
          <w:p w14:paraId="1EACA81F" w14:textId="648F7FDA"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0.946</w:t>
            </w:r>
          </w:p>
          <w:p w14:paraId="7028ABB4" w14:textId="6C633FF4"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1.000</w:t>
            </w:r>
          </w:p>
          <w:p w14:paraId="60BA805B" w14:textId="1F9F21B8"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0.349</w:t>
            </w:r>
          </w:p>
          <w:p w14:paraId="36DD52D5" w14:textId="1E89D438"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0.533</w:t>
            </w:r>
          </w:p>
          <w:p w14:paraId="7AE13A1F" w14:textId="77777777" w:rsidR="00F26C8F" w:rsidRPr="007231BD" w:rsidRDefault="00F26C8F"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lastRenderedPageBreak/>
              <w:t>0.602</w:t>
            </w:r>
          </w:p>
          <w:p w14:paraId="6DDB0DC1" w14:textId="62569E5D" w:rsidR="00F35B6C" w:rsidRPr="007231BD" w:rsidRDefault="00F35B6C" w:rsidP="00044081">
            <w:pPr>
              <w:spacing w:before="40" w:after="40" w:line="480" w:lineRule="auto"/>
              <w:jc w:val="center"/>
              <w:rPr>
                <w:rFonts w:ascii="Times New Roman" w:hAnsi="Times New Roman" w:cs="Times New Roman"/>
                <w:sz w:val="24"/>
                <w:szCs w:val="24"/>
              </w:rPr>
            </w:pPr>
            <w:r w:rsidRPr="007231BD">
              <w:rPr>
                <w:rFonts w:ascii="Times New Roman" w:hAnsi="Times New Roman" w:cs="Times New Roman"/>
                <w:sz w:val="24"/>
                <w:szCs w:val="24"/>
              </w:rPr>
              <w:t>0.550</w:t>
            </w:r>
          </w:p>
        </w:tc>
      </w:tr>
    </w:tbl>
    <w:p w14:paraId="7670006A" w14:textId="145215B6" w:rsidR="004F403D" w:rsidRPr="007231BD" w:rsidRDefault="00F26C8F" w:rsidP="00832A2E">
      <w:pPr>
        <w:spacing w:before="40" w:after="40" w:line="480" w:lineRule="auto"/>
        <w:rPr>
          <w:rFonts w:ascii="Times New Roman" w:hAnsi="Times New Roman" w:cs="Times New Roman"/>
          <w:szCs w:val="24"/>
        </w:rPr>
      </w:pPr>
      <w:r w:rsidRPr="007231BD">
        <w:rPr>
          <w:rFonts w:ascii="Times New Roman" w:hAnsi="Times New Roman" w:cs="Times New Roman"/>
          <w:szCs w:val="24"/>
          <w:lang w:val="en-US"/>
        </w:rPr>
        <w:lastRenderedPageBreak/>
        <w:t>BAZ: BMI for age Z score; IQR: inter-quartile range; LAZ: Length for age Z score; MODS: Multi-organ dysfunction syndrome; PIM: Pediatric Index of Mortality; SIRS: Systemic inflammatory response syndrome;</w:t>
      </w:r>
      <w:r w:rsidR="00832A2E" w:rsidRPr="007231BD">
        <w:rPr>
          <w:rFonts w:ascii="Times New Roman" w:hAnsi="Times New Roman" w:cs="Times New Roman"/>
          <w:szCs w:val="24"/>
          <w:lang w:val="en-US"/>
        </w:rPr>
        <w:t xml:space="preserve"> </w:t>
      </w:r>
      <w:r w:rsidRPr="007231BD">
        <w:rPr>
          <w:rFonts w:ascii="Times New Roman" w:hAnsi="Times New Roman" w:cs="Times New Roman"/>
          <w:szCs w:val="24"/>
          <w:lang w:val="en-US"/>
        </w:rPr>
        <w:t>TPN: Total parenteral nutrition; WAZ: Weight for age Z score.</w:t>
      </w:r>
      <w:r w:rsidR="00F35B6C" w:rsidRPr="007231BD">
        <w:rPr>
          <w:rFonts w:ascii="Times New Roman" w:hAnsi="Times New Roman" w:cs="Times New Roman"/>
          <w:szCs w:val="24"/>
          <w:lang w:val="en-US"/>
        </w:rPr>
        <w:t xml:space="preserve"> Cut</w:t>
      </w:r>
      <w:r w:rsidR="00832A2E" w:rsidRPr="007231BD">
        <w:rPr>
          <w:rFonts w:ascii="Times New Roman" w:hAnsi="Times New Roman" w:cs="Times New Roman"/>
          <w:szCs w:val="24"/>
          <w:lang w:val="en-US"/>
        </w:rPr>
        <w:t>-</w:t>
      </w:r>
      <w:r w:rsidR="00F35B6C" w:rsidRPr="007231BD">
        <w:rPr>
          <w:rFonts w:ascii="Times New Roman" w:hAnsi="Times New Roman" w:cs="Times New Roman"/>
          <w:szCs w:val="24"/>
          <w:lang w:val="en-US"/>
        </w:rPr>
        <w:t>off</w:t>
      </w:r>
      <w:r w:rsidR="00832A2E" w:rsidRPr="007231BD">
        <w:rPr>
          <w:rFonts w:ascii="Times New Roman" w:hAnsi="Times New Roman" w:cs="Times New Roman"/>
          <w:szCs w:val="24"/>
          <w:lang w:val="en-US"/>
        </w:rPr>
        <w:t>s</w:t>
      </w:r>
      <w:r w:rsidR="00F35B6C" w:rsidRPr="007231BD">
        <w:rPr>
          <w:rFonts w:ascii="Times New Roman" w:hAnsi="Times New Roman" w:cs="Times New Roman"/>
          <w:szCs w:val="24"/>
          <w:lang w:val="en-US"/>
        </w:rPr>
        <w:t xml:space="preserve"> for micronutrient deficiency: </w:t>
      </w:r>
      <w:r w:rsidR="00F35B6C" w:rsidRPr="007231BD">
        <w:rPr>
          <w:rFonts w:ascii="Times New Roman" w:hAnsi="Times New Roman" w:cs="Times New Roman"/>
          <w:szCs w:val="24"/>
        </w:rPr>
        <w:t xml:space="preserve">Vitamin B12 deficiency &lt;200 </w:t>
      </w:r>
      <w:r w:rsidR="00D42DDB" w:rsidRPr="007231BD">
        <w:rPr>
          <w:rFonts w:ascii="Times New Roman" w:hAnsi="Times New Roman" w:cs="Times New Roman"/>
          <w:szCs w:val="24"/>
        </w:rPr>
        <w:t>p</w:t>
      </w:r>
      <w:r w:rsidR="00F35B6C" w:rsidRPr="007231BD">
        <w:rPr>
          <w:rFonts w:ascii="Times New Roman" w:hAnsi="Times New Roman" w:cs="Times New Roman"/>
          <w:szCs w:val="24"/>
        </w:rPr>
        <w:t>g/ml, Copper deficiency &lt;900mcg/L</w:t>
      </w:r>
      <w:r w:rsidR="00832A2E" w:rsidRPr="007231BD">
        <w:rPr>
          <w:rFonts w:ascii="Times New Roman" w:hAnsi="Times New Roman" w:cs="Times New Roman"/>
          <w:szCs w:val="24"/>
        </w:rPr>
        <w:t>, Zinc deficiency &lt;650 ng/mL, Folate deficiency &lt;3.5 ng/</w:t>
      </w:r>
      <w:proofErr w:type="spellStart"/>
      <w:r w:rsidR="00832A2E" w:rsidRPr="007231BD">
        <w:rPr>
          <w:rFonts w:ascii="Times New Roman" w:hAnsi="Times New Roman" w:cs="Times New Roman"/>
          <w:szCs w:val="24"/>
        </w:rPr>
        <w:t>mL</w:t>
      </w:r>
      <w:r w:rsidR="004F403D" w:rsidRPr="007231BD">
        <w:rPr>
          <w:rFonts w:ascii="Times New Roman" w:hAnsi="Times New Roman" w:cs="Times New Roman"/>
          <w:szCs w:val="24"/>
        </w:rPr>
        <w:t>.</w:t>
      </w:r>
      <w:proofErr w:type="spellEnd"/>
      <w:r w:rsidR="004F403D" w:rsidRPr="007231BD">
        <w:rPr>
          <w:rFonts w:ascii="Times New Roman" w:hAnsi="Times New Roman" w:cs="Times New Roman"/>
          <w:szCs w:val="24"/>
        </w:rPr>
        <w:t xml:space="preserve"> Micronutrients level</w:t>
      </w:r>
      <w:r w:rsidR="000F1FE8" w:rsidRPr="007231BD">
        <w:rPr>
          <w:rFonts w:ascii="Times New Roman" w:hAnsi="Times New Roman" w:cs="Times New Roman"/>
          <w:szCs w:val="24"/>
        </w:rPr>
        <w:t>s</w:t>
      </w:r>
      <w:r w:rsidR="004F403D" w:rsidRPr="007231BD">
        <w:rPr>
          <w:rFonts w:ascii="Times New Roman" w:hAnsi="Times New Roman" w:cs="Times New Roman"/>
          <w:szCs w:val="24"/>
        </w:rPr>
        <w:t xml:space="preserve"> were not available for one child in polyneuropathy group. </w:t>
      </w:r>
    </w:p>
    <w:sectPr w:rsidR="004F403D" w:rsidRPr="007231BD" w:rsidSect="00A9670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AFB2" w14:textId="77777777" w:rsidR="00D32519" w:rsidRDefault="00D32519" w:rsidP="006074D8">
      <w:pPr>
        <w:spacing w:after="0" w:line="240" w:lineRule="auto"/>
      </w:pPr>
      <w:r>
        <w:separator/>
      </w:r>
    </w:p>
  </w:endnote>
  <w:endnote w:type="continuationSeparator" w:id="0">
    <w:p w14:paraId="116079AC" w14:textId="77777777" w:rsidR="00D32519" w:rsidRDefault="00D32519" w:rsidP="0060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BFF42" w14:textId="77777777" w:rsidR="00D32519" w:rsidRDefault="00D32519" w:rsidP="006074D8">
      <w:pPr>
        <w:spacing w:after="0" w:line="240" w:lineRule="auto"/>
      </w:pPr>
      <w:r>
        <w:separator/>
      </w:r>
    </w:p>
  </w:footnote>
  <w:footnote w:type="continuationSeparator" w:id="0">
    <w:p w14:paraId="2F36F33C" w14:textId="77777777" w:rsidR="00D32519" w:rsidRDefault="00D32519" w:rsidP="00607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08376"/>
      <w:docPartObj>
        <w:docPartGallery w:val="Page Numbers (Top of Page)"/>
        <w:docPartUnique/>
      </w:docPartObj>
    </w:sdtPr>
    <w:sdtEndPr/>
    <w:sdtContent>
      <w:p w14:paraId="1DE5E138" w14:textId="77777777" w:rsidR="00DD4C37" w:rsidRDefault="003A67EA">
        <w:pPr>
          <w:pStyle w:val="Header"/>
          <w:jc w:val="center"/>
        </w:pPr>
        <w:r>
          <w:fldChar w:fldCharType="begin"/>
        </w:r>
        <w:r w:rsidR="00F26C8F">
          <w:instrText xml:space="preserve"> PAGE   \* MERGEFORMAT </w:instrText>
        </w:r>
        <w:r>
          <w:fldChar w:fldCharType="separate"/>
        </w:r>
        <w:r w:rsidR="00110E30">
          <w:rPr>
            <w:noProof/>
          </w:rPr>
          <w:t>2</w:t>
        </w:r>
        <w:r>
          <w:rPr>
            <w:noProof/>
          </w:rPr>
          <w:fldChar w:fldCharType="end"/>
        </w:r>
      </w:p>
    </w:sdtContent>
  </w:sdt>
  <w:p w14:paraId="16FDD652" w14:textId="77777777" w:rsidR="00DD4C37" w:rsidRDefault="00EF0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6C8F"/>
    <w:rsid w:val="000F1FE8"/>
    <w:rsid w:val="00110E30"/>
    <w:rsid w:val="00134BE9"/>
    <w:rsid w:val="002F0C38"/>
    <w:rsid w:val="00345C35"/>
    <w:rsid w:val="003A67EA"/>
    <w:rsid w:val="003D42FB"/>
    <w:rsid w:val="004B385B"/>
    <w:rsid w:val="004D777B"/>
    <w:rsid w:val="004F403D"/>
    <w:rsid w:val="00524690"/>
    <w:rsid w:val="00566C9A"/>
    <w:rsid w:val="006074D8"/>
    <w:rsid w:val="007231BD"/>
    <w:rsid w:val="0078440D"/>
    <w:rsid w:val="00832A2E"/>
    <w:rsid w:val="00A05B1C"/>
    <w:rsid w:val="00BC669F"/>
    <w:rsid w:val="00C3369A"/>
    <w:rsid w:val="00CA20E5"/>
    <w:rsid w:val="00D32519"/>
    <w:rsid w:val="00D42DDB"/>
    <w:rsid w:val="00E85F64"/>
    <w:rsid w:val="00EF0370"/>
    <w:rsid w:val="00F26C8F"/>
    <w:rsid w:val="00F35B6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5F86"/>
  <w15:docId w15:val="{E2B00157-86F5-4EAC-B3A4-44F20C30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C8F"/>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C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26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C8F"/>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Rakesh Lodha</dc:creator>
  <cp:lastModifiedBy>Baeuerlein, Christopher</cp:lastModifiedBy>
  <cp:revision>11</cp:revision>
  <dcterms:created xsi:type="dcterms:W3CDTF">2018-05-23T05:12:00Z</dcterms:created>
  <dcterms:modified xsi:type="dcterms:W3CDTF">2019-05-17T12:03:00Z</dcterms:modified>
</cp:coreProperties>
</file>