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31"/>
        <w:tblW w:w="105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2036"/>
        <w:gridCol w:w="2036"/>
        <w:gridCol w:w="2036"/>
      </w:tblGrid>
      <w:tr w:rsidR="00857B45" w:rsidRPr="00857B45" w:rsidTr="00054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86" w:type="dxa"/>
            <w:tcBorders>
              <w:top w:val="single" w:sz="12" w:space="0" w:color="000000"/>
              <w:right w:val="nil"/>
            </w:tcBorders>
            <w:tcMar>
              <w:left w:w="34" w:type="dxa"/>
              <w:right w:w="34" w:type="dxa"/>
            </w:tcMar>
            <w:vAlign w:val="bottom"/>
          </w:tcPr>
          <w:p w:rsidR="00857B45" w:rsidRPr="00857B45" w:rsidRDefault="00857B45" w:rsidP="00054EDF">
            <w:pPr>
              <w:pStyle w:val="NoSpacing"/>
            </w:pPr>
          </w:p>
        </w:tc>
        <w:tc>
          <w:tcPr>
            <w:tcW w:w="4072" w:type="dxa"/>
            <w:gridSpan w:val="2"/>
            <w:tcBorders>
              <w:top w:val="single" w:sz="12" w:space="0" w:color="000000"/>
              <w:left w:val="nil"/>
              <w:right w:val="nil"/>
            </w:tcBorders>
            <w:tcMar>
              <w:left w:w="34" w:type="dxa"/>
              <w:right w:w="34" w:type="dxa"/>
            </w:tcMar>
            <w:vAlign w:val="bottom"/>
          </w:tcPr>
          <w:p w:rsidR="00857B45" w:rsidRPr="00857B45" w:rsidRDefault="00857B45" w:rsidP="00857B45">
            <w:pPr>
              <w:keepNext/>
              <w:pBdr>
                <w:bottom w:val="single" w:sz="6" w:space="0" w:color="auto"/>
              </w:pBdr>
              <w:adjustRightInd w:val="0"/>
              <w:spacing w:before="34" w:after="3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PERSEVERE C</w:t>
            </w:r>
            <w:r w:rsidRPr="00857B45">
              <w:rPr>
                <w:rFonts w:ascii="Arial" w:hAnsi="Arial" w:cs="Arial"/>
                <w:b/>
                <w:color w:val="000000"/>
              </w:rPr>
              <w:t>ohort</w:t>
            </w:r>
          </w:p>
        </w:tc>
        <w:tc>
          <w:tcPr>
            <w:tcW w:w="2036" w:type="dxa"/>
            <w:tcBorders>
              <w:top w:val="single" w:sz="12" w:space="0" w:color="000000"/>
              <w:left w:val="nil"/>
            </w:tcBorders>
            <w:tcMar>
              <w:left w:w="34" w:type="dxa"/>
              <w:right w:w="34" w:type="dxa"/>
            </w:tcMar>
            <w:vAlign w:val="bottom"/>
          </w:tcPr>
          <w:p w:rsidR="00857B45" w:rsidRPr="00857B45" w:rsidRDefault="00857B45" w:rsidP="00857B45">
            <w:pPr>
              <w:keepNext/>
              <w:adjustRightInd w:val="0"/>
              <w:spacing w:before="34" w:after="3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4486" w:type="dxa"/>
            <w:tcBorders>
              <w:bottom w:val="single" w:sz="12" w:space="0" w:color="000000"/>
              <w:right w:val="nil"/>
            </w:tcBorders>
            <w:tcMar>
              <w:left w:w="34" w:type="dxa"/>
              <w:right w:w="34" w:type="dxa"/>
            </w:tcMar>
            <w:vAlign w:val="bottom"/>
          </w:tcPr>
          <w:p w:rsidR="00857B45" w:rsidRPr="00857B45" w:rsidRDefault="00857B45" w:rsidP="00857B45">
            <w:pPr>
              <w:keepNext/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36" w:type="dxa"/>
            <w:tcBorders>
              <w:left w:val="nil"/>
              <w:bottom w:val="single" w:sz="12" w:space="0" w:color="000000"/>
              <w:right w:val="nil"/>
            </w:tcBorders>
            <w:tcMar>
              <w:left w:w="34" w:type="dxa"/>
              <w:right w:w="34" w:type="dxa"/>
            </w:tcMar>
            <w:vAlign w:val="bottom"/>
          </w:tcPr>
          <w:p w:rsidR="00857B45" w:rsidRPr="00857B45" w:rsidRDefault="00857B45" w:rsidP="00857B45">
            <w:pPr>
              <w:keepNext/>
              <w:adjustRightInd w:val="0"/>
              <w:spacing w:before="34" w:after="34"/>
              <w:jc w:val="center"/>
              <w:rPr>
                <w:rFonts w:ascii="Arial" w:hAnsi="Arial" w:cs="Arial"/>
                <w:b/>
                <w:color w:val="000000"/>
              </w:rPr>
            </w:pPr>
            <w:r w:rsidRPr="00857B45">
              <w:rPr>
                <w:rFonts w:ascii="Arial" w:hAnsi="Arial" w:cs="Arial"/>
                <w:b/>
                <w:color w:val="000000"/>
              </w:rPr>
              <w:t>No</w:t>
            </w:r>
            <w:r w:rsidRPr="00857B45">
              <w:rPr>
                <w:rFonts w:ascii="Arial" w:hAnsi="Arial" w:cs="Arial"/>
                <w:b/>
                <w:color w:val="000000"/>
              </w:rPr>
              <w:br/>
              <w:t>(N = 216)</w:t>
            </w:r>
          </w:p>
        </w:tc>
        <w:tc>
          <w:tcPr>
            <w:tcW w:w="2036" w:type="dxa"/>
            <w:tcBorders>
              <w:left w:val="nil"/>
              <w:bottom w:val="single" w:sz="12" w:space="0" w:color="000000"/>
              <w:right w:val="nil"/>
            </w:tcBorders>
            <w:tcMar>
              <w:left w:w="34" w:type="dxa"/>
              <w:right w:w="34" w:type="dxa"/>
            </w:tcMar>
            <w:vAlign w:val="bottom"/>
          </w:tcPr>
          <w:p w:rsidR="00857B45" w:rsidRPr="00857B45" w:rsidRDefault="00857B45" w:rsidP="00857B45">
            <w:pPr>
              <w:keepNext/>
              <w:adjustRightInd w:val="0"/>
              <w:spacing w:before="34" w:after="34"/>
              <w:jc w:val="center"/>
              <w:rPr>
                <w:rFonts w:ascii="Arial" w:hAnsi="Arial" w:cs="Arial"/>
                <w:b/>
                <w:color w:val="000000"/>
              </w:rPr>
            </w:pPr>
            <w:r w:rsidRPr="00857B45">
              <w:rPr>
                <w:rFonts w:ascii="Arial" w:hAnsi="Arial" w:cs="Arial"/>
                <w:b/>
                <w:color w:val="000000"/>
              </w:rPr>
              <w:t>Yes</w:t>
            </w:r>
            <w:r w:rsidRPr="00857B45">
              <w:rPr>
                <w:rFonts w:ascii="Arial" w:hAnsi="Arial" w:cs="Arial"/>
                <w:b/>
                <w:color w:val="000000"/>
              </w:rPr>
              <w:br/>
              <w:t>(N = 173)</w:t>
            </w:r>
          </w:p>
        </w:tc>
        <w:tc>
          <w:tcPr>
            <w:tcW w:w="2036" w:type="dxa"/>
            <w:tcBorders>
              <w:left w:val="nil"/>
              <w:bottom w:val="single" w:sz="12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857B45" w:rsidRPr="00857B45" w:rsidRDefault="00857B45" w:rsidP="00857B45">
            <w:pPr>
              <w:keepNext/>
              <w:adjustRightInd w:val="0"/>
              <w:spacing w:before="34" w:after="34"/>
              <w:jc w:val="center"/>
              <w:rPr>
                <w:rFonts w:ascii="Arial" w:hAnsi="Arial" w:cs="Arial"/>
                <w:b/>
                <w:color w:val="000000"/>
              </w:rPr>
            </w:pPr>
            <w:r w:rsidRPr="00857B45">
              <w:rPr>
                <w:rFonts w:ascii="Arial" w:hAnsi="Arial" w:cs="Arial"/>
                <w:b/>
                <w:color w:val="000000"/>
              </w:rPr>
              <w:t>Overall</w:t>
            </w:r>
            <w:r w:rsidRPr="00857B45">
              <w:rPr>
                <w:rFonts w:ascii="Arial" w:hAnsi="Arial" w:cs="Arial"/>
                <w:b/>
                <w:color w:val="000000"/>
              </w:rPr>
              <w:br/>
              <w:t>(N = 389)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single" w:sz="12" w:space="0" w:color="000000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Age</w:t>
            </w:r>
          </w:p>
        </w:tc>
        <w:tc>
          <w:tcPr>
            <w:tcW w:w="203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3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36" w:type="dxa"/>
            <w:tcBorders>
              <w:top w:val="single" w:sz="12" w:space="0" w:color="000000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0-12 months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43 (19.9%)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24 (13.9%)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67 (17.2%)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13-24 months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18 (8.3%)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22 (12.7%)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40 (10.3%)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2-4 years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43 (19.9%)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27 (15.6%)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70 (18.0%)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5-7 years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27 (12.5%)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16 (9.2%)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43 (11.1%)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8-12 years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39 (18.1%)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33 (19.1%)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72 (18.5%)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13-17 years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46 (21.3%)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51 (29.5%)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97 (24.9%)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Female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98 (45.4%)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80 (46.2%)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178 (45.8%)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Hispanic or Latino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48 (22.2%)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40 (23.1%)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88 (22.6%)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Race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Unknown or not reported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16 (7.4%)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15 (8.7%)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31 (8.0%)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White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123 (56.9%)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111 (64.2%)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234 (60.2%)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Black or African American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46 (21.3%)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34 (19.7%)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80 (20.6%)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Multiracial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8 (3.7%)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5 (2.9%)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13 (3.3%)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Other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23 (10.6%)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8 (4.6%)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31 (8.0%)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Weight at PICU admission (kg)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20.0 [10.5, 37.9]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25.0 [11.2, 50.2]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21.5 [11.2, 42.3]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Height at PICU admission (cm)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111.9 [79.0, 138.5]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117.0 [79.5, 148.3]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114.2 [79.0, 144.8]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Subject immunocompromised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42 (19.4%)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26 (15.0%)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68 (17.5%)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Medical complexity</w:t>
            </w:r>
            <w:r w:rsidRPr="00857B45"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Missing PHIS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 (0.5%)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0 (0.0%)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 (0.3%)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No chronic comorbid conditions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95 (44.0%)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94 (54.3%)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189 (48.6%)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Chronic comorbid conditions (non-complex)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11 (5.1%)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9 (5.2%)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20 (5.1%)</w:t>
            </w:r>
          </w:p>
        </w:tc>
      </w:tr>
      <w:tr w:rsidR="00857B45" w:rsidRP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6" w:type="dxa"/>
            <w:tcBorders>
              <w:top w:val="nil"/>
              <w:bottom w:val="single" w:sz="12" w:space="0" w:color="000000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keepNext/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  Chronic comorbid conditions (complex)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keepNext/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109 (50.5%)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keepNext/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70 (40.5%)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12" w:space="0" w:color="000000"/>
            </w:tcBorders>
            <w:tcMar>
              <w:left w:w="34" w:type="dxa"/>
              <w:right w:w="34" w:type="dxa"/>
            </w:tcMar>
          </w:tcPr>
          <w:p w:rsidR="00857B45" w:rsidRPr="00857B45" w:rsidRDefault="00857B45" w:rsidP="00857B45">
            <w:pPr>
              <w:keepNext/>
              <w:adjustRightInd w:val="0"/>
              <w:spacing w:before="34" w:after="34"/>
              <w:jc w:val="center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</w:rPr>
              <w:t xml:space="preserve">  179 (46.0%)</w:t>
            </w:r>
          </w:p>
        </w:tc>
      </w:tr>
      <w:tr w:rsidR="00857B45" w:rsidTr="00857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94" w:type="dxa"/>
            <w:gridSpan w:val="4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34" w:type="dxa"/>
              <w:right w:w="34" w:type="dxa"/>
            </w:tcMar>
          </w:tcPr>
          <w:p w:rsidR="00857B45" w:rsidRDefault="00857B45" w:rsidP="00857B45">
            <w:pPr>
              <w:keepNext/>
              <w:adjustRightInd w:val="0"/>
              <w:spacing w:before="34" w:after="34"/>
              <w:rPr>
                <w:rFonts w:ascii="Arial" w:hAnsi="Arial" w:cs="Arial"/>
                <w:color w:val="000000"/>
              </w:rPr>
            </w:pPr>
            <w:r w:rsidRPr="00857B45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857B45">
              <w:rPr>
                <w:rFonts w:ascii="Arial" w:hAnsi="Arial" w:cs="Arial"/>
                <w:color w:val="000000"/>
              </w:rPr>
              <w:t>Medical complexity was evaluated using diagnosis codes up to three years prior LAPSE index admission.</w:t>
            </w:r>
          </w:p>
        </w:tc>
      </w:tr>
    </w:tbl>
    <w:p w:rsidR="008E33F1" w:rsidRPr="00857B45" w:rsidRDefault="00857B45" w:rsidP="00857B45">
      <w:pPr>
        <w:ind w:lef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Table 1: </w:t>
      </w:r>
      <w:r>
        <w:rPr>
          <w:rFonts w:ascii="Arial" w:hAnsi="Arial" w:cs="Arial"/>
          <w:sz w:val="24"/>
          <w:szCs w:val="24"/>
        </w:rPr>
        <w:t xml:space="preserve">Clinical and demographic </w:t>
      </w:r>
      <w:r w:rsidR="00D56CCD">
        <w:rPr>
          <w:rFonts w:ascii="Arial" w:hAnsi="Arial" w:cs="Arial"/>
          <w:sz w:val="24"/>
          <w:szCs w:val="24"/>
        </w:rPr>
        <w:t>characteristics</w:t>
      </w:r>
      <w:r>
        <w:rPr>
          <w:rFonts w:ascii="Arial" w:hAnsi="Arial" w:cs="Arial"/>
          <w:sz w:val="24"/>
          <w:szCs w:val="24"/>
        </w:rPr>
        <w:t xml:space="preserve"> of the LAPSE cohorts with and without PERSEVERE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data.</w:t>
      </w:r>
    </w:p>
    <w:sectPr w:rsidR="008E33F1" w:rsidRPr="00857B45" w:rsidSect="00857B45">
      <w:headerReference w:type="default" r:id="rId6"/>
      <w:footerReference w:type="default" r:id="rId7"/>
      <w:pgSz w:w="12240" w:h="15840"/>
      <w:pgMar w:top="1440" w:right="1440" w:bottom="1440" w:left="180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40" w:rsidRDefault="00EC0F40">
      <w:r>
        <w:separator/>
      </w:r>
    </w:p>
  </w:endnote>
  <w:endnote w:type="continuationSeparator" w:id="0">
    <w:p w:rsidR="00EC0F40" w:rsidRDefault="00EC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F1" w:rsidRDefault="008E33F1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40" w:rsidRDefault="00EC0F40">
      <w:r>
        <w:separator/>
      </w:r>
    </w:p>
  </w:footnote>
  <w:footnote w:type="continuationSeparator" w:id="0">
    <w:p w:rsidR="00EC0F40" w:rsidRDefault="00EC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8E33F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E33F1" w:rsidRDefault="008E33F1">
          <w:pPr>
            <w:adjustRightInd w:val="0"/>
            <w:spacing w:before="10" w:after="10"/>
            <w:jc w:val="right"/>
            <w:rPr>
              <w:rFonts w:ascii="Arial" w:hAnsi="Arial" w:cs="Arial"/>
              <w:color w:val="000000"/>
            </w:rPr>
          </w:pPr>
        </w:p>
      </w:tc>
    </w:tr>
  </w:tbl>
  <w:p w:rsidR="008E33F1" w:rsidRDefault="008E33F1">
    <w:pPr>
      <w:adjustRightInd w:val="0"/>
      <w:rPr>
        <w:rFonts w:ascii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88"/>
    <w:rsid w:val="00054EDF"/>
    <w:rsid w:val="000F1882"/>
    <w:rsid w:val="00547588"/>
    <w:rsid w:val="00857B45"/>
    <w:rsid w:val="008E33F1"/>
    <w:rsid w:val="00D56CCD"/>
    <w:rsid w:val="00E31697"/>
    <w:rsid w:val="00E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C2FB29-D412-4D09-A5C8-6CBA07AE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B4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7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B4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54ED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Wong, Hector</cp:lastModifiedBy>
  <cp:revision>2</cp:revision>
  <dcterms:created xsi:type="dcterms:W3CDTF">2019-10-08T20:43:00Z</dcterms:created>
  <dcterms:modified xsi:type="dcterms:W3CDTF">2019-10-08T20:43:00Z</dcterms:modified>
</cp:coreProperties>
</file>