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7EA" w:rsidRDefault="000847EA" w:rsidP="00BE6129">
      <w:pPr>
        <w:ind w:left="720" w:firstLine="1170"/>
        <w:rPr>
          <w:rFonts w:ascii="Calibri" w:hAnsi="Calibri"/>
          <w:b/>
          <w:sz w:val="28"/>
          <w:szCs w:val="28"/>
        </w:rPr>
      </w:pPr>
      <w:r>
        <w:rPr>
          <w:noProof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s1026" type="#_x0000_t75" alt="ttp://i.creativecommons.org/l/by-nc-nd/3.0/80x15.png" style="position:absolute;left:0;text-align:left;margin-left:565.95pt;margin-top:1.65pt;width:59.65pt;height:12.7pt;z-index:251658752;visibility:visible">
            <v:imagedata r:id="rId7" o:title=""/>
          </v:shape>
        </w:pict>
      </w:r>
      <w:r>
        <w:rPr>
          <w:noProof/>
          <w:lang w:eastAsia="zh-CN"/>
        </w:rPr>
        <w:pict>
          <v:shape id="Picture 2" o:spid="_x0000_s1027" type="#_x0000_t75" style="position:absolute;left:0;text-align:left;margin-left:661.3pt;margin-top:-9pt;width:23.6pt;height:23.6pt;z-index:251657728;visibility:visible">
            <v:imagedata r:id="rId8" o:title=""/>
          </v:shape>
        </w:pict>
      </w:r>
      <w:r>
        <w:rPr>
          <w:noProof/>
          <w:lang w:eastAsia="zh-CN"/>
        </w:rPr>
        <w:pict>
          <v:shape id="Picture 4" o:spid="_x0000_s1028" type="#_x0000_t75" style="position:absolute;left:0;text-align:left;margin-left:13.85pt;margin-top:-20.15pt;width:65.45pt;height:42.85pt;z-index:251656704;visibility:visible">
            <v:imagedata r:id="rId9" o:title=""/>
          </v:shape>
        </w:pict>
      </w:r>
      <w:r>
        <w:rPr>
          <w:rFonts w:ascii="Calibri" w:hAnsi="Calibri"/>
          <w:b/>
          <w:sz w:val="28"/>
          <w:szCs w:val="28"/>
        </w:rPr>
        <w:t xml:space="preserve">     </w:t>
      </w:r>
      <w:r w:rsidRPr="000D1BB7">
        <w:rPr>
          <w:rFonts w:ascii="Calibri" w:hAnsi="Calibri"/>
          <w:b/>
          <w:sz w:val="28"/>
          <w:szCs w:val="28"/>
        </w:rPr>
        <w:t>CARE Checklist (2013) of information to include when writing a case report</w:t>
      </w:r>
    </w:p>
    <w:p w:rsidR="000847EA" w:rsidRPr="00BE6129" w:rsidRDefault="000847EA" w:rsidP="00BE6129">
      <w:pPr>
        <w:spacing w:line="240" w:lineRule="exact"/>
        <w:ind w:left="720" w:firstLine="1166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</w:t>
      </w:r>
      <w:r w:rsidRPr="000D1BB7">
        <w:rPr>
          <w:noProof/>
        </w:rPr>
        <w:t xml:space="preserve"> 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0A0"/>
      </w:tblPr>
      <w:tblGrid>
        <w:gridCol w:w="2185"/>
        <w:gridCol w:w="720"/>
        <w:gridCol w:w="9630"/>
        <w:gridCol w:w="2081"/>
      </w:tblGrid>
      <w:tr w:rsidR="000847EA" w:rsidRPr="00056B90" w:rsidTr="00056B90">
        <w:trPr>
          <w:trHeight w:val="374"/>
        </w:trPr>
        <w:tc>
          <w:tcPr>
            <w:tcW w:w="2185" w:type="dxa"/>
            <w:tcBorders>
              <w:left w:val="single" w:sz="4" w:space="0" w:color="auto"/>
            </w:tcBorders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:rsidR="000847EA" w:rsidRPr="00056B90" w:rsidRDefault="000847EA" w:rsidP="00886A5B">
            <w:pPr>
              <w:rPr>
                <w:rFonts w:ascii="Arial" w:hAnsi="Arial" w:cs="Arial"/>
                <w:b/>
                <w:color w:val="FFFFFF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FFFFFF"/>
                <w:sz w:val="21"/>
                <w:szCs w:val="21"/>
              </w:rPr>
              <w:t>Topic</w:t>
            </w:r>
          </w:p>
        </w:tc>
        <w:tc>
          <w:tcPr>
            <w:tcW w:w="720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FFFFFF"/>
                <w:sz w:val="21"/>
                <w:szCs w:val="21"/>
              </w:rPr>
              <w:t xml:space="preserve">Item </w:t>
            </w:r>
          </w:p>
        </w:tc>
        <w:tc>
          <w:tcPr>
            <w:tcW w:w="9630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:rsidR="000847EA" w:rsidRPr="00056B90" w:rsidRDefault="000847EA" w:rsidP="00886A5B">
            <w:pPr>
              <w:rPr>
                <w:rFonts w:ascii="Arial" w:hAnsi="Arial" w:cs="Arial"/>
                <w:b/>
                <w:color w:val="FFFFFF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FFFFFF"/>
                <w:sz w:val="21"/>
                <w:szCs w:val="21"/>
              </w:rPr>
              <w:t>Checklist item description</w:t>
            </w:r>
          </w:p>
        </w:tc>
        <w:tc>
          <w:tcPr>
            <w:tcW w:w="2081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:rsidR="000847EA" w:rsidRPr="00056B90" w:rsidRDefault="000847EA" w:rsidP="005B475C">
            <w:pPr>
              <w:rPr>
                <w:rFonts w:ascii="Arial" w:hAnsi="Arial" w:cs="Arial"/>
                <w:b/>
                <w:color w:val="FFFFFF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FFFFFF"/>
                <w:sz w:val="21"/>
                <w:szCs w:val="21"/>
              </w:rPr>
              <w:t>Reported on Page</w:t>
            </w:r>
          </w:p>
        </w:tc>
      </w:tr>
      <w:tr w:rsidR="000847EA" w:rsidRPr="00056B90" w:rsidTr="00056B90">
        <w:trPr>
          <w:trHeight w:hRule="exact" w:val="346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Title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1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E5DFB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The words “case report” should be in the title along with the area of focus . . . . . . . . . . . . . . . . . . . . . . . . . . . . . . . . . . . </w:t>
            </w:r>
          </w:p>
        </w:tc>
        <w:tc>
          <w:tcPr>
            <w:tcW w:w="2081" w:type="dxa"/>
            <w:tcBorders>
              <w:bottom w:val="single" w:sz="4" w:space="0" w:color="auto"/>
            </w:tcBorders>
            <w:tcMar>
              <w:top w:w="86" w:type="dxa"/>
              <w:bottom w:w="0" w:type="dxa"/>
            </w:tcMar>
            <w:vAlign w:val="center"/>
          </w:tcPr>
          <w:p w:rsidR="000847EA" w:rsidRPr="00526427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/>
                <w:b/>
                <w:sz w:val="21"/>
                <w:szCs w:val="21"/>
                <w:lang w:eastAsia="zh-CN"/>
              </w:rPr>
              <w:t>1</w:t>
            </w:r>
          </w:p>
        </w:tc>
      </w:tr>
      <w:tr w:rsidR="000847EA" w:rsidRPr="00056B90" w:rsidTr="00056B90">
        <w:trPr>
          <w:trHeight w:hRule="exact" w:val="346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Key Words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2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5B475C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z w:val="21"/>
                <w:szCs w:val="21"/>
              </w:rPr>
              <w:t>2 to 5 key words that identify areas covered in this case report</w:t>
            </w: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. . . . . . . . . . . . . . . .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center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color w:val="404040"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color w:val="404040"/>
                <w:sz w:val="21"/>
                <w:szCs w:val="21"/>
                <w:lang w:eastAsia="zh-CN"/>
              </w:rPr>
              <w:t>1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Abstract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3a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0847EA" w:rsidRPr="00056B90" w:rsidRDefault="000847EA" w:rsidP="00056B90">
            <w:pPr>
              <w:spacing w:line="240" w:lineRule="exact"/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Introduction—What is unique about this case? What does it add to the medical literature?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1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3b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0847EA" w:rsidRPr="00056B90" w:rsidRDefault="000847EA" w:rsidP="00056B90">
            <w:pPr>
              <w:spacing w:line="240" w:lineRule="exact"/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The main symptoms of the patient and the important clinical findings . . . . . . . . . . . . . . . . . . . . . . . . . . . . . . . . . . . . . . 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1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3c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0847EA" w:rsidRPr="00056B90" w:rsidRDefault="000847EA" w:rsidP="00056B90">
            <w:pPr>
              <w:spacing w:line="240" w:lineRule="exact"/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The main diagnoses, therapeutics interventions, and outcomes . . . .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1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3d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0847EA" w:rsidRPr="00056B90" w:rsidRDefault="000847EA" w:rsidP="00056B90">
            <w:pPr>
              <w:spacing w:line="240" w:lineRule="exact"/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Conclusion—What are the main “take-away” lessons from this case? 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1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Introduction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4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0847EA" w:rsidRPr="00056B90" w:rsidRDefault="000847EA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z w:val="21"/>
                <w:szCs w:val="21"/>
              </w:rPr>
              <w:t xml:space="preserve">One or two paragraphs summarizing why this case is unique with references . . .  </w:t>
            </w: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. . . . . . . . . . . . . . . . . . .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1-2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Patient Information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5a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0847EA" w:rsidRPr="00056B90" w:rsidRDefault="000847EA" w:rsidP="000E5DF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z w:val="21"/>
                <w:szCs w:val="21"/>
              </w:rPr>
              <w:t xml:space="preserve">De-identified demographic information and other patient specific information </w:t>
            </w: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. . . . . . . . . . . . . . . . . . . . . . . .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2-3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5b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0847EA" w:rsidRPr="00056B90" w:rsidRDefault="000847EA" w:rsidP="000E5DF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z w:val="21"/>
                <w:szCs w:val="21"/>
              </w:rPr>
              <w:t>Main concerns and symptoms of the patient</w:t>
            </w: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 . . . . . . . . . . . . . . . .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2-3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5c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0847EA" w:rsidRPr="00056B90" w:rsidRDefault="000847EA" w:rsidP="000E5DF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z w:val="21"/>
                <w:szCs w:val="21"/>
              </w:rPr>
              <w:t xml:space="preserve">Medical, family, and psychosocial history including relevant genetic information (also see timeline).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2-3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5d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0847EA" w:rsidRPr="00056B90" w:rsidRDefault="000847EA" w:rsidP="00652B4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z w:val="21"/>
                <w:szCs w:val="21"/>
              </w:rPr>
              <w:t xml:space="preserve">Relevant past interventions and their outcomes </w:t>
            </w: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. . . . . . . . . . . . . . . . . . . . . . . . . . . . . . . . . . . . . . . . . . . . . . . . . . .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2-3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Clinical Findings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6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tabs>
                <w:tab w:val="left" w:pos="2816"/>
              </w:tabs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z w:val="21"/>
                <w:szCs w:val="21"/>
              </w:rPr>
              <w:t xml:space="preserve">Describe the relevant physical examination (PE) and other significant clinical findings. </w:t>
            </w: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>. . . . . . . . . . . . . . .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2-3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Timeline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7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:rsidR="000847EA" w:rsidRPr="00056B90" w:rsidRDefault="000847EA" w:rsidP="004E1B03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z w:val="21"/>
                <w:szCs w:val="21"/>
              </w:rPr>
              <w:t xml:space="preserve">Important information from the patient’s history organized as a timeline . . . . . . . . . . . . . . . . . </w:t>
            </w: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2-3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Diagnostic Assessment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8a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:rsidR="000847EA" w:rsidRPr="00056B90" w:rsidRDefault="000847EA" w:rsidP="000E5DF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z w:val="21"/>
                <w:szCs w:val="21"/>
              </w:rPr>
              <w:t xml:space="preserve">Diagnostic methods (such as PE, laboratory testing, imaging, surveys). </w:t>
            </w: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>. . . . . . . . . . . . . . . . . . . . . . . . . . . . .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2-3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8b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:rsidR="000847EA" w:rsidRPr="00056B90" w:rsidRDefault="000847EA" w:rsidP="000E5DF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z w:val="21"/>
                <w:szCs w:val="21"/>
              </w:rPr>
              <w:t>Diagnostic challenges (such as access, financial, or cultural)</w:t>
            </w: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2-3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8c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:rsidR="000847EA" w:rsidRPr="00056B90" w:rsidRDefault="000847EA" w:rsidP="009A54A4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z w:val="21"/>
                <w:szCs w:val="21"/>
              </w:rPr>
              <w:t xml:space="preserve">Diagnostic reasoning including other diagnoses considered </w:t>
            </w: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.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2-3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8d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:rsidR="000847EA" w:rsidRPr="00056B90" w:rsidRDefault="000847EA" w:rsidP="009A54A4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z w:val="21"/>
                <w:szCs w:val="21"/>
              </w:rPr>
              <w:t xml:space="preserve">Prognostic characteristics (such as staging in oncology) where applicable </w:t>
            </w: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2-3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Therapeutic Intervention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9a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0847EA" w:rsidRPr="00056B90" w:rsidRDefault="000847EA" w:rsidP="00056B90">
            <w:pPr>
              <w:spacing w:line="240" w:lineRule="exact"/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Types of intervention (such as pharmacologic, surgical, preventive, self-care)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2-3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9b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0847EA" w:rsidRPr="00056B90" w:rsidRDefault="000847EA" w:rsidP="00056B90">
            <w:pPr>
              <w:spacing w:line="240" w:lineRule="exact"/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Administration of intervention (such as dosage, strength, duration)  .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2-3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9c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0847EA" w:rsidRPr="00056B90" w:rsidRDefault="000847EA" w:rsidP="00056B90">
            <w:pPr>
              <w:spacing w:line="240" w:lineRule="exact"/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Changes in intervention (with rationale)  . . . . . . . . . . . . . . . . . . . . . . . .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2-3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Follow-up and</w:t>
            </w:r>
          </w:p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Outcomes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10a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0847EA" w:rsidRPr="00056B90" w:rsidRDefault="000847EA" w:rsidP="00056B90">
            <w:pPr>
              <w:spacing w:line="240" w:lineRule="exact"/>
              <w:rPr>
                <w:rFonts w:ascii="Arial" w:eastAsia="PMingLiU" w:hAnsi="Arial" w:cs="Arial"/>
                <w:color w:val="000000"/>
                <w:spacing w:val="-10"/>
                <w:sz w:val="21"/>
                <w:szCs w:val="21"/>
              </w:rPr>
            </w:pPr>
            <w:r w:rsidRPr="00056B90">
              <w:rPr>
                <w:rFonts w:ascii="Arial" w:eastAsia="PMingLiU" w:hAnsi="Arial" w:cs="Arial"/>
                <w:color w:val="000000"/>
                <w:spacing w:val="-10"/>
                <w:sz w:val="21"/>
                <w:szCs w:val="21"/>
              </w:rPr>
              <w:t xml:space="preserve">Clinician and patient-assessed outcomes (when appropriate) . . . . . . . . . . . . . . . . .. </w:t>
            </w: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. . . . . . . . . . . . . . . . . . . . . . . . . . . 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4-7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10b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0847EA" w:rsidRPr="00056B90" w:rsidRDefault="000847EA" w:rsidP="00056B90">
            <w:pPr>
              <w:spacing w:line="240" w:lineRule="exact"/>
              <w:rPr>
                <w:rFonts w:ascii="Arial" w:eastAsia="PMingLiU" w:hAnsi="Arial" w:cs="Arial"/>
                <w:color w:val="000000"/>
                <w:spacing w:val="-10"/>
                <w:sz w:val="21"/>
                <w:szCs w:val="21"/>
              </w:rPr>
            </w:pPr>
            <w:r w:rsidRPr="00056B90">
              <w:rPr>
                <w:rFonts w:ascii="Arial" w:eastAsia="PMingLiU" w:hAnsi="Arial" w:cs="Arial"/>
                <w:color w:val="000000"/>
                <w:spacing w:val="-10"/>
                <w:sz w:val="21"/>
                <w:szCs w:val="21"/>
              </w:rPr>
              <w:t xml:space="preserve">Important follow-up diagnostic and other test results  . . . . . . </w:t>
            </w: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>. . . . . . . . . . . . . . . . . . . . . . . . . . . . . . . . . . . . . . . . . . .</w:t>
            </w:r>
            <w:r w:rsidRPr="00056B90">
              <w:rPr>
                <w:rFonts w:ascii="Arial" w:eastAsia="PMingLiU" w:hAnsi="Arial" w:cs="Arial"/>
                <w:color w:val="000000"/>
                <w:spacing w:val="-10"/>
                <w:sz w:val="21"/>
                <w:szCs w:val="21"/>
              </w:rPr>
              <w:t xml:space="preserve"> . . .   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3-7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10c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0847EA" w:rsidRPr="00056B90" w:rsidRDefault="000847EA" w:rsidP="00056B90">
            <w:pPr>
              <w:spacing w:line="240" w:lineRule="exact"/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Intervention adherence and tolerability (How was this assessed?) . .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4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10d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0847EA" w:rsidRPr="00056B90" w:rsidRDefault="000847EA" w:rsidP="00056B90">
            <w:pPr>
              <w:spacing w:line="240" w:lineRule="exact"/>
              <w:rPr>
                <w:rFonts w:ascii="Arial" w:eastAsia="PMingLiU" w:hAnsi="Arial" w:cs="Arial"/>
                <w:color w:val="000000"/>
                <w:spacing w:val="-1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Adverse and unanticipated events  . . . . . . . . . . . . . . . . . . . . . . . . . . . .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4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Discussion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11a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0847EA" w:rsidRPr="00056B90" w:rsidRDefault="000847EA" w:rsidP="00056B90">
            <w:pPr>
              <w:spacing w:line="240" w:lineRule="exact"/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Discussion of the strengths and limitations in your approach to this case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8-9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11b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0847EA" w:rsidRPr="00056B90" w:rsidRDefault="000847EA" w:rsidP="00056B90">
            <w:pPr>
              <w:spacing w:line="240" w:lineRule="exact"/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Discussion of the relevant medical literature. . . . . . . . . . . . . . . . . . . . . . . . . . . . . . . . . . . . . . . . . </w:t>
            </w:r>
            <w:r w:rsidRPr="00056B90">
              <w:rPr>
                <w:rFonts w:ascii="Arial" w:hAnsi="Arial" w:cs="Arial"/>
                <w:color w:val="000000"/>
                <w:sz w:val="21"/>
                <w:szCs w:val="21"/>
              </w:rPr>
              <w:t xml:space="preserve">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7-8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11c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0847EA" w:rsidRPr="00056B90" w:rsidRDefault="000847EA" w:rsidP="00056B90">
            <w:pPr>
              <w:spacing w:line="240" w:lineRule="exact"/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The rationale for conclusions (including assessment of possible causes)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8-9</w:t>
            </w:r>
          </w:p>
        </w:tc>
      </w:tr>
      <w:tr w:rsidR="000847EA" w:rsidRPr="00056B90" w:rsidTr="00056B90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11d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0847EA" w:rsidRPr="00056B90" w:rsidRDefault="000847EA" w:rsidP="00056B90">
            <w:pPr>
              <w:spacing w:line="240" w:lineRule="exact"/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The primary “take-away” lessons of this case report . . . . . . . . . . . . . . . . . . . . . . . . . .  .. . . . . . . . . . . . . . . </w:t>
            </w:r>
            <w:r w:rsidRPr="00056B90">
              <w:rPr>
                <w:rFonts w:ascii="Arial" w:hAnsi="Arial" w:cs="Arial"/>
                <w:color w:val="000000"/>
                <w:sz w:val="21"/>
                <w:szCs w:val="21"/>
              </w:rPr>
              <w:t xml:space="preserve">. . . . . . . . .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8-9</w:t>
            </w:r>
          </w:p>
        </w:tc>
      </w:tr>
      <w:tr w:rsidR="000847EA" w:rsidRPr="00056B90" w:rsidTr="00056B90">
        <w:trPr>
          <w:trHeight w:val="202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Patient Perspective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12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0847EA" w:rsidRPr="00056B90" w:rsidRDefault="000847EA" w:rsidP="00CA1A5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When appropriate the patient should share their perspective on the treatments they received   . . . . . . . . . . . . . . . . . </w:t>
            </w:r>
            <w:bookmarkStart w:id="0" w:name="_GoBack"/>
            <w:bookmarkEnd w:id="0"/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E815C4" w:rsidRDefault="000847EA" w:rsidP="00056B90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4</w:t>
            </w:r>
          </w:p>
        </w:tc>
      </w:tr>
      <w:tr w:rsidR="000847EA" w:rsidRPr="00056B90" w:rsidTr="00056B90">
        <w:trPr>
          <w:trHeight w:val="202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0847EA" w:rsidRPr="00056B90" w:rsidRDefault="000847EA" w:rsidP="00F17AF2">
            <w:pPr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Informed Consent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0847EA" w:rsidRPr="00056B90" w:rsidRDefault="000847EA" w:rsidP="00056B90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color w:val="000000"/>
                <w:sz w:val="21"/>
                <w:szCs w:val="21"/>
              </w:rPr>
              <w:t>13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0847EA" w:rsidRPr="00056B90" w:rsidRDefault="000847EA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56B90">
              <w:rPr>
                <w:rFonts w:ascii="Arial" w:hAnsi="Arial" w:cs="Arial"/>
                <w:color w:val="000000"/>
                <w:spacing w:val="-10"/>
                <w:sz w:val="21"/>
                <w:szCs w:val="21"/>
              </w:rPr>
              <w:t xml:space="preserve">Did the patient give informed consent? Please provide if requested  . . . . . . . . . . . . . . . . . . . . . . . . . . . . . . . </w:t>
            </w:r>
            <w:r w:rsidRPr="00056B90">
              <w:rPr>
                <w:rFonts w:ascii="Arial" w:hAnsi="Arial" w:cs="Arial"/>
                <w:color w:val="000000"/>
                <w:sz w:val="21"/>
                <w:szCs w:val="21"/>
              </w:rPr>
              <w:t xml:space="preserve">. . . . . . . 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0847EA" w:rsidRPr="00056B90" w:rsidRDefault="000847EA" w:rsidP="00CF3117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056B90">
              <w:rPr>
                <w:rFonts w:ascii="Arial" w:hAnsi="Arial" w:cs="Arial"/>
                <w:b/>
                <w:sz w:val="21"/>
                <w:szCs w:val="21"/>
              </w:rPr>
              <w:t xml:space="preserve">  Yes  </w:t>
            </w:r>
            <w:bookmarkStart w:id="1" w:name="Check1"/>
            <w:r>
              <w:rPr>
                <w:rFonts w:ascii="Arial" w:eastAsia="宋体" w:hAnsi="Arial" w:cs="Arial" w:hint="eastAsia"/>
                <w:b/>
                <w:sz w:val="21"/>
                <w:szCs w:val="21"/>
                <w:lang w:eastAsia="zh-CN"/>
              </w:rPr>
              <w:t>√</w:t>
            </w:r>
            <w:bookmarkEnd w:id="1"/>
            <w:r w:rsidRPr="00056B90">
              <w:rPr>
                <w:rFonts w:ascii="｣ﾍ｣ﾓ ･ｴ･ｷ･ﾃ･ｯ" w:eastAsia="｣ﾍ｣ﾓ ･ｴ･ｷ･ﾃ･ｯ" w:hAnsi="｣ﾍ｣ﾓ ･ｴ･ｷ･ﾃ･ｯ" w:cs="Arial"/>
                <w:b/>
                <w:sz w:val="21"/>
                <w:szCs w:val="21"/>
              </w:rPr>
              <w:t xml:space="preserve"> </w:t>
            </w:r>
            <w:r w:rsidRPr="00056B90">
              <w:rPr>
                <w:rFonts w:ascii="Arial" w:hAnsi="Arial" w:cs="Arial"/>
                <w:b/>
                <w:sz w:val="21"/>
                <w:szCs w:val="21"/>
              </w:rPr>
              <w:t xml:space="preserve">  No  </w:t>
            </w:r>
            <w:bookmarkStart w:id="2" w:name="Check2"/>
            <w:r w:rsidRPr="00056B90">
              <w:rPr>
                <w:rFonts w:ascii="｣ﾍ｣ﾓ ･ｴ･ｷ･ﾃ･ｯ" w:eastAsia="｣ﾍ｣ﾓ ･ｴ･ｷ･ﾃ･ｯ" w:hAnsi="｣ﾍ｣ﾓ ･ｴ･ｷ･ﾃ･ｯ" w:cs="Arial"/>
                <w:b/>
                <w:sz w:val="21"/>
                <w:szCs w:val="2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6B90">
              <w:rPr>
                <w:rFonts w:ascii="｣ﾍ｣ﾓ ･ｴ･ｷ･ﾃ･ｯ" w:eastAsia="｣ﾍ｣ﾓ ･ｴ･ｷ･ﾃ･ｯ" w:hAnsi="｣ﾍ｣ﾓ ･ｴ･ｷ･ﾃ･ｯ" w:cs="Arial"/>
                <w:b/>
                <w:sz w:val="21"/>
                <w:szCs w:val="21"/>
              </w:rPr>
              <w:instrText xml:space="preserve"> FORMCHECKBOX </w:instrText>
            </w:r>
            <w:r w:rsidRPr="00056B90">
              <w:rPr>
                <w:rFonts w:ascii="｣ﾍ｣ﾓ ･ｴ･ｷ･ﾃ･ｯ" w:eastAsia="｣ﾍ｣ﾓ ･ｴ･ｷ･ﾃ･ｯ" w:hAnsi="｣ﾍ｣ﾓ ･ｴ･ｷ･ﾃ･ｯ" w:cs="Arial"/>
                <w:b/>
                <w:sz w:val="21"/>
                <w:szCs w:val="21"/>
              </w:rPr>
            </w:r>
            <w:r w:rsidRPr="00056B90">
              <w:rPr>
                <w:rFonts w:ascii="｣ﾍ｣ﾓ ･ｴ･ｷ･ﾃ･ｯ" w:eastAsia="｣ﾍ｣ﾓ ･ｴ･ｷ･ﾃ･ｯ" w:hAnsi="｣ﾍ｣ﾓ ･ｴ･ｷ･ﾃ･ｯ" w:cs="Arial"/>
                <w:b/>
                <w:sz w:val="21"/>
                <w:szCs w:val="21"/>
              </w:rPr>
              <w:fldChar w:fldCharType="end"/>
            </w:r>
            <w:bookmarkEnd w:id="2"/>
          </w:p>
        </w:tc>
      </w:tr>
    </w:tbl>
    <w:p w:rsidR="000847EA" w:rsidRPr="00D571EE" w:rsidRDefault="000847EA" w:rsidP="00CF3117">
      <w:pPr>
        <w:rPr>
          <w:b/>
          <w:sz w:val="21"/>
          <w:szCs w:val="21"/>
        </w:rPr>
      </w:pPr>
    </w:p>
    <w:sectPr w:rsidR="000847EA" w:rsidRPr="00D571EE" w:rsidSect="00BE6129">
      <w:pgSz w:w="15840" w:h="12240" w:orient="landscape"/>
      <w:pgMar w:top="540" w:right="720" w:bottom="216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47EA" w:rsidRDefault="000847EA" w:rsidP="000717BB">
      <w:r>
        <w:separator/>
      </w:r>
    </w:p>
  </w:endnote>
  <w:endnote w:type="continuationSeparator" w:id="0">
    <w:p w:rsidR="000847EA" w:rsidRDefault="000847EA" w:rsidP="000717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｣ﾍ｣ﾓ ﾃｯ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??朢痽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｣ﾍ｣ﾓ ･ｴ･ｷ･ﾃ･ｯ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47EA" w:rsidRDefault="000847EA" w:rsidP="000717BB">
      <w:r>
        <w:separator/>
      </w:r>
    </w:p>
  </w:footnote>
  <w:footnote w:type="continuationSeparator" w:id="0">
    <w:p w:rsidR="000847EA" w:rsidRDefault="000847EA" w:rsidP="000717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A0B68"/>
    <w:multiLevelType w:val="hybridMultilevel"/>
    <w:tmpl w:val="A95CCF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83133F"/>
    <w:multiLevelType w:val="hybridMultilevel"/>
    <w:tmpl w:val="4782B6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338ABFE8">
      <w:start w:val="1"/>
      <w:numFmt w:val="decimal"/>
      <w:lvlText w:val="(%2)"/>
      <w:lvlJc w:val="left"/>
      <w:pPr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3D57D2E"/>
    <w:multiLevelType w:val="hybridMultilevel"/>
    <w:tmpl w:val="ED046AAE"/>
    <w:lvl w:ilvl="0" w:tplc="6AF4B05A">
      <w:start w:val="3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1F0AC5"/>
    <w:multiLevelType w:val="hybridMultilevel"/>
    <w:tmpl w:val="91F83D9C"/>
    <w:lvl w:ilvl="0" w:tplc="BF886D6E">
      <w:start w:val="1"/>
      <w:numFmt w:val="lowerLetter"/>
      <w:lvlText w:val="%1)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ACC354F"/>
    <w:multiLevelType w:val="hybridMultilevel"/>
    <w:tmpl w:val="8A569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EAB4193"/>
    <w:multiLevelType w:val="hybridMultilevel"/>
    <w:tmpl w:val="DA3E3CDE"/>
    <w:lvl w:ilvl="0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0D07228"/>
    <w:multiLevelType w:val="hybridMultilevel"/>
    <w:tmpl w:val="50065E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E9F523B"/>
    <w:multiLevelType w:val="multilevel"/>
    <w:tmpl w:val="DA3E3CD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66F7F6F"/>
    <w:multiLevelType w:val="multilevel"/>
    <w:tmpl w:val="7884DE4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6BE5609"/>
    <w:multiLevelType w:val="hybridMultilevel"/>
    <w:tmpl w:val="9B6640B4"/>
    <w:lvl w:ilvl="0" w:tplc="315E600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DCA2D4A"/>
    <w:multiLevelType w:val="hybridMultilevel"/>
    <w:tmpl w:val="73D8A5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E394122"/>
    <w:multiLevelType w:val="multilevel"/>
    <w:tmpl w:val="ED046AAE"/>
    <w:lvl w:ilvl="0">
      <w:start w:val="3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4535433"/>
    <w:multiLevelType w:val="multilevel"/>
    <w:tmpl w:val="F710D242"/>
    <w:lvl w:ilvl="0">
      <w:start w:val="3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A184CF1"/>
    <w:multiLevelType w:val="multilevel"/>
    <w:tmpl w:val="9B6640B4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2956237"/>
    <w:multiLevelType w:val="multilevel"/>
    <w:tmpl w:val="50065EBC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6D55F85"/>
    <w:multiLevelType w:val="hybridMultilevel"/>
    <w:tmpl w:val="56FC75C8"/>
    <w:lvl w:ilvl="0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D107FCF"/>
    <w:multiLevelType w:val="multilevel"/>
    <w:tmpl w:val="50065EBC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0462893"/>
    <w:multiLevelType w:val="hybridMultilevel"/>
    <w:tmpl w:val="A1E2F5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C123ED3"/>
    <w:multiLevelType w:val="multilevel"/>
    <w:tmpl w:val="67CC949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DA40BC0"/>
    <w:multiLevelType w:val="hybridMultilevel"/>
    <w:tmpl w:val="F710D242"/>
    <w:lvl w:ilvl="0" w:tplc="6AF4B05A">
      <w:start w:val="3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F3057F7"/>
    <w:multiLevelType w:val="hybridMultilevel"/>
    <w:tmpl w:val="BFD02A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84F5244"/>
    <w:multiLevelType w:val="hybridMultilevel"/>
    <w:tmpl w:val="82EC127E"/>
    <w:lvl w:ilvl="0" w:tplc="315E600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8CB50F0"/>
    <w:multiLevelType w:val="hybridMultilevel"/>
    <w:tmpl w:val="7884DE4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8"/>
  </w:num>
  <w:num w:numId="3">
    <w:abstractNumId w:val="6"/>
  </w:num>
  <w:num w:numId="4">
    <w:abstractNumId w:val="16"/>
  </w:num>
  <w:num w:numId="5">
    <w:abstractNumId w:val="14"/>
  </w:num>
  <w:num w:numId="6">
    <w:abstractNumId w:val="3"/>
  </w:num>
  <w:num w:numId="7">
    <w:abstractNumId w:val="0"/>
  </w:num>
  <w:num w:numId="8">
    <w:abstractNumId w:val="5"/>
  </w:num>
  <w:num w:numId="9">
    <w:abstractNumId w:val="7"/>
  </w:num>
  <w:num w:numId="10">
    <w:abstractNumId w:val="2"/>
  </w:num>
  <w:num w:numId="11">
    <w:abstractNumId w:val="18"/>
  </w:num>
  <w:num w:numId="12">
    <w:abstractNumId w:val="11"/>
  </w:num>
  <w:num w:numId="13">
    <w:abstractNumId w:val="19"/>
  </w:num>
  <w:num w:numId="14">
    <w:abstractNumId w:val="12"/>
  </w:num>
  <w:num w:numId="15">
    <w:abstractNumId w:val="21"/>
  </w:num>
  <w:num w:numId="16">
    <w:abstractNumId w:val="9"/>
  </w:num>
  <w:num w:numId="17">
    <w:abstractNumId w:val="13"/>
  </w:num>
  <w:num w:numId="18">
    <w:abstractNumId w:val="17"/>
  </w:num>
  <w:num w:numId="19">
    <w:abstractNumId w:val="15"/>
  </w:num>
  <w:num w:numId="20">
    <w:abstractNumId w:val="10"/>
  </w:num>
  <w:num w:numId="21">
    <w:abstractNumId w:val="4"/>
  </w:num>
  <w:num w:numId="22">
    <w:abstractNumId w:val="1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bordersDoNotSurroundHeader/>
  <w:bordersDoNotSurroundFooter/>
  <w:defaultTabStop w:val="7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7929"/>
    <w:rsid w:val="000269E4"/>
    <w:rsid w:val="000443C5"/>
    <w:rsid w:val="00056B90"/>
    <w:rsid w:val="00064BC7"/>
    <w:rsid w:val="000717BB"/>
    <w:rsid w:val="000847EA"/>
    <w:rsid w:val="000B7F80"/>
    <w:rsid w:val="000C4E9F"/>
    <w:rsid w:val="000D1BB7"/>
    <w:rsid w:val="000E5DFB"/>
    <w:rsid w:val="00150443"/>
    <w:rsid w:val="00191C69"/>
    <w:rsid w:val="00256DBE"/>
    <w:rsid w:val="00276343"/>
    <w:rsid w:val="0029224A"/>
    <w:rsid w:val="002A71F5"/>
    <w:rsid w:val="002E553E"/>
    <w:rsid w:val="002E5F4A"/>
    <w:rsid w:val="002F186F"/>
    <w:rsid w:val="003377AC"/>
    <w:rsid w:val="003B34D6"/>
    <w:rsid w:val="00402F6B"/>
    <w:rsid w:val="00404885"/>
    <w:rsid w:val="00431FAA"/>
    <w:rsid w:val="00437929"/>
    <w:rsid w:val="00482D8C"/>
    <w:rsid w:val="004D359B"/>
    <w:rsid w:val="004E1B03"/>
    <w:rsid w:val="00521C8F"/>
    <w:rsid w:val="00526427"/>
    <w:rsid w:val="00535C36"/>
    <w:rsid w:val="0053796E"/>
    <w:rsid w:val="005B475C"/>
    <w:rsid w:val="005D1EFC"/>
    <w:rsid w:val="005D5210"/>
    <w:rsid w:val="00643B92"/>
    <w:rsid w:val="00652B45"/>
    <w:rsid w:val="00690107"/>
    <w:rsid w:val="00751830"/>
    <w:rsid w:val="007E323B"/>
    <w:rsid w:val="00806CF9"/>
    <w:rsid w:val="00826790"/>
    <w:rsid w:val="00860017"/>
    <w:rsid w:val="00886A5B"/>
    <w:rsid w:val="008C68DF"/>
    <w:rsid w:val="00931B00"/>
    <w:rsid w:val="009A54A4"/>
    <w:rsid w:val="00A24371"/>
    <w:rsid w:val="00A26648"/>
    <w:rsid w:val="00AB698F"/>
    <w:rsid w:val="00AD0DDA"/>
    <w:rsid w:val="00AD2660"/>
    <w:rsid w:val="00AE1864"/>
    <w:rsid w:val="00B04039"/>
    <w:rsid w:val="00B52B25"/>
    <w:rsid w:val="00BC2FC7"/>
    <w:rsid w:val="00BE6129"/>
    <w:rsid w:val="00BE6818"/>
    <w:rsid w:val="00BF00BB"/>
    <w:rsid w:val="00C02781"/>
    <w:rsid w:val="00C22600"/>
    <w:rsid w:val="00CA1A5D"/>
    <w:rsid w:val="00CD3927"/>
    <w:rsid w:val="00CF3117"/>
    <w:rsid w:val="00D571EE"/>
    <w:rsid w:val="00DB5B52"/>
    <w:rsid w:val="00DE3469"/>
    <w:rsid w:val="00E1219A"/>
    <w:rsid w:val="00E6228D"/>
    <w:rsid w:val="00E67C5F"/>
    <w:rsid w:val="00E815C4"/>
    <w:rsid w:val="00F17AF2"/>
    <w:rsid w:val="00F220FF"/>
    <w:rsid w:val="00FC03F0"/>
    <w:rsid w:val="00FC5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｣ﾍ｣ﾓ ﾃｯ" w:hAnsi="Cambria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3469"/>
    <w:rPr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37929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52B2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rsid w:val="00B52B25"/>
    <w:rPr>
      <w:rFonts w:cs="Times New Roman"/>
      <w:sz w:val="16"/>
    </w:rPr>
  </w:style>
  <w:style w:type="paragraph" w:styleId="BalloonText">
    <w:name w:val="Balloon Text"/>
    <w:basedOn w:val="Normal"/>
    <w:link w:val="BalloonTextChar"/>
    <w:uiPriority w:val="99"/>
    <w:semiHidden/>
    <w:rsid w:val="00BF00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F00B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0717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717B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717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717B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1</Pages>
  <Words>734</Words>
  <Characters>4184</Characters>
  <Application>Microsoft Office Outlook</Application>
  <DocSecurity>0</DocSecurity>
  <Lines>0</Lines>
  <Paragraphs>0</Paragraphs>
  <ScaleCrop>false</ScaleCrop>
  <Company>GAHM, LLC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Snyder</dc:creator>
  <cp:keywords/>
  <dc:description/>
  <cp:lastModifiedBy>boss</cp:lastModifiedBy>
  <cp:revision>5</cp:revision>
  <cp:lastPrinted>2013-10-14T04:25:00Z</cp:lastPrinted>
  <dcterms:created xsi:type="dcterms:W3CDTF">2014-06-02T22:02:00Z</dcterms:created>
  <dcterms:modified xsi:type="dcterms:W3CDTF">2015-07-22T01:11:00Z</dcterms:modified>
</cp:coreProperties>
</file>