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8F" w:rsidRDefault="0044098F">
      <w:pPr>
        <w:rPr>
          <w:rFonts w:ascii="Arial" w:hAnsi="Arial" w:cs="Arial"/>
        </w:rPr>
      </w:pPr>
    </w:p>
    <w:p w:rsidR="0044098F" w:rsidRPr="003D4EDC" w:rsidRDefault="0044098F" w:rsidP="003D4EDC">
      <w:pPr>
        <w:spacing w:after="160" w:line="259" w:lineRule="auto"/>
        <w:rPr>
          <w:rFonts w:eastAsia="Calibri"/>
          <w:b/>
          <w:color w:val="000000"/>
        </w:rPr>
      </w:pPr>
      <w:r>
        <w:rPr>
          <w:rFonts w:eastAsia="Calibri"/>
          <w:b/>
          <w:color w:val="000000"/>
        </w:rPr>
        <w:t xml:space="preserve">Appendix A: Literature </w:t>
      </w:r>
      <w:r w:rsidRPr="003D4EDC">
        <w:rPr>
          <w:rFonts w:eastAsia="Calibri"/>
          <w:b/>
          <w:color w:val="000000"/>
        </w:rPr>
        <w:t>Search Strategy</w:t>
      </w:r>
    </w:p>
    <w:p w:rsidR="0044098F" w:rsidRPr="006B4FCE" w:rsidRDefault="0044098F" w:rsidP="0080533B">
      <w:pPr>
        <w:spacing w:after="160" w:line="259" w:lineRule="auto"/>
        <w:rPr>
          <w:rFonts w:eastAsia="Calibri"/>
          <w:color w:val="000000"/>
        </w:rPr>
      </w:pPr>
      <w:r w:rsidRPr="003D4EDC">
        <w:rPr>
          <w:rFonts w:eastAsia="Calibri"/>
          <w:color w:val="000000"/>
        </w:rPr>
        <w:t xml:space="preserve">We performed a literature search using electronic databases PubMed/Medline and EMBASE. The following </w:t>
      </w:r>
      <w:r w:rsidRPr="003D4EDC">
        <w:rPr>
          <w:rFonts w:eastAsia="Calibri"/>
          <w:noProof/>
          <w:color w:val="000000"/>
        </w:rPr>
        <w:t>key words</w:t>
      </w:r>
      <w:r>
        <w:rPr>
          <w:rFonts w:eastAsia="Calibri"/>
          <w:noProof/>
          <w:color w:val="000000"/>
        </w:rPr>
        <w:t xml:space="preserve"> </w:t>
      </w:r>
      <w:r w:rsidRPr="003D4EDC">
        <w:rPr>
          <w:rFonts w:eastAsia="Calibri"/>
          <w:color w:val="000000"/>
        </w:rPr>
        <w:t>were searched as text and exploded as medical subject headings (MeSH) where possible</w:t>
      </w:r>
      <w:r>
        <w:rPr>
          <w:rFonts w:eastAsia="Calibri"/>
          <w:color w:val="000000"/>
        </w:rPr>
        <w:t xml:space="preserve">: </w:t>
      </w:r>
      <w:r w:rsidRPr="003D4EDC">
        <w:rPr>
          <w:rFonts w:eastAsia="Calibri"/>
          <w:color w:val="000000"/>
        </w:rPr>
        <w:t xml:space="preserve">‘Patient Protection and Affordable Care Act,’ ‘Affordable Care Act,’ ‘health care reform,’ ‘healthcare reform,’ ‘Medicaid expansion,’ and ‘Obamacare,’ in conjunction with ‘cancer,’ ‘cancer screening,’ ‘cancer diagnosis,’ and ‘early detection of cancer’. Boolean operators AND </w:t>
      </w:r>
      <w:r>
        <w:rPr>
          <w:rFonts w:eastAsia="Calibri"/>
          <w:color w:val="000000"/>
        </w:rPr>
        <w:t xml:space="preserve">and </w:t>
      </w:r>
      <w:r w:rsidRPr="003D4EDC">
        <w:rPr>
          <w:rFonts w:eastAsia="Calibri"/>
          <w:color w:val="000000"/>
        </w:rPr>
        <w:t>OR were used</w:t>
      </w:r>
      <w:r>
        <w:rPr>
          <w:rFonts w:eastAsia="Calibri"/>
          <w:color w:val="000000"/>
        </w:rPr>
        <w:t xml:space="preserve">; </w:t>
      </w:r>
      <w:r w:rsidRPr="003D4EDC">
        <w:rPr>
          <w:rFonts w:eastAsia="Calibri"/>
          <w:color w:val="000000"/>
        </w:rPr>
        <w:t xml:space="preserve">the truncation symbol * was also applied. The strategy used for PubMed/Medline was also adapted for EMBASE (Table </w:t>
      </w:r>
      <w:r>
        <w:rPr>
          <w:rFonts w:eastAsia="Calibri"/>
          <w:color w:val="000000"/>
        </w:rPr>
        <w:t>A</w:t>
      </w:r>
      <w:r w:rsidRPr="003D4EDC">
        <w:rPr>
          <w:rFonts w:eastAsia="Calibri"/>
          <w:color w:val="000000"/>
        </w:rPr>
        <w:t>1). We used the Google Scholar search engine to identify potential studies not captured in the database search</w:t>
      </w:r>
      <w:r>
        <w:rPr>
          <w:rFonts w:eastAsia="Calibri"/>
          <w:color w:val="000000"/>
        </w:rPr>
        <w:t xml:space="preserve"> and </w:t>
      </w:r>
      <w:r w:rsidRPr="003D4EDC">
        <w:rPr>
          <w:rFonts w:eastAsia="Calibri"/>
          <w:color w:val="000000"/>
        </w:rPr>
        <w:t xml:space="preserve">checked the first 150 hits. </w:t>
      </w:r>
      <w:r>
        <w:rPr>
          <w:rFonts w:eastAsia="Calibri"/>
          <w:color w:val="000000"/>
        </w:rPr>
        <w:t xml:space="preserve">We conducted a secondary search to identify any additional articles related to Massachusetts health reform and cancer screening or diagnosis. </w:t>
      </w:r>
      <w:r w:rsidRPr="003D4EDC">
        <w:rPr>
          <w:rFonts w:eastAsia="Calibri"/>
          <w:color w:val="000000"/>
        </w:rPr>
        <w:t>We reviewed all reference lists and bibliographies of included studies for relevant studies that were not picked up through electronic search. To identify new leads, we searched main health services research</w:t>
      </w:r>
      <w:r w:rsidR="00002865">
        <w:rPr>
          <w:rFonts w:eastAsia="Calibri"/>
          <w:color w:val="000000"/>
        </w:rPr>
        <w:t xml:space="preserve"> journals</w:t>
      </w:r>
      <w:r w:rsidRPr="003D4EDC">
        <w:rPr>
          <w:rFonts w:eastAsia="Calibri"/>
          <w:color w:val="000000"/>
        </w:rPr>
        <w:t>, public health journals, and conference proceedings (</w:t>
      </w:r>
      <w:r>
        <w:rPr>
          <w:rFonts w:eastAsia="Calibri"/>
          <w:color w:val="000000"/>
        </w:rPr>
        <w:t>Table A2</w:t>
      </w:r>
      <w:r w:rsidRPr="003D4EDC">
        <w:rPr>
          <w:rFonts w:eastAsia="Calibri"/>
          <w:color w:val="000000"/>
        </w:rPr>
        <w:t>)</w:t>
      </w:r>
      <w:r>
        <w:rPr>
          <w:rFonts w:eastAsia="Calibri"/>
          <w:color w:val="000000"/>
        </w:rPr>
        <w:t xml:space="preserve">. </w:t>
      </w:r>
    </w:p>
    <w:p w:rsidR="0044098F" w:rsidRDefault="0044098F" w:rsidP="00EC38A1">
      <w:pPr>
        <w:spacing w:after="160" w:line="259" w:lineRule="auto"/>
        <w:rPr>
          <w:rFonts w:eastAsia="Calibri"/>
          <w:b/>
        </w:rPr>
      </w:pPr>
    </w:p>
    <w:p w:rsidR="0044098F" w:rsidRPr="009E5A12" w:rsidRDefault="0044098F" w:rsidP="00EC38A1">
      <w:pPr>
        <w:spacing w:after="160" w:line="259" w:lineRule="auto"/>
        <w:rPr>
          <w:rFonts w:eastAsia="Calibri"/>
          <w:b/>
        </w:rPr>
      </w:pPr>
      <w:r>
        <w:rPr>
          <w:rFonts w:eastAsia="Calibri"/>
          <w:b/>
        </w:rPr>
        <w:t>Appendix Table A1</w:t>
      </w:r>
      <w:r w:rsidRPr="009E5A12">
        <w:rPr>
          <w:rFonts w:eastAsia="Calibri"/>
          <w:b/>
        </w:rPr>
        <w:t xml:space="preserve">. PubMed/MEDLINE Search Strategy </w:t>
      </w:r>
    </w:p>
    <w:tbl>
      <w:tblPr>
        <w:tblStyle w:val="GridTable4-Accent31"/>
        <w:tblW w:w="0" w:type="auto"/>
        <w:tblLook w:val="04A0" w:firstRow="1" w:lastRow="0" w:firstColumn="1" w:lastColumn="0" w:noHBand="0" w:noVBand="1"/>
      </w:tblPr>
      <w:tblGrid>
        <w:gridCol w:w="720"/>
        <w:gridCol w:w="7920"/>
      </w:tblGrid>
      <w:tr w:rsidR="0044098F" w:rsidRPr="00EC38A1" w:rsidTr="00EC38A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640" w:type="dxa"/>
            <w:gridSpan w:val="2"/>
          </w:tcPr>
          <w:p w:rsidR="0044098F" w:rsidRPr="00EC38A1" w:rsidRDefault="0044098F" w:rsidP="00EC38A1">
            <w:pPr>
              <w:tabs>
                <w:tab w:val="left" w:pos="3470"/>
                <w:tab w:val="left" w:pos="6170"/>
                <w:tab w:val="left" w:pos="6930"/>
              </w:tabs>
            </w:pPr>
            <w:r w:rsidRPr="00EC38A1">
              <w:t>Appendix: PubMed / MEDLINE Search</w:t>
            </w:r>
            <w:r w:rsidRPr="00EC38A1">
              <w:tab/>
            </w:r>
            <w:r w:rsidRPr="00EC38A1">
              <w:tab/>
            </w:r>
            <w:r w:rsidRPr="00EC38A1">
              <w:tab/>
            </w:r>
          </w:p>
        </w:tc>
      </w:tr>
      <w:tr w:rsidR="0044098F" w:rsidRPr="00EC38A1" w:rsidTr="00EC38A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tcPr>
          <w:p w:rsidR="0044098F" w:rsidRPr="00EC38A1" w:rsidRDefault="0044098F" w:rsidP="00EC38A1">
            <w:pPr>
              <w:jc w:val="center"/>
            </w:pPr>
            <w:r w:rsidRPr="00EC38A1">
              <w:t>1</w:t>
            </w:r>
          </w:p>
        </w:tc>
        <w:tc>
          <w:tcPr>
            <w:tcW w:w="7920" w:type="dxa"/>
          </w:tcPr>
          <w:p w:rsidR="0044098F" w:rsidRPr="00EC38A1" w:rsidRDefault="0044098F" w:rsidP="00EC38A1">
            <w:pPr>
              <w:tabs>
                <w:tab w:val="left" w:pos="3470"/>
              </w:tabs>
              <w:cnfStyle w:val="000000100000" w:firstRow="0" w:lastRow="0" w:firstColumn="0" w:lastColumn="0" w:oddVBand="0" w:evenVBand="0" w:oddHBand="1" w:evenHBand="0" w:firstRowFirstColumn="0" w:firstRowLastColumn="0" w:lastRowFirstColumn="0" w:lastRowLastColumn="0"/>
            </w:pPr>
            <w:r w:rsidRPr="00EC38A1">
              <w:rPr>
                <w:bCs/>
                <w:color w:val="000000"/>
              </w:rPr>
              <w:t>"Mass Screening"[</w:t>
            </w:r>
            <w:r>
              <w:rPr>
                <w:bCs/>
                <w:color w:val="000000"/>
              </w:rPr>
              <w:t>MeSH</w:t>
            </w:r>
            <w:r w:rsidRPr="00EC38A1">
              <w:rPr>
                <w:bCs/>
                <w:color w:val="000000"/>
              </w:rPr>
              <w:t>]</w:t>
            </w:r>
            <w:r w:rsidRPr="00EC38A1">
              <w:t xml:space="preserve"> OR </w:t>
            </w:r>
            <w:r w:rsidRPr="00EC38A1">
              <w:rPr>
                <w:bCs/>
                <w:color w:val="000000"/>
              </w:rPr>
              <w:t>"Early Detection of Cancer"[</w:t>
            </w:r>
            <w:r>
              <w:rPr>
                <w:bCs/>
                <w:color w:val="000000"/>
              </w:rPr>
              <w:t>MeSH</w:t>
            </w:r>
            <w:r w:rsidRPr="00EC38A1">
              <w:rPr>
                <w:bCs/>
                <w:color w:val="000000"/>
              </w:rPr>
              <w:t>]</w:t>
            </w:r>
          </w:p>
        </w:tc>
      </w:tr>
      <w:tr w:rsidR="0044098F" w:rsidRPr="00EC38A1" w:rsidTr="00D47581">
        <w:trPr>
          <w:trHeight w:val="432"/>
        </w:trPr>
        <w:tc>
          <w:tcPr>
            <w:cnfStyle w:val="001000000000" w:firstRow="0" w:lastRow="0" w:firstColumn="1" w:lastColumn="0" w:oddVBand="0" w:evenVBand="0" w:oddHBand="0" w:evenHBand="0" w:firstRowFirstColumn="0" w:firstRowLastColumn="0" w:lastRowFirstColumn="0" w:lastRowLastColumn="0"/>
            <w:tcW w:w="720" w:type="dxa"/>
          </w:tcPr>
          <w:p w:rsidR="0044098F" w:rsidRPr="00EC38A1" w:rsidRDefault="0044098F" w:rsidP="00EC38A1">
            <w:pPr>
              <w:jc w:val="center"/>
            </w:pPr>
            <w:r w:rsidRPr="00EC38A1">
              <w:t>2</w:t>
            </w:r>
          </w:p>
        </w:tc>
        <w:tc>
          <w:tcPr>
            <w:tcW w:w="7920" w:type="dxa"/>
          </w:tcPr>
          <w:p w:rsidR="0044098F" w:rsidRPr="00EC38A1" w:rsidRDefault="0044098F" w:rsidP="00EC38A1">
            <w:pPr>
              <w:cnfStyle w:val="000000000000" w:firstRow="0" w:lastRow="0" w:firstColumn="0" w:lastColumn="0" w:oddVBand="0" w:evenVBand="0" w:oddHBand="0" w:evenHBand="0" w:firstRowFirstColumn="0" w:firstRowLastColumn="0" w:lastRowFirstColumn="0" w:lastRowLastColumn="0"/>
            </w:pPr>
            <w:r w:rsidRPr="00EC38A1">
              <w:t>screening[all fields] OR diagnosis[all fields]</w:t>
            </w:r>
          </w:p>
        </w:tc>
      </w:tr>
      <w:tr w:rsidR="0044098F" w:rsidRPr="00EC38A1" w:rsidTr="00EC38A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tcPr>
          <w:p w:rsidR="0044098F" w:rsidRPr="00EC38A1" w:rsidRDefault="0044098F" w:rsidP="00EC38A1">
            <w:pPr>
              <w:jc w:val="center"/>
            </w:pPr>
            <w:r w:rsidRPr="00EC38A1">
              <w:t>3</w:t>
            </w:r>
          </w:p>
        </w:tc>
        <w:tc>
          <w:tcPr>
            <w:tcW w:w="7920" w:type="dxa"/>
          </w:tcPr>
          <w:p w:rsidR="0044098F" w:rsidRPr="00EC38A1" w:rsidRDefault="0044098F" w:rsidP="00EC38A1">
            <w:pPr>
              <w:cnfStyle w:val="000000100000" w:firstRow="0" w:lastRow="0" w:firstColumn="0" w:lastColumn="0" w:oddVBand="0" w:evenVBand="0" w:oddHBand="1" w:evenHBand="0" w:firstRowFirstColumn="0" w:firstRowLastColumn="0" w:lastRowFirstColumn="0" w:lastRowLastColumn="0"/>
            </w:pPr>
            <w:r w:rsidRPr="00EC38A1">
              <w:t>1 OR 2</w:t>
            </w:r>
          </w:p>
        </w:tc>
      </w:tr>
      <w:tr w:rsidR="0044098F" w:rsidRPr="00EC38A1" w:rsidTr="00D47581">
        <w:trPr>
          <w:trHeight w:val="432"/>
        </w:trPr>
        <w:tc>
          <w:tcPr>
            <w:cnfStyle w:val="001000000000" w:firstRow="0" w:lastRow="0" w:firstColumn="1" w:lastColumn="0" w:oddVBand="0" w:evenVBand="0" w:oddHBand="0" w:evenHBand="0" w:firstRowFirstColumn="0" w:firstRowLastColumn="0" w:lastRowFirstColumn="0" w:lastRowLastColumn="0"/>
            <w:tcW w:w="720" w:type="dxa"/>
          </w:tcPr>
          <w:p w:rsidR="0044098F" w:rsidRPr="00EC38A1" w:rsidRDefault="0044098F" w:rsidP="00EC38A1">
            <w:pPr>
              <w:jc w:val="center"/>
            </w:pPr>
            <w:r w:rsidRPr="00EC38A1">
              <w:t>4</w:t>
            </w:r>
          </w:p>
        </w:tc>
        <w:tc>
          <w:tcPr>
            <w:tcW w:w="7920" w:type="dxa"/>
          </w:tcPr>
          <w:p w:rsidR="0044098F" w:rsidRPr="00EC38A1" w:rsidRDefault="0044098F" w:rsidP="00C0389B">
            <w:pPr>
              <w:cnfStyle w:val="000000000000" w:firstRow="0" w:lastRow="0" w:firstColumn="0" w:lastColumn="0" w:oddVBand="0" w:evenVBand="0" w:oddHBand="0" w:evenHBand="0" w:firstRowFirstColumn="0" w:firstRowLastColumn="0" w:lastRowFirstColumn="0" w:lastRowLastColumn="0"/>
            </w:pPr>
            <w:r w:rsidRPr="00EC38A1">
              <w:rPr>
                <w:bCs/>
                <w:color w:val="000000"/>
              </w:rPr>
              <w:t>"Neoplasms"[Me</w:t>
            </w:r>
            <w:r w:rsidR="00C0389B">
              <w:rPr>
                <w:bCs/>
                <w:color w:val="000000"/>
              </w:rPr>
              <w:t>SH</w:t>
            </w:r>
            <w:r w:rsidRPr="00EC38A1">
              <w:rPr>
                <w:bCs/>
                <w:color w:val="000000"/>
              </w:rPr>
              <w:t>]</w:t>
            </w:r>
          </w:p>
        </w:tc>
      </w:tr>
      <w:tr w:rsidR="0044098F" w:rsidRPr="00EC38A1" w:rsidTr="00EC38A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tcPr>
          <w:p w:rsidR="0044098F" w:rsidRPr="00EC38A1" w:rsidRDefault="0044098F" w:rsidP="00EC38A1">
            <w:pPr>
              <w:jc w:val="center"/>
            </w:pPr>
            <w:r w:rsidRPr="00EC38A1">
              <w:t>5</w:t>
            </w:r>
          </w:p>
        </w:tc>
        <w:tc>
          <w:tcPr>
            <w:tcW w:w="7920" w:type="dxa"/>
          </w:tcPr>
          <w:p w:rsidR="0044098F" w:rsidRPr="00EC38A1" w:rsidRDefault="0044098F" w:rsidP="00EC38A1">
            <w:pPr>
              <w:cnfStyle w:val="000000100000" w:firstRow="0" w:lastRow="0" w:firstColumn="0" w:lastColumn="0" w:oddVBand="0" w:evenVBand="0" w:oddHBand="1" w:evenHBand="0" w:firstRowFirstColumn="0" w:firstRowLastColumn="0" w:lastRowFirstColumn="0" w:lastRowLastColumn="0"/>
            </w:pPr>
            <w:r w:rsidRPr="00EC38A1">
              <w:t>cancer[tiab] OR cancers[tiab] OR neoplasm[tiab] OR neoplasms[tiab] OR tumor[tiab] OR tumors[tiab] OR carcinoma[tiab] OR carcinomas[tiab]</w:t>
            </w:r>
          </w:p>
        </w:tc>
      </w:tr>
      <w:tr w:rsidR="0044098F" w:rsidRPr="00EC38A1" w:rsidTr="00D47581">
        <w:trPr>
          <w:trHeight w:val="432"/>
        </w:trPr>
        <w:tc>
          <w:tcPr>
            <w:cnfStyle w:val="001000000000" w:firstRow="0" w:lastRow="0" w:firstColumn="1" w:lastColumn="0" w:oddVBand="0" w:evenVBand="0" w:oddHBand="0" w:evenHBand="0" w:firstRowFirstColumn="0" w:firstRowLastColumn="0" w:lastRowFirstColumn="0" w:lastRowLastColumn="0"/>
            <w:tcW w:w="720" w:type="dxa"/>
          </w:tcPr>
          <w:p w:rsidR="0044098F" w:rsidRPr="00EC38A1" w:rsidRDefault="0044098F" w:rsidP="00EC38A1">
            <w:pPr>
              <w:jc w:val="center"/>
            </w:pPr>
            <w:r w:rsidRPr="00EC38A1">
              <w:t>6</w:t>
            </w:r>
          </w:p>
        </w:tc>
        <w:tc>
          <w:tcPr>
            <w:tcW w:w="7920" w:type="dxa"/>
          </w:tcPr>
          <w:p w:rsidR="0044098F" w:rsidRPr="00EC38A1" w:rsidRDefault="0044098F" w:rsidP="00EC38A1">
            <w:pPr>
              <w:cnfStyle w:val="000000000000" w:firstRow="0" w:lastRow="0" w:firstColumn="0" w:lastColumn="0" w:oddVBand="0" w:evenVBand="0" w:oddHBand="0" w:evenHBand="0" w:firstRowFirstColumn="0" w:firstRowLastColumn="0" w:lastRowFirstColumn="0" w:lastRowLastColumn="0"/>
            </w:pPr>
            <w:r w:rsidRPr="00EC38A1">
              <w:t>4 OR 5</w:t>
            </w:r>
          </w:p>
        </w:tc>
      </w:tr>
      <w:tr w:rsidR="0044098F" w:rsidRPr="00EC38A1" w:rsidTr="00EC38A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tcPr>
          <w:p w:rsidR="0044098F" w:rsidRPr="00EC38A1" w:rsidRDefault="0044098F" w:rsidP="00EC38A1">
            <w:pPr>
              <w:jc w:val="center"/>
            </w:pPr>
            <w:r w:rsidRPr="00EC38A1">
              <w:t>7</w:t>
            </w:r>
          </w:p>
        </w:tc>
        <w:tc>
          <w:tcPr>
            <w:tcW w:w="7920" w:type="dxa"/>
          </w:tcPr>
          <w:p w:rsidR="0044098F" w:rsidRPr="00EC38A1" w:rsidRDefault="0044098F" w:rsidP="00144F3B">
            <w:pPr>
              <w:cnfStyle w:val="000000100000" w:firstRow="0" w:lastRow="0" w:firstColumn="0" w:lastColumn="0" w:oddVBand="0" w:evenVBand="0" w:oddHBand="1" w:evenHBand="0" w:firstRowFirstColumn="0" w:firstRowLastColumn="0" w:lastRowFirstColumn="0" w:lastRowLastColumn="0"/>
            </w:pPr>
            <w:r w:rsidRPr="00EC38A1">
              <w:rPr>
                <w:bCs/>
                <w:color w:val="000000"/>
              </w:rPr>
              <w:t>"Patient Protection and Affordable Care Act"[Me</w:t>
            </w:r>
            <w:r w:rsidR="00144F3B">
              <w:rPr>
                <w:bCs/>
                <w:color w:val="000000"/>
              </w:rPr>
              <w:t>SH</w:t>
            </w:r>
            <w:r w:rsidRPr="00EC38A1">
              <w:rPr>
                <w:bCs/>
                <w:color w:val="000000"/>
              </w:rPr>
              <w:t>]</w:t>
            </w:r>
          </w:p>
        </w:tc>
      </w:tr>
      <w:tr w:rsidR="0044098F" w:rsidRPr="00EC38A1" w:rsidTr="00D47581">
        <w:trPr>
          <w:trHeight w:val="432"/>
        </w:trPr>
        <w:tc>
          <w:tcPr>
            <w:cnfStyle w:val="001000000000" w:firstRow="0" w:lastRow="0" w:firstColumn="1" w:lastColumn="0" w:oddVBand="0" w:evenVBand="0" w:oddHBand="0" w:evenHBand="0" w:firstRowFirstColumn="0" w:firstRowLastColumn="0" w:lastRowFirstColumn="0" w:lastRowLastColumn="0"/>
            <w:tcW w:w="720" w:type="dxa"/>
          </w:tcPr>
          <w:p w:rsidR="0044098F" w:rsidRPr="00EC38A1" w:rsidRDefault="0044098F" w:rsidP="00EC38A1">
            <w:pPr>
              <w:jc w:val="center"/>
            </w:pPr>
            <w:r w:rsidRPr="00EC38A1">
              <w:t>8</w:t>
            </w:r>
          </w:p>
        </w:tc>
        <w:tc>
          <w:tcPr>
            <w:tcW w:w="7920" w:type="dxa"/>
          </w:tcPr>
          <w:p w:rsidR="0044098F" w:rsidRPr="00EC38A1" w:rsidRDefault="0044098F" w:rsidP="00EC38A1">
            <w:pPr>
              <w:cnfStyle w:val="000000000000" w:firstRow="0" w:lastRow="0" w:firstColumn="0" w:lastColumn="0" w:oddVBand="0" w:evenVBand="0" w:oddHBand="0" w:evenHBand="0" w:firstRowFirstColumn="0" w:firstRowLastColumn="0" w:lastRowFirstColumn="0" w:lastRowLastColumn="0"/>
            </w:pPr>
            <w:r w:rsidRPr="00EC38A1">
              <w:rPr>
                <w:bCs/>
                <w:color w:val="000000"/>
              </w:rPr>
              <w:t>"affordable care act"[tiab] OR "medicaid expansion"[tiab] OR "health care reform"[tiab] OR "healthcare reform"[tiab] OR obamacare</w:t>
            </w:r>
          </w:p>
        </w:tc>
      </w:tr>
      <w:tr w:rsidR="0044098F" w:rsidRPr="00EC38A1" w:rsidTr="00EC38A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tcPr>
          <w:p w:rsidR="0044098F" w:rsidRPr="00EC38A1" w:rsidRDefault="0044098F" w:rsidP="00EC38A1">
            <w:pPr>
              <w:jc w:val="center"/>
            </w:pPr>
            <w:r w:rsidRPr="00EC38A1">
              <w:t>9</w:t>
            </w:r>
          </w:p>
        </w:tc>
        <w:tc>
          <w:tcPr>
            <w:tcW w:w="7920" w:type="dxa"/>
          </w:tcPr>
          <w:p w:rsidR="0044098F" w:rsidRPr="00EC38A1" w:rsidRDefault="0044098F" w:rsidP="00EC38A1">
            <w:pPr>
              <w:cnfStyle w:val="000000100000" w:firstRow="0" w:lastRow="0" w:firstColumn="0" w:lastColumn="0" w:oddVBand="0" w:evenVBand="0" w:oddHBand="1" w:evenHBand="0" w:firstRowFirstColumn="0" w:firstRowLastColumn="0" w:lastRowFirstColumn="0" w:lastRowLastColumn="0"/>
            </w:pPr>
            <w:r w:rsidRPr="00EC38A1">
              <w:t>7 OR 8</w:t>
            </w:r>
          </w:p>
        </w:tc>
      </w:tr>
      <w:tr w:rsidR="0044098F" w:rsidRPr="00EC38A1" w:rsidTr="00D47581">
        <w:trPr>
          <w:trHeight w:val="432"/>
        </w:trPr>
        <w:tc>
          <w:tcPr>
            <w:cnfStyle w:val="001000000000" w:firstRow="0" w:lastRow="0" w:firstColumn="1" w:lastColumn="0" w:oddVBand="0" w:evenVBand="0" w:oddHBand="0" w:evenHBand="0" w:firstRowFirstColumn="0" w:firstRowLastColumn="0" w:lastRowFirstColumn="0" w:lastRowLastColumn="0"/>
            <w:tcW w:w="720" w:type="dxa"/>
          </w:tcPr>
          <w:p w:rsidR="0044098F" w:rsidRPr="00EC38A1" w:rsidRDefault="0044098F" w:rsidP="00EC38A1">
            <w:pPr>
              <w:jc w:val="center"/>
            </w:pPr>
            <w:r w:rsidRPr="00EC38A1">
              <w:t>10</w:t>
            </w:r>
          </w:p>
        </w:tc>
        <w:tc>
          <w:tcPr>
            <w:tcW w:w="7920" w:type="dxa"/>
          </w:tcPr>
          <w:p w:rsidR="0044098F" w:rsidRPr="00EC38A1" w:rsidRDefault="0044098F" w:rsidP="00EC38A1">
            <w:pPr>
              <w:cnfStyle w:val="000000000000" w:firstRow="0" w:lastRow="0" w:firstColumn="0" w:lastColumn="0" w:oddVBand="0" w:evenVBand="0" w:oddHBand="0" w:evenHBand="0" w:firstRowFirstColumn="0" w:firstRowLastColumn="0" w:lastRowFirstColumn="0" w:lastRowLastColumn="0"/>
            </w:pPr>
            <w:r w:rsidRPr="00EC38A1">
              <w:t>3 OR 6 OR 9</w:t>
            </w:r>
          </w:p>
        </w:tc>
      </w:tr>
    </w:tbl>
    <w:p w:rsidR="0044098F" w:rsidRPr="00EC38A1" w:rsidRDefault="0044098F" w:rsidP="00EC38A1">
      <w:pPr>
        <w:spacing w:after="160" w:line="259" w:lineRule="auto"/>
        <w:rPr>
          <w:rFonts w:eastAsia="Calibri"/>
        </w:rPr>
      </w:pPr>
      <w:r w:rsidRPr="00EC38A1">
        <w:rPr>
          <w:rFonts w:eastAsia="Calibri"/>
        </w:rPr>
        <w:t xml:space="preserve">Abbreviation: </w:t>
      </w:r>
      <w:r>
        <w:rPr>
          <w:rFonts w:eastAsia="Calibri"/>
        </w:rPr>
        <w:t>MeSH</w:t>
      </w:r>
      <w:r w:rsidRPr="00EC38A1">
        <w:rPr>
          <w:rFonts w:eastAsia="Calibri"/>
        </w:rPr>
        <w:t>, Medical Subject Headings</w:t>
      </w:r>
    </w:p>
    <w:p w:rsidR="0044098F" w:rsidRDefault="0044098F"/>
    <w:p w:rsidR="0044098F" w:rsidRDefault="0044098F"/>
    <w:p w:rsidR="0044098F" w:rsidRDefault="0044098F"/>
    <w:p w:rsidR="0044098F" w:rsidRDefault="0044098F">
      <w:pPr>
        <w:rPr>
          <w:rFonts w:eastAsia="Calibri"/>
          <w:b/>
        </w:rPr>
      </w:pPr>
      <w:r>
        <w:rPr>
          <w:rFonts w:eastAsia="Calibri"/>
          <w:b/>
        </w:rPr>
        <w:br w:type="page"/>
      </w:r>
    </w:p>
    <w:p w:rsidR="0044098F" w:rsidRPr="009E5A12" w:rsidRDefault="0044098F" w:rsidP="00EC38A1">
      <w:pPr>
        <w:spacing w:after="160" w:line="259" w:lineRule="auto"/>
        <w:rPr>
          <w:rFonts w:eastAsia="Calibri"/>
          <w:b/>
        </w:rPr>
      </w:pPr>
      <w:r>
        <w:rPr>
          <w:rFonts w:eastAsia="Calibri"/>
          <w:b/>
        </w:rPr>
        <w:lastRenderedPageBreak/>
        <w:t>Appendix Table A2</w:t>
      </w:r>
      <w:r w:rsidRPr="009E5A12">
        <w:rPr>
          <w:rFonts w:eastAsia="Calibri"/>
          <w:b/>
        </w:rPr>
        <w:t xml:space="preserve">. Journals and Conference Proceedings Search </w:t>
      </w:r>
      <w:r>
        <w:rPr>
          <w:rFonts w:eastAsia="Calibri"/>
          <w:b/>
        </w:rPr>
        <w:t>S</w:t>
      </w:r>
      <w:r w:rsidRPr="009E5A12">
        <w:rPr>
          <w:rFonts w:eastAsia="Calibri"/>
          <w:b/>
        </w:rPr>
        <w:t>trategy</w:t>
      </w:r>
    </w:p>
    <w:p w:rsidR="0044098F" w:rsidRPr="00EC38A1" w:rsidRDefault="0044098F" w:rsidP="00EC38A1">
      <w:pPr>
        <w:spacing w:after="160" w:line="259" w:lineRule="auto"/>
        <w:rPr>
          <w:rFonts w:eastAsia="Calibri"/>
        </w:rPr>
      </w:pPr>
    </w:p>
    <w:tbl>
      <w:tblPr>
        <w:tblStyle w:val="TableGrid1"/>
        <w:tblW w:w="0" w:type="auto"/>
        <w:tblLook w:val="04A0" w:firstRow="1" w:lastRow="0" w:firstColumn="1" w:lastColumn="0" w:noHBand="0" w:noVBand="1"/>
      </w:tblPr>
      <w:tblGrid>
        <w:gridCol w:w="3055"/>
        <w:gridCol w:w="6295"/>
      </w:tblGrid>
      <w:tr w:rsidR="0044098F" w:rsidRPr="00EC38A1" w:rsidTr="00B36C26">
        <w:tc>
          <w:tcPr>
            <w:tcW w:w="3055" w:type="dxa"/>
          </w:tcPr>
          <w:p w:rsidR="0044098F" w:rsidRPr="00EC38A1" w:rsidRDefault="0044098F" w:rsidP="00B36C26">
            <w:r w:rsidRPr="00EC38A1">
              <w:t>Hand search</w:t>
            </w:r>
            <w:r w:rsidR="00B36C26">
              <w:t>ed</w:t>
            </w:r>
            <w:r w:rsidRPr="00EC38A1">
              <w:t xml:space="preserve"> journals</w:t>
            </w:r>
          </w:p>
        </w:tc>
        <w:tc>
          <w:tcPr>
            <w:tcW w:w="6295" w:type="dxa"/>
          </w:tcPr>
          <w:p w:rsidR="0044098F" w:rsidRPr="00EC38A1" w:rsidRDefault="0044098F" w:rsidP="00EC38A1">
            <w:r w:rsidRPr="00EC38A1">
              <w:t>The following journals that we considered most likely to include relevant primary studies were hand searched for the years 2010 and 2016:</w:t>
            </w:r>
          </w:p>
          <w:p w:rsidR="0044098F" w:rsidRPr="00EC38A1" w:rsidRDefault="0044098F" w:rsidP="00EC38A1"/>
          <w:p w:rsidR="0044098F" w:rsidRPr="00EC38A1" w:rsidRDefault="0044098F" w:rsidP="00EC38A1">
            <w:r w:rsidRPr="00EC38A1">
              <w:t xml:space="preserve">American Journal of Preventive Medicine (AJPM); Applied Health Economics and Health Policy; Cancer; Cancer Epidemiology; Health Affairs; American Journal of Public Health; Cancer; Health Economics; Health Services Research (HSR); Journal of the American Medical Association(JAMA); Journal of Health Economic ; Journal of the National Cancer Institute (JNCI); New England Journal of Medicine (NEJM); Preventing Chronic Disease; Value in Health </w:t>
            </w:r>
          </w:p>
        </w:tc>
      </w:tr>
      <w:tr w:rsidR="0044098F" w:rsidRPr="00EC38A1" w:rsidTr="00B36C26">
        <w:tc>
          <w:tcPr>
            <w:tcW w:w="3055" w:type="dxa"/>
          </w:tcPr>
          <w:p w:rsidR="0044098F" w:rsidRPr="00EC38A1" w:rsidRDefault="0044098F" w:rsidP="00EC38A1">
            <w:r w:rsidRPr="00EC38A1">
              <w:t>Conference proceedings</w:t>
            </w:r>
          </w:p>
        </w:tc>
        <w:tc>
          <w:tcPr>
            <w:tcW w:w="6295" w:type="dxa"/>
          </w:tcPr>
          <w:p w:rsidR="0044098F" w:rsidRPr="00EC38A1" w:rsidRDefault="0044098F" w:rsidP="00EC38A1">
            <w:r w:rsidRPr="00EC38A1">
              <w:t>The following conferences proceedings that we considered most likely to identify ongoing studies were searched for the years 2010 and 2016:</w:t>
            </w:r>
          </w:p>
          <w:p w:rsidR="0044098F" w:rsidRPr="00EC38A1" w:rsidRDefault="0044098F" w:rsidP="00EC38A1"/>
          <w:p w:rsidR="0044098F" w:rsidRPr="00EC38A1" w:rsidRDefault="0044098F" w:rsidP="00EC38A1">
            <w:r w:rsidRPr="00EC38A1">
              <w:t>American Public Health Association (APHA); American Association for Cancer Research (AACR); AcademyHealth's (ARM); American Society of Clinical Oncology (ASCO); American Society of Health Economists (ASHEcon); Association for Public Policy Analysis and Management (APPAM); International Society For Pharmacoeconomics and Outcomes Research (ISPOR)</w:t>
            </w:r>
          </w:p>
        </w:tc>
      </w:tr>
    </w:tbl>
    <w:p w:rsidR="0044098F" w:rsidRPr="00EC38A1" w:rsidRDefault="0044098F"/>
    <w:p w:rsidR="0044098F" w:rsidRDefault="0044098F"/>
    <w:p w:rsidR="0044098F" w:rsidRDefault="0044098F"/>
    <w:p w:rsidR="0044098F" w:rsidRDefault="0044098F"/>
    <w:p w:rsidR="0044098F" w:rsidRDefault="0044098F"/>
    <w:p w:rsidR="0044098F" w:rsidRDefault="0044098F"/>
    <w:p w:rsidR="0044098F" w:rsidRDefault="0044098F"/>
    <w:p w:rsidR="0044098F" w:rsidRDefault="0044098F"/>
    <w:p w:rsidR="0044098F" w:rsidRDefault="0044098F"/>
    <w:p w:rsidR="0044098F" w:rsidRDefault="0044098F"/>
    <w:p w:rsidR="0044098F" w:rsidRDefault="0044098F"/>
    <w:p w:rsidR="0044098F" w:rsidRDefault="0044098F"/>
    <w:p w:rsidR="00B36C26" w:rsidRDefault="00B36C26">
      <w:pPr>
        <w:spacing w:after="160" w:line="259" w:lineRule="auto"/>
        <w:rPr>
          <w:rFonts w:cs="Arial"/>
          <w:b/>
        </w:rPr>
      </w:pPr>
      <w:r>
        <w:rPr>
          <w:rFonts w:cs="Arial"/>
          <w:b/>
        </w:rPr>
        <w:br w:type="page"/>
      </w:r>
    </w:p>
    <w:p w:rsidR="0044098F" w:rsidRDefault="0044098F" w:rsidP="002F490D">
      <w:pPr>
        <w:rPr>
          <w:rFonts w:cs="Arial"/>
          <w:b/>
        </w:rPr>
      </w:pPr>
      <w:r w:rsidRPr="00541222">
        <w:rPr>
          <w:rFonts w:cs="Arial"/>
          <w:b/>
        </w:rPr>
        <w:lastRenderedPageBreak/>
        <w:t>Appendix B: Study Quality Assessment Methods and Results</w:t>
      </w:r>
    </w:p>
    <w:p w:rsidR="0044098F" w:rsidRDefault="0044098F" w:rsidP="002F490D">
      <w:pPr>
        <w:rPr>
          <w:rFonts w:cs="Arial"/>
          <w:b/>
        </w:rPr>
      </w:pPr>
    </w:p>
    <w:p w:rsidR="0044098F" w:rsidRDefault="0044098F" w:rsidP="00D6073D">
      <w:pPr>
        <w:ind w:firstLine="720"/>
        <w:rPr>
          <w:rFonts w:cs="Arial"/>
        </w:rPr>
      </w:pPr>
      <w:r w:rsidRPr="00541222">
        <w:rPr>
          <w:rFonts w:cs="Arial"/>
        </w:rPr>
        <w:t>The quality of the studies was assessed using the Quality Assessment Tool for Pre and Post Intervention Designs</w:t>
      </w:r>
      <w:r>
        <w:rPr>
          <w:rFonts w:cs="Arial"/>
        </w:rPr>
        <w:t xml:space="preserve"> (Table B1)</w:t>
      </w:r>
      <w:r w:rsidRPr="00541222">
        <w:rPr>
          <w:rFonts w:cs="Arial"/>
        </w:rPr>
        <w:t>.</w:t>
      </w:r>
      <w:r w:rsidRPr="00254B1B">
        <w:rPr>
          <w:rFonts w:cs="Arial"/>
          <w:noProof/>
          <w:vertAlign w:val="superscript"/>
        </w:rPr>
        <w:t>1</w:t>
      </w:r>
      <w:r w:rsidRPr="00541222">
        <w:rPr>
          <w:rFonts w:cs="Arial"/>
        </w:rPr>
        <w:t xml:space="preserve"> We revised the assessment tool </w:t>
      </w:r>
      <w:r>
        <w:rPr>
          <w:rFonts w:cs="Arial"/>
        </w:rPr>
        <w:t>somewhat</w:t>
      </w:r>
      <w:r w:rsidRPr="00541222">
        <w:rPr>
          <w:rFonts w:cs="Arial"/>
        </w:rPr>
        <w:t xml:space="preserve"> to improve its suitability for the interventions included in this review. </w:t>
      </w:r>
      <w:r>
        <w:rPr>
          <w:rFonts w:cs="Arial"/>
        </w:rPr>
        <w:t>Quality assessment was</w:t>
      </w:r>
      <w:r w:rsidRPr="00541222">
        <w:rPr>
          <w:rFonts w:cs="Arial"/>
        </w:rPr>
        <w:t xml:space="preserve"> based on five characteristics: sampling, research design, control of confounders, data collection and outcome measurement, measurement and statistical analysis. Each study was rated on a 3-point scale as low (&lt;0.60), moderate (0.61-0.79), and high (0.8-1.0).</w:t>
      </w:r>
    </w:p>
    <w:p w:rsidR="0044098F" w:rsidRDefault="0044098F" w:rsidP="00541222">
      <w:pPr>
        <w:ind w:firstLine="720"/>
      </w:pPr>
      <w:r w:rsidRPr="003268BD">
        <w:t xml:space="preserve">The studies </w:t>
      </w:r>
      <w:r>
        <w:t xml:space="preserve">we identified </w:t>
      </w:r>
      <w:r w:rsidRPr="003268BD">
        <w:t>focus</w:t>
      </w:r>
      <w:r>
        <w:t>ed</w:t>
      </w:r>
      <w:r w:rsidRPr="003268BD">
        <w:t xml:space="preserve"> on </w:t>
      </w:r>
      <w:r>
        <w:t xml:space="preserve">multiple </w:t>
      </w:r>
      <w:r w:rsidRPr="003268BD">
        <w:t>age groups and target population</w:t>
      </w:r>
      <w:r>
        <w:t>s,</w:t>
      </w:r>
      <w:r w:rsidRPr="003268BD">
        <w:t xml:space="preserve"> including Medicaid </w:t>
      </w:r>
      <w:r>
        <w:t xml:space="preserve">and Medicare </w:t>
      </w:r>
      <w:r w:rsidRPr="003268BD">
        <w:t>beneficiaries, young adults, low-income adults, and commercially insured individuals. The studies used a variety of data sources, with the most frequent datasets being the Behavioral Risk Factor Surveillance System (BRFSS)</w:t>
      </w:r>
      <w:r>
        <w:t>;</w:t>
      </w:r>
      <w:r w:rsidRPr="003268BD">
        <w:t xml:space="preserve"> </w:t>
      </w:r>
      <w:r w:rsidRPr="00254B1B">
        <w:rPr>
          <w:noProof/>
          <w:vertAlign w:val="superscript"/>
        </w:rPr>
        <w:t>2-7</w:t>
      </w:r>
      <w:r>
        <w:t xml:space="preserve"> </w:t>
      </w:r>
      <w:r w:rsidRPr="003268BD">
        <w:t>Surveillance, Epidemiology, and End Results (SEER)</w:t>
      </w:r>
      <w:r>
        <w:t>;</w:t>
      </w:r>
      <w:r w:rsidRPr="003268BD">
        <w:t xml:space="preserve"> </w:t>
      </w:r>
      <w:r w:rsidRPr="00254B1B">
        <w:rPr>
          <w:noProof/>
          <w:vertAlign w:val="superscript"/>
        </w:rPr>
        <w:t>8-10</w:t>
      </w:r>
      <w:r w:rsidRPr="003268BD">
        <w:t xml:space="preserve"> the Medical Expenditure Panel Survey (MEPS) </w:t>
      </w:r>
      <w:r w:rsidRPr="00254B1B">
        <w:rPr>
          <w:noProof/>
          <w:vertAlign w:val="superscript"/>
        </w:rPr>
        <w:t>11,12</w:t>
      </w:r>
      <w:r>
        <w:t>;</w:t>
      </w:r>
      <w:r w:rsidRPr="003268BD">
        <w:t xml:space="preserve"> and the American Community Survey (ACS)</w:t>
      </w:r>
      <w:r>
        <w:t>.</w:t>
      </w:r>
      <w:r w:rsidRPr="00254B1B">
        <w:rPr>
          <w:noProof/>
          <w:vertAlign w:val="superscript"/>
        </w:rPr>
        <w:t>4,13</w:t>
      </w:r>
      <w:r w:rsidRPr="003268BD">
        <w:t xml:space="preserve"> The majority of studies adopted a quasi-experimental design</w:t>
      </w:r>
      <w:r>
        <w:t>, with m</w:t>
      </w:r>
      <w:r w:rsidRPr="003268BD">
        <w:t>ost articles employ</w:t>
      </w:r>
      <w:r>
        <w:t>ing a</w:t>
      </w:r>
      <w:r w:rsidRPr="003268BD">
        <w:t xml:space="preserve"> </w:t>
      </w:r>
      <w:r>
        <w:t>d</w:t>
      </w:r>
      <w:r w:rsidRPr="003268BD">
        <w:t>ifference-in-</w:t>
      </w:r>
      <w:r>
        <w:t>differences estimation (n=11</w:t>
      </w:r>
      <w:r w:rsidRPr="003268BD">
        <w:t xml:space="preserve">) framework. Because of the nature of the datasets, self-reported receipt of cancer screening was a predominant outcome. Comparisons were made only within each sample pre- and post-ACA to examine changes in receipt of cancer screening. </w:t>
      </w:r>
      <w:r>
        <w:t>Only</w:t>
      </w:r>
      <w:r w:rsidRPr="003268BD">
        <w:t xml:space="preserve"> two studies applied matching methods to mitigate selection bias due to observables.</w:t>
      </w:r>
      <w:r w:rsidRPr="00254B1B">
        <w:rPr>
          <w:noProof/>
          <w:vertAlign w:val="superscript"/>
        </w:rPr>
        <w:t>14,15</w:t>
      </w:r>
      <w:r w:rsidRPr="003268BD">
        <w:t xml:space="preserve"> </w:t>
      </w:r>
      <w:r>
        <w:t>In a number of studies,</w:t>
      </w:r>
      <w:r w:rsidRPr="003268BD">
        <w:t xml:space="preserve"> </w:t>
      </w:r>
      <w:r>
        <w:t>a</w:t>
      </w:r>
      <w:r w:rsidRPr="003268BD">
        <w:t xml:space="preserve"> comparison group </w:t>
      </w:r>
      <w:r>
        <w:rPr>
          <w:noProof/>
        </w:rPr>
        <w:t>was defined based on</w:t>
      </w:r>
      <w:r w:rsidRPr="003268BD">
        <w:t xml:space="preserve"> </w:t>
      </w:r>
      <w:r w:rsidRPr="008E3077">
        <w:rPr>
          <w:noProof/>
        </w:rPr>
        <w:t>states</w:t>
      </w:r>
      <w:r w:rsidRPr="003268BD">
        <w:t xml:space="preserve"> that did not implement the ACA </w:t>
      </w:r>
      <w:r>
        <w:rPr>
          <w:noProof/>
        </w:rPr>
        <w:t>Medicaid expansion</w:t>
      </w:r>
      <w:r w:rsidRPr="008E3077">
        <w:rPr>
          <w:noProof/>
        </w:rPr>
        <w:t>,</w:t>
      </w:r>
      <w:r w:rsidRPr="003268BD">
        <w:t xml:space="preserve"> or an age group that was not </w:t>
      </w:r>
      <w:r>
        <w:t>targeted by the provision of the law being examined, though some did not include a comparison group</w:t>
      </w:r>
      <w:r w:rsidRPr="003268BD">
        <w:t xml:space="preserve">. </w:t>
      </w:r>
      <w:r w:rsidRPr="0005388A">
        <w:t>While substantial literature on the impacts of the ACA has emerged since its passage, most evidence available at this point captures only a short period after implementation due to lag in the availability of secondary data sources.</w:t>
      </w:r>
      <w:r w:rsidRPr="0058787E">
        <w:t xml:space="preserve"> </w:t>
      </w:r>
    </w:p>
    <w:p w:rsidR="0044098F" w:rsidRDefault="0044098F" w:rsidP="00541222">
      <w:pPr>
        <w:ind w:firstLine="720"/>
        <w:rPr>
          <w:rFonts w:cs="Arial"/>
        </w:rPr>
      </w:pPr>
      <w:bookmarkStart w:id="0" w:name="_GoBack"/>
      <w:r w:rsidRPr="0058787E">
        <w:t xml:space="preserve">Reflecting all their differences, the methodological scoring for the studies was highly varied (quality scores ranged from 0.33 to 0.83). </w:t>
      </w:r>
      <w:r w:rsidR="00E8482A">
        <w:t>Four</w:t>
      </w:r>
      <w:r w:rsidRPr="0058787E">
        <w:t xml:space="preserve"> of the studies were rated as low quality, </w:t>
      </w:r>
      <w:r>
        <w:t>eighteen</w:t>
      </w:r>
      <w:r w:rsidRPr="0058787E">
        <w:t xml:space="preserve"> were rated as moderate quality, and two were rated as high quality. </w:t>
      </w:r>
      <w:bookmarkEnd w:id="0"/>
      <w:r w:rsidRPr="0058787E">
        <w:t>Most studies ranked high on simple before-and-after design, and the appropriatenes</w:t>
      </w:r>
      <w:r>
        <w:t xml:space="preserve">s of the main outcome. Of the </w:t>
      </w:r>
      <w:r w:rsidRPr="0058787E">
        <w:t>articles identified, 19 did not report any information on missing data or handling techniques.</w:t>
      </w:r>
      <w:r w:rsidRPr="0005388A">
        <w:t xml:space="preserve"> </w:t>
      </w:r>
      <w:r w:rsidRPr="00541222">
        <w:rPr>
          <w:rFonts w:cs="Arial"/>
        </w:rPr>
        <w:t xml:space="preserve"> </w:t>
      </w:r>
      <w:r>
        <w:rPr>
          <w:rFonts w:cs="Arial"/>
        </w:rPr>
        <w:t>The s</w:t>
      </w:r>
      <w:r w:rsidRPr="00396FA9">
        <w:rPr>
          <w:rFonts w:cs="Arial"/>
        </w:rPr>
        <w:t>ummary of quality assessment</w:t>
      </w:r>
      <w:r>
        <w:rPr>
          <w:rFonts w:cs="Arial"/>
        </w:rPr>
        <w:t xml:space="preserve"> is available upon request.</w:t>
      </w:r>
    </w:p>
    <w:p w:rsidR="0044098F" w:rsidRPr="00254B1B" w:rsidRDefault="0044098F" w:rsidP="00254B1B">
      <w:pPr>
        <w:rPr>
          <w:rFonts w:cs="Arial"/>
        </w:rPr>
      </w:pPr>
    </w:p>
    <w:p w:rsidR="0044098F" w:rsidRPr="00254B1B" w:rsidRDefault="0044098F" w:rsidP="00254B1B">
      <w:pPr>
        <w:rPr>
          <w:rFonts w:cs="Arial"/>
        </w:rPr>
      </w:pPr>
    </w:p>
    <w:p w:rsidR="0044098F" w:rsidRPr="00254B1B" w:rsidRDefault="0044098F" w:rsidP="00254B1B">
      <w:pPr>
        <w:rPr>
          <w:rFonts w:cs="Arial"/>
        </w:rPr>
      </w:pPr>
    </w:p>
    <w:p w:rsidR="0044098F" w:rsidRDefault="0044098F" w:rsidP="00254B1B">
      <w:pPr>
        <w:rPr>
          <w:rFonts w:cs="Arial"/>
        </w:rPr>
      </w:pPr>
    </w:p>
    <w:p w:rsidR="0044098F" w:rsidRDefault="0044098F" w:rsidP="00254B1B">
      <w:pPr>
        <w:rPr>
          <w:rFonts w:cs="Arial"/>
        </w:rPr>
      </w:pPr>
    </w:p>
    <w:p w:rsidR="0044098F" w:rsidRDefault="0044098F" w:rsidP="00254B1B">
      <w:pPr>
        <w:rPr>
          <w:rFonts w:cs="Arial"/>
        </w:rPr>
      </w:pPr>
    </w:p>
    <w:p w:rsidR="0044098F" w:rsidRDefault="0044098F" w:rsidP="00254B1B">
      <w:pPr>
        <w:rPr>
          <w:rFonts w:cs="Arial"/>
        </w:rPr>
      </w:pPr>
    </w:p>
    <w:p w:rsidR="0044098F" w:rsidRDefault="0044098F" w:rsidP="00254B1B">
      <w:pPr>
        <w:rPr>
          <w:rFonts w:cs="Arial"/>
        </w:rPr>
      </w:pPr>
    </w:p>
    <w:p w:rsidR="0044098F" w:rsidRDefault="0044098F" w:rsidP="00254B1B">
      <w:pPr>
        <w:rPr>
          <w:rFonts w:cs="Arial"/>
        </w:rPr>
      </w:pPr>
    </w:p>
    <w:p w:rsidR="0044098F" w:rsidRDefault="0044098F" w:rsidP="00254B1B">
      <w:pPr>
        <w:rPr>
          <w:rFonts w:cs="Arial"/>
        </w:rPr>
      </w:pPr>
    </w:p>
    <w:p w:rsidR="0044098F" w:rsidRDefault="0044098F" w:rsidP="00254B1B">
      <w:pPr>
        <w:rPr>
          <w:rFonts w:cs="Arial"/>
        </w:rPr>
      </w:pPr>
    </w:p>
    <w:p w:rsidR="0044098F" w:rsidRDefault="0044098F" w:rsidP="00254B1B">
      <w:pPr>
        <w:rPr>
          <w:rFonts w:cs="Arial"/>
        </w:rPr>
      </w:pPr>
    </w:p>
    <w:p w:rsidR="0044098F" w:rsidRDefault="0044098F" w:rsidP="00254B1B">
      <w:pPr>
        <w:rPr>
          <w:rFonts w:cs="Arial"/>
        </w:rPr>
      </w:pPr>
    </w:p>
    <w:p w:rsidR="0044098F" w:rsidRDefault="0044098F" w:rsidP="00254B1B">
      <w:pPr>
        <w:rPr>
          <w:rFonts w:cs="Arial"/>
        </w:rPr>
      </w:pPr>
    </w:p>
    <w:p w:rsidR="0044098F" w:rsidRPr="00254B1B" w:rsidRDefault="0044098F" w:rsidP="00254B1B">
      <w:pPr>
        <w:rPr>
          <w:rFonts w:cs="Arial"/>
        </w:rPr>
      </w:pPr>
    </w:p>
    <w:p w:rsidR="0044098F" w:rsidRDefault="0044098F" w:rsidP="00254B1B">
      <w:pPr>
        <w:rPr>
          <w:rFonts w:cs="Arial"/>
        </w:rPr>
      </w:pPr>
    </w:p>
    <w:p w:rsidR="0044098F" w:rsidRPr="006C4433" w:rsidRDefault="0044098F" w:rsidP="00254B1B">
      <w:pPr>
        <w:rPr>
          <w:rFonts w:cs="Arial"/>
          <w:b/>
        </w:rPr>
      </w:pPr>
      <w:r w:rsidRPr="006C4433">
        <w:rPr>
          <w:rFonts w:cs="Arial"/>
          <w:b/>
        </w:rPr>
        <w:lastRenderedPageBreak/>
        <w:t>Appendix Table B1.</w:t>
      </w:r>
      <w:r w:rsidRPr="006C4433">
        <w:rPr>
          <w:b/>
        </w:rPr>
        <w:t xml:space="preserve"> </w:t>
      </w:r>
      <w:r w:rsidRPr="006C4433">
        <w:rPr>
          <w:rFonts w:cs="Arial"/>
          <w:b/>
        </w:rPr>
        <w:t xml:space="preserve">Quality Assessment </w:t>
      </w:r>
      <w:r w:rsidR="00144F3B">
        <w:rPr>
          <w:rFonts w:cs="Arial"/>
          <w:b/>
        </w:rPr>
        <w:t xml:space="preserve">of </w:t>
      </w:r>
      <w:r w:rsidRPr="006C4433">
        <w:rPr>
          <w:rFonts w:cs="Arial"/>
          <w:b/>
        </w:rPr>
        <w:t>Pre/Post Intervention Design</w:t>
      </w:r>
      <w:r w:rsidR="00144F3B">
        <w:rPr>
          <w:rFonts w:cs="Arial"/>
          <w:b/>
        </w:rPr>
        <w:t>s</w:t>
      </w:r>
    </w:p>
    <w:p w:rsidR="0044098F" w:rsidRDefault="0044098F" w:rsidP="00254B1B">
      <w:pPr>
        <w:rPr>
          <w:rFonts w:cs="Arial"/>
        </w:rPr>
      </w:pPr>
    </w:p>
    <w:tbl>
      <w:tblPr>
        <w:tblStyle w:val="TableGrid2"/>
        <w:tblW w:w="9838" w:type="dxa"/>
        <w:tblCellMar>
          <w:top w:w="43" w:type="dxa"/>
          <w:left w:w="115" w:type="dxa"/>
          <w:right w:w="115" w:type="dxa"/>
        </w:tblCellMar>
        <w:tblLook w:val="04A0" w:firstRow="1" w:lastRow="0" w:firstColumn="1" w:lastColumn="0" w:noHBand="0" w:noVBand="1"/>
      </w:tblPr>
      <w:tblGrid>
        <w:gridCol w:w="8157"/>
        <w:gridCol w:w="573"/>
        <w:gridCol w:w="499"/>
        <w:gridCol w:w="609"/>
      </w:tblGrid>
      <w:tr w:rsidR="0044098F" w:rsidRPr="00624013" w:rsidTr="00624013">
        <w:trPr>
          <w:trHeight w:val="152"/>
        </w:trPr>
        <w:tc>
          <w:tcPr>
            <w:tcW w:w="9838" w:type="dxa"/>
            <w:gridSpan w:val="4"/>
            <w:shd w:val="clear" w:color="auto" w:fill="AEAAAA"/>
          </w:tcPr>
          <w:p w:rsidR="00144F3B" w:rsidRDefault="0044098F" w:rsidP="00144F3B">
            <w:pPr>
              <w:jc w:val="center"/>
              <w:rPr>
                <w:b/>
                <w:sz w:val="22"/>
                <w:szCs w:val="22"/>
              </w:rPr>
            </w:pPr>
            <w:r w:rsidRPr="00624013">
              <w:rPr>
                <w:b/>
                <w:sz w:val="22"/>
                <w:szCs w:val="22"/>
              </w:rPr>
              <w:t xml:space="preserve">Impact of Affordable Care Act on </w:t>
            </w:r>
            <w:r w:rsidR="00144F3B" w:rsidRPr="00624013">
              <w:rPr>
                <w:b/>
                <w:sz w:val="22"/>
                <w:szCs w:val="22"/>
              </w:rPr>
              <w:t>Cancer Screening</w:t>
            </w:r>
            <w:r w:rsidRPr="00624013">
              <w:rPr>
                <w:b/>
                <w:sz w:val="22"/>
                <w:szCs w:val="22"/>
              </w:rPr>
              <w:t xml:space="preserve"> and Diagnosis </w:t>
            </w:r>
          </w:p>
          <w:p w:rsidR="0044098F" w:rsidRPr="00624013" w:rsidRDefault="0044098F" w:rsidP="00144F3B">
            <w:pPr>
              <w:jc w:val="center"/>
              <w:rPr>
                <w:b/>
                <w:sz w:val="22"/>
                <w:szCs w:val="22"/>
              </w:rPr>
            </w:pPr>
            <w:r w:rsidRPr="00624013">
              <w:rPr>
                <w:b/>
                <w:sz w:val="22"/>
                <w:szCs w:val="22"/>
              </w:rPr>
              <w:t>Pre/Post Intervention – Design Quality Assessment Tool</w:t>
            </w:r>
          </w:p>
        </w:tc>
      </w:tr>
      <w:tr w:rsidR="0044098F" w:rsidRPr="00624013" w:rsidTr="00624013">
        <w:trPr>
          <w:trHeight w:val="152"/>
        </w:trPr>
        <w:tc>
          <w:tcPr>
            <w:tcW w:w="8157" w:type="dxa"/>
            <w:vAlign w:val="center"/>
          </w:tcPr>
          <w:p w:rsidR="0044098F" w:rsidRPr="00624013" w:rsidRDefault="0044098F" w:rsidP="00144F3B">
            <w:pPr>
              <w:rPr>
                <w:sz w:val="22"/>
                <w:szCs w:val="22"/>
              </w:rPr>
            </w:pPr>
            <w:r w:rsidRPr="00624013">
              <w:rPr>
                <w:b/>
                <w:sz w:val="22"/>
                <w:szCs w:val="22"/>
              </w:rPr>
              <w:t>A. Sampling</w:t>
            </w:r>
          </w:p>
        </w:tc>
        <w:tc>
          <w:tcPr>
            <w:tcW w:w="573" w:type="dxa"/>
          </w:tcPr>
          <w:p w:rsidR="0044098F" w:rsidRPr="00624013" w:rsidRDefault="0044098F" w:rsidP="00144F3B">
            <w:pPr>
              <w:jc w:val="center"/>
              <w:rPr>
                <w:sz w:val="22"/>
                <w:szCs w:val="22"/>
              </w:rPr>
            </w:pPr>
            <w:r w:rsidRPr="00624013">
              <w:rPr>
                <w:sz w:val="22"/>
                <w:szCs w:val="22"/>
              </w:rPr>
              <w:t>Yes</w:t>
            </w:r>
          </w:p>
        </w:tc>
        <w:tc>
          <w:tcPr>
            <w:tcW w:w="499" w:type="dxa"/>
          </w:tcPr>
          <w:p w:rsidR="0044098F" w:rsidRPr="00624013" w:rsidRDefault="0044098F" w:rsidP="00144F3B">
            <w:pPr>
              <w:jc w:val="center"/>
              <w:rPr>
                <w:sz w:val="22"/>
                <w:szCs w:val="22"/>
              </w:rPr>
            </w:pPr>
            <w:r w:rsidRPr="00624013">
              <w:rPr>
                <w:sz w:val="22"/>
                <w:szCs w:val="22"/>
              </w:rPr>
              <w:t>No</w:t>
            </w:r>
          </w:p>
        </w:tc>
        <w:tc>
          <w:tcPr>
            <w:tcW w:w="609" w:type="dxa"/>
          </w:tcPr>
          <w:p w:rsidR="0044098F" w:rsidRPr="00624013" w:rsidRDefault="0044098F" w:rsidP="00144F3B">
            <w:pPr>
              <w:jc w:val="center"/>
              <w:rPr>
                <w:sz w:val="22"/>
                <w:szCs w:val="22"/>
              </w:rPr>
            </w:pPr>
            <w:r w:rsidRPr="00624013">
              <w:rPr>
                <w:sz w:val="22"/>
                <w:szCs w:val="22"/>
              </w:rPr>
              <w:t>N/A</w:t>
            </w:r>
          </w:p>
        </w:tc>
      </w:tr>
      <w:tr w:rsidR="0044098F" w:rsidRPr="00624013" w:rsidTr="00624013">
        <w:trPr>
          <w:trHeight w:val="320"/>
        </w:trPr>
        <w:tc>
          <w:tcPr>
            <w:tcW w:w="8157" w:type="dxa"/>
            <w:vAlign w:val="center"/>
          </w:tcPr>
          <w:p w:rsidR="0044098F" w:rsidRPr="00624013" w:rsidRDefault="0044098F" w:rsidP="00144F3B">
            <w:pPr>
              <w:rPr>
                <w:sz w:val="22"/>
                <w:szCs w:val="22"/>
              </w:rPr>
            </w:pPr>
            <w:r w:rsidRPr="00624013">
              <w:rPr>
                <w:sz w:val="22"/>
                <w:szCs w:val="22"/>
              </w:rPr>
              <w:t>1. Was probability sampling used? (1)</w:t>
            </w:r>
          </w:p>
        </w:tc>
        <w:tc>
          <w:tcPr>
            <w:tcW w:w="573" w:type="dxa"/>
          </w:tcPr>
          <w:p w:rsidR="0044098F" w:rsidRPr="00624013" w:rsidRDefault="0044098F" w:rsidP="00144F3B">
            <w:pPr>
              <w:jc w:val="center"/>
              <w:rPr>
                <w:sz w:val="22"/>
                <w:szCs w:val="22"/>
              </w:rPr>
            </w:pPr>
            <w:r w:rsidRPr="00624013">
              <w:rPr>
                <w:sz w:val="22"/>
                <w:szCs w:val="22"/>
              </w:rPr>
              <w:t>1</w:t>
            </w:r>
          </w:p>
        </w:tc>
        <w:tc>
          <w:tcPr>
            <w:tcW w:w="499" w:type="dxa"/>
          </w:tcPr>
          <w:p w:rsidR="0044098F" w:rsidRPr="00624013" w:rsidRDefault="0044098F" w:rsidP="00144F3B">
            <w:pPr>
              <w:jc w:val="center"/>
              <w:rPr>
                <w:sz w:val="22"/>
                <w:szCs w:val="22"/>
              </w:rPr>
            </w:pPr>
            <w:r w:rsidRPr="00624013">
              <w:rPr>
                <w:sz w:val="22"/>
                <w:szCs w:val="22"/>
              </w:rPr>
              <w:t>0</w:t>
            </w:r>
          </w:p>
        </w:tc>
        <w:tc>
          <w:tcPr>
            <w:tcW w:w="609" w:type="dxa"/>
          </w:tcPr>
          <w:p w:rsidR="0044098F" w:rsidRPr="00624013" w:rsidRDefault="0044098F" w:rsidP="00144F3B">
            <w:pPr>
              <w:jc w:val="center"/>
              <w:rPr>
                <w:sz w:val="22"/>
                <w:szCs w:val="22"/>
              </w:rPr>
            </w:pPr>
          </w:p>
        </w:tc>
      </w:tr>
      <w:tr w:rsidR="0044098F" w:rsidRPr="00624013" w:rsidTr="00624013">
        <w:trPr>
          <w:trHeight w:val="269"/>
        </w:trPr>
        <w:tc>
          <w:tcPr>
            <w:tcW w:w="8157" w:type="dxa"/>
            <w:vAlign w:val="center"/>
          </w:tcPr>
          <w:p w:rsidR="0044098F" w:rsidRPr="00624013" w:rsidRDefault="0044098F" w:rsidP="00144F3B">
            <w:pPr>
              <w:rPr>
                <w:sz w:val="22"/>
                <w:szCs w:val="22"/>
              </w:rPr>
            </w:pPr>
            <w:r w:rsidRPr="00624013">
              <w:rPr>
                <w:sz w:val="22"/>
                <w:szCs w:val="22"/>
              </w:rPr>
              <w:t>2. Was sample size justified to obtain an appropriate power? (1)</w:t>
            </w:r>
          </w:p>
        </w:tc>
        <w:tc>
          <w:tcPr>
            <w:tcW w:w="573" w:type="dxa"/>
          </w:tcPr>
          <w:p w:rsidR="0044098F" w:rsidRPr="00624013" w:rsidRDefault="0044098F" w:rsidP="00144F3B">
            <w:pPr>
              <w:jc w:val="center"/>
              <w:rPr>
                <w:sz w:val="22"/>
                <w:szCs w:val="22"/>
              </w:rPr>
            </w:pPr>
            <w:r w:rsidRPr="00624013">
              <w:rPr>
                <w:sz w:val="22"/>
                <w:szCs w:val="22"/>
              </w:rPr>
              <w:t>1</w:t>
            </w:r>
          </w:p>
        </w:tc>
        <w:tc>
          <w:tcPr>
            <w:tcW w:w="499" w:type="dxa"/>
          </w:tcPr>
          <w:p w:rsidR="0044098F" w:rsidRPr="00624013" w:rsidRDefault="0044098F" w:rsidP="00144F3B">
            <w:pPr>
              <w:jc w:val="center"/>
              <w:rPr>
                <w:sz w:val="22"/>
                <w:szCs w:val="22"/>
              </w:rPr>
            </w:pPr>
            <w:r w:rsidRPr="00624013">
              <w:rPr>
                <w:sz w:val="22"/>
                <w:szCs w:val="22"/>
              </w:rPr>
              <w:t>0</w:t>
            </w:r>
          </w:p>
        </w:tc>
        <w:tc>
          <w:tcPr>
            <w:tcW w:w="609" w:type="dxa"/>
          </w:tcPr>
          <w:p w:rsidR="0044098F" w:rsidRPr="00624013" w:rsidRDefault="0044098F" w:rsidP="00144F3B">
            <w:pPr>
              <w:jc w:val="center"/>
              <w:rPr>
                <w:sz w:val="22"/>
                <w:szCs w:val="22"/>
              </w:rPr>
            </w:pPr>
          </w:p>
        </w:tc>
      </w:tr>
      <w:tr w:rsidR="0044098F" w:rsidRPr="00624013" w:rsidTr="00624013">
        <w:trPr>
          <w:trHeight w:val="152"/>
        </w:trPr>
        <w:tc>
          <w:tcPr>
            <w:tcW w:w="8157" w:type="dxa"/>
            <w:vAlign w:val="center"/>
          </w:tcPr>
          <w:p w:rsidR="0044098F" w:rsidRPr="00624013" w:rsidRDefault="0044098F" w:rsidP="00144F3B">
            <w:pPr>
              <w:rPr>
                <w:sz w:val="22"/>
                <w:szCs w:val="22"/>
              </w:rPr>
            </w:pPr>
            <w:r w:rsidRPr="00624013">
              <w:rPr>
                <w:b/>
                <w:sz w:val="22"/>
                <w:szCs w:val="22"/>
              </w:rPr>
              <w:t xml:space="preserve">Subtotal </w:t>
            </w:r>
            <w:r w:rsidRPr="00624013">
              <w:rPr>
                <w:sz w:val="22"/>
                <w:szCs w:val="22"/>
              </w:rPr>
              <w:t>(n/2)</w:t>
            </w:r>
          </w:p>
        </w:tc>
        <w:tc>
          <w:tcPr>
            <w:tcW w:w="573" w:type="dxa"/>
          </w:tcPr>
          <w:p w:rsidR="0044098F" w:rsidRPr="00624013" w:rsidRDefault="0044098F" w:rsidP="00144F3B">
            <w:pPr>
              <w:jc w:val="center"/>
              <w:rPr>
                <w:sz w:val="22"/>
                <w:szCs w:val="22"/>
              </w:rPr>
            </w:pPr>
          </w:p>
        </w:tc>
        <w:tc>
          <w:tcPr>
            <w:tcW w:w="499" w:type="dxa"/>
          </w:tcPr>
          <w:p w:rsidR="0044098F" w:rsidRPr="00624013" w:rsidRDefault="0044098F" w:rsidP="00144F3B">
            <w:pPr>
              <w:jc w:val="center"/>
              <w:rPr>
                <w:sz w:val="22"/>
                <w:szCs w:val="22"/>
              </w:rPr>
            </w:pPr>
          </w:p>
        </w:tc>
        <w:tc>
          <w:tcPr>
            <w:tcW w:w="609" w:type="dxa"/>
          </w:tcPr>
          <w:p w:rsidR="0044098F" w:rsidRPr="00624013" w:rsidRDefault="0044098F" w:rsidP="00144F3B">
            <w:pPr>
              <w:jc w:val="center"/>
              <w:rPr>
                <w:sz w:val="22"/>
                <w:szCs w:val="22"/>
              </w:rPr>
            </w:pPr>
          </w:p>
        </w:tc>
      </w:tr>
      <w:tr w:rsidR="0044098F" w:rsidRPr="00624013" w:rsidTr="00624013">
        <w:trPr>
          <w:trHeight w:val="152"/>
        </w:trPr>
        <w:tc>
          <w:tcPr>
            <w:tcW w:w="8157" w:type="dxa"/>
            <w:vAlign w:val="center"/>
          </w:tcPr>
          <w:p w:rsidR="0044098F" w:rsidRPr="00624013" w:rsidRDefault="0044098F" w:rsidP="00144F3B">
            <w:pPr>
              <w:rPr>
                <w:sz w:val="22"/>
                <w:szCs w:val="22"/>
              </w:rPr>
            </w:pPr>
            <w:r w:rsidRPr="00624013">
              <w:rPr>
                <w:b/>
                <w:sz w:val="22"/>
                <w:szCs w:val="22"/>
              </w:rPr>
              <w:t>B: Design</w:t>
            </w:r>
          </w:p>
        </w:tc>
        <w:tc>
          <w:tcPr>
            <w:tcW w:w="573" w:type="dxa"/>
          </w:tcPr>
          <w:p w:rsidR="0044098F" w:rsidRPr="00624013" w:rsidRDefault="0044098F" w:rsidP="00144F3B">
            <w:pPr>
              <w:jc w:val="center"/>
              <w:rPr>
                <w:sz w:val="22"/>
                <w:szCs w:val="22"/>
              </w:rPr>
            </w:pPr>
          </w:p>
        </w:tc>
        <w:tc>
          <w:tcPr>
            <w:tcW w:w="499" w:type="dxa"/>
          </w:tcPr>
          <w:p w:rsidR="0044098F" w:rsidRPr="00624013" w:rsidRDefault="0044098F" w:rsidP="00144F3B">
            <w:pPr>
              <w:jc w:val="center"/>
              <w:rPr>
                <w:sz w:val="22"/>
                <w:szCs w:val="22"/>
              </w:rPr>
            </w:pPr>
          </w:p>
        </w:tc>
        <w:tc>
          <w:tcPr>
            <w:tcW w:w="609" w:type="dxa"/>
          </w:tcPr>
          <w:p w:rsidR="0044098F" w:rsidRPr="00624013" w:rsidRDefault="0044098F" w:rsidP="00144F3B">
            <w:pPr>
              <w:jc w:val="center"/>
              <w:rPr>
                <w:sz w:val="22"/>
                <w:szCs w:val="22"/>
              </w:rPr>
            </w:pPr>
          </w:p>
        </w:tc>
      </w:tr>
      <w:tr w:rsidR="0044098F" w:rsidRPr="00624013" w:rsidTr="00624013">
        <w:trPr>
          <w:trHeight w:val="332"/>
        </w:trPr>
        <w:tc>
          <w:tcPr>
            <w:tcW w:w="8157" w:type="dxa"/>
            <w:vAlign w:val="center"/>
          </w:tcPr>
          <w:p w:rsidR="0044098F" w:rsidRPr="00624013" w:rsidRDefault="0044098F" w:rsidP="00144F3B">
            <w:pPr>
              <w:rPr>
                <w:b/>
                <w:sz w:val="22"/>
                <w:szCs w:val="22"/>
              </w:rPr>
            </w:pPr>
            <w:r w:rsidRPr="00624013">
              <w:rPr>
                <w:sz w:val="22"/>
                <w:szCs w:val="22"/>
              </w:rPr>
              <w:t xml:space="preserve">a) One pre-test or baseline and several post-test measures (2) </w:t>
            </w:r>
            <w:r w:rsidRPr="00624013">
              <w:rPr>
                <w:b/>
                <w:sz w:val="22"/>
                <w:szCs w:val="22"/>
              </w:rPr>
              <w:t>or</w:t>
            </w:r>
          </w:p>
        </w:tc>
        <w:tc>
          <w:tcPr>
            <w:tcW w:w="573" w:type="dxa"/>
          </w:tcPr>
          <w:p w:rsidR="0044098F" w:rsidRPr="00624013" w:rsidRDefault="0044098F" w:rsidP="00144F3B">
            <w:pPr>
              <w:jc w:val="center"/>
              <w:rPr>
                <w:sz w:val="22"/>
                <w:szCs w:val="22"/>
              </w:rPr>
            </w:pPr>
            <w:r w:rsidRPr="00624013">
              <w:rPr>
                <w:sz w:val="22"/>
                <w:szCs w:val="22"/>
              </w:rPr>
              <w:t>2</w:t>
            </w:r>
          </w:p>
        </w:tc>
        <w:tc>
          <w:tcPr>
            <w:tcW w:w="499" w:type="dxa"/>
          </w:tcPr>
          <w:p w:rsidR="0044098F" w:rsidRPr="00624013" w:rsidRDefault="0044098F" w:rsidP="00144F3B">
            <w:pPr>
              <w:jc w:val="center"/>
              <w:rPr>
                <w:sz w:val="22"/>
                <w:szCs w:val="22"/>
              </w:rPr>
            </w:pPr>
            <w:r w:rsidRPr="00624013">
              <w:rPr>
                <w:sz w:val="22"/>
                <w:szCs w:val="22"/>
              </w:rPr>
              <w:t>0</w:t>
            </w:r>
          </w:p>
        </w:tc>
        <w:tc>
          <w:tcPr>
            <w:tcW w:w="609" w:type="dxa"/>
          </w:tcPr>
          <w:p w:rsidR="0044098F" w:rsidRPr="00624013" w:rsidRDefault="0044098F" w:rsidP="00144F3B">
            <w:pPr>
              <w:jc w:val="center"/>
              <w:rPr>
                <w:sz w:val="22"/>
                <w:szCs w:val="22"/>
              </w:rPr>
            </w:pPr>
          </w:p>
        </w:tc>
      </w:tr>
      <w:tr w:rsidR="0044098F" w:rsidRPr="00624013" w:rsidTr="00624013">
        <w:trPr>
          <w:trHeight w:val="320"/>
        </w:trPr>
        <w:tc>
          <w:tcPr>
            <w:tcW w:w="8157" w:type="dxa"/>
            <w:vAlign w:val="center"/>
          </w:tcPr>
          <w:p w:rsidR="0044098F" w:rsidRPr="00624013" w:rsidRDefault="0044098F" w:rsidP="00144F3B">
            <w:pPr>
              <w:rPr>
                <w:sz w:val="22"/>
                <w:szCs w:val="22"/>
              </w:rPr>
            </w:pPr>
            <w:r w:rsidRPr="00624013">
              <w:rPr>
                <w:sz w:val="22"/>
                <w:szCs w:val="22"/>
              </w:rPr>
              <w:t>b) Simple before-and-after study (1)</w:t>
            </w:r>
          </w:p>
        </w:tc>
        <w:tc>
          <w:tcPr>
            <w:tcW w:w="573" w:type="dxa"/>
          </w:tcPr>
          <w:p w:rsidR="0044098F" w:rsidRPr="00624013" w:rsidRDefault="0044098F" w:rsidP="00144F3B">
            <w:pPr>
              <w:jc w:val="center"/>
              <w:rPr>
                <w:sz w:val="22"/>
                <w:szCs w:val="22"/>
              </w:rPr>
            </w:pPr>
            <w:r w:rsidRPr="00624013">
              <w:rPr>
                <w:sz w:val="22"/>
                <w:szCs w:val="22"/>
              </w:rPr>
              <w:t>1</w:t>
            </w:r>
          </w:p>
        </w:tc>
        <w:tc>
          <w:tcPr>
            <w:tcW w:w="499" w:type="dxa"/>
          </w:tcPr>
          <w:p w:rsidR="0044098F" w:rsidRPr="00624013" w:rsidRDefault="0044098F" w:rsidP="00144F3B">
            <w:pPr>
              <w:jc w:val="center"/>
              <w:rPr>
                <w:sz w:val="22"/>
                <w:szCs w:val="22"/>
              </w:rPr>
            </w:pPr>
            <w:r w:rsidRPr="00624013">
              <w:rPr>
                <w:sz w:val="22"/>
                <w:szCs w:val="22"/>
              </w:rPr>
              <w:t>0</w:t>
            </w:r>
          </w:p>
        </w:tc>
        <w:tc>
          <w:tcPr>
            <w:tcW w:w="609" w:type="dxa"/>
          </w:tcPr>
          <w:p w:rsidR="0044098F" w:rsidRPr="00624013" w:rsidRDefault="0044098F" w:rsidP="00144F3B">
            <w:pPr>
              <w:jc w:val="center"/>
              <w:rPr>
                <w:sz w:val="22"/>
                <w:szCs w:val="22"/>
              </w:rPr>
            </w:pPr>
          </w:p>
        </w:tc>
      </w:tr>
      <w:tr w:rsidR="0044098F" w:rsidRPr="00624013" w:rsidTr="00624013">
        <w:trPr>
          <w:trHeight w:val="152"/>
        </w:trPr>
        <w:tc>
          <w:tcPr>
            <w:tcW w:w="8157" w:type="dxa"/>
            <w:vAlign w:val="center"/>
          </w:tcPr>
          <w:p w:rsidR="0044098F" w:rsidRPr="00624013" w:rsidRDefault="0044098F" w:rsidP="00144F3B">
            <w:pPr>
              <w:rPr>
                <w:sz w:val="22"/>
                <w:szCs w:val="22"/>
              </w:rPr>
            </w:pPr>
            <w:r w:rsidRPr="00624013">
              <w:rPr>
                <w:b/>
                <w:sz w:val="22"/>
                <w:szCs w:val="22"/>
              </w:rPr>
              <w:t>Subtotal</w:t>
            </w:r>
            <w:r w:rsidRPr="00624013">
              <w:rPr>
                <w:sz w:val="22"/>
                <w:szCs w:val="22"/>
              </w:rPr>
              <w:t xml:space="preserve"> (n/2)</w:t>
            </w:r>
          </w:p>
        </w:tc>
        <w:tc>
          <w:tcPr>
            <w:tcW w:w="573" w:type="dxa"/>
          </w:tcPr>
          <w:p w:rsidR="0044098F" w:rsidRPr="00624013" w:rsidRDefault="0044098F" w:rsidP="00144F3B">
            <w:pPr>
              <w:jc w:val="center"/>
              <w:rPr>
                <w:sz w:val="22"/>
                <w:szCs w:val="22"/>
              </w:rPr>
            </w:pPr>
          </w:p>
        </w:tc>
        <w:tc>
          <w:tcPr>
            <w:tcW w:w="499" w:type="dxa"/>
          </w:tcPr>
          <w:p w:rsidR="0044098F" w:rsidRPr="00624013" w:rsidRDefault="0044098F" w:rsidP="00144F3B">
            <w:pPr>
              <w:jc w:val="center"/>
              <w:rPr>
                <w:sz w:val="22"/>
                <w:szCs w:val="22"/>
              </w:rPr>
            </w:pPr>
          </w:p>
        </w:tc>
        <w:tc>
          <w:tcPr>
            <w:tcW w:w="609" w:type="dxa"/>
          </w:tcPr>
          <w:p w:rsidR="0044098F" w:rsidRPr="00624013" w:rsidRDefault="0044098F" w:rsidP="00144F3B">
            <w:pPr>
              <w:jc w:val="center"/>
              <w:rPr>
                <w:sz w:val="22"/>
                <w:szCs w:val="22"/>
              </w:rPr>
            </w:pPr>
          </w:p>
        </w:tc>
      </w:tr>
      <w:tr w:rsidR="0044098F" w:rsidRPr="00624013" w:rsidTr="00624013">
        <w:trPr>
          <w:trHeight w:val="320"/>
        </w:trPr>
        <w:tc>
          <w:tcPr>
            <w:tcW w:w="8157" w:type="dxa"/>
            <w:vAlign w:val="center"/>
          </w:tcPr>
          <w:p w:rsidR="0044098F" w:rsidRPr="00624013" w:rsidRDefault="0044098F" w:rsidP="00144F3B">
            <w:pPr>
              <w:rPr>
                <w:sz w:val="22"/>
                <w:szCs w:val="22"/>
              </w:rPr>
            </w:pPr>
            <w:r w:rsidRPr="00624013">
              <w:rPr>
                <w:b/>
                <w:sz w:val="22"/>
                <w:szCs w:val="22"/>
              </w:rPr>
              <w:t>C. Control of Confounders</w:t>
            </w:r>
          </w:p>
        </w:tc>
        <w:tc>
          <w:tcPr>
            <w:tcW w:w="573" w:type="dxa"/>
          </w:tcPr>
          <w:p w:rsidR="0044098F" w:rsidRPr="00624013" w:rsidRDefault="0044098F" w:rsidP="00144F3B">
            <w:pPr>
              <w:jc w:val="center"/>
              <w:rPr>
                <w:sz w:val="22"/>
                <w:szCs w:val="22"/>
              </w:rPr>
            </w:pPr>
          </w:p>
        </w:tc>
        <w:tc>
          <w:tcPr>
            <w:tcW w:w="499" w:type="dxa"/>
          </w:tcPr>
          <w:p w:rsidR="0044098F" w:rsidRPr="00624013" w:rsidRDefault="0044098F" w:rsidP="00144F3B">
            <w:pPr>
              <w:jc w:val="center"/>
              <w:rPr>
                <w:sz w:val="22"/>
                <w:szCs w:val="22"/>
              </w:rPr>
            </w:pPr>
          </w:p>
        </w:tc>
        <w:tc>
          <w:tcPr>
            <w:tcW w:w="609" w:type="dxa"/>
          </w:tcPr>
          <w:p w:rsidR="0044098F" w:rsidRPr="00624013" w:rsidRDefault="0044098F" w:rsidP="00144F3B">
            <w:pPr>
              <w:jc w:val="center"/>
              <w:rPr>
                <w:sz w:val="22"/>
                <w:szCs w:val="22"/>
              </w:rPr>
            </w:pPr>
          </w:p>
        </w:tc>
      </w:tr>
      <w:tr w:rsidR="0044098F" w:rsidRPr="00624013" w:rsidTr="00624013">
        <w:trPr>
          <w:trHeight w:val="584"/>
        </w:trPr>
        <w:tc>
          <w:tcPr>
            <w:tcW w:w="8157" w:type="dxa"/>
            <w:vAlign w:val="center"/>
          </w:tcPr>
          <w:p w:rsidR="0044098F" w:rsidRPr="00624013" w:rsidRDefault="0044098F" w:rsidP="00144F3B">
            <w:pPr>
              <w:rPr>
                <w:sz w:val="22"/>
                <w:szCs w:val="22"/>
              </w:rPr>
            </w:pPr>
            <w:r w:rsidRPr="00624013">
              <w:rPr>
                <w:sz w:val="22"/>
                <w:szCs w:val="22"/>
              </w:rPr>
              <w:t>Does the study employ a comparison strategy? An attempt to create or assess equivalence of groups at baseline by:</w:t>
            </w:r>
          </w:p>
        </w:tc>
        <w:tc>
          <w:tcPr>
            <w:tcW w:w="573" w:type="dxa"/>
          </w:tcPr>
          <w:p w:rsidR="0044098F" w:rsidRPr="00624013" w:rsidRDefault="0044098F" w:rsidP="00144F3B">
            <w:pPr>
              <w:jc w:val="center"/>
              <w:rPr>
                <w:sz w:val="22"/>
                <w:szCs w:val="22"/>
              </w:rPr>
            </w:pPr>
          </w:p>
        </w:tc>
        <w:tc>
          <w:tcPr>
            <w:tcW w:w="499" w:type="dxa"/>
          </w:tcPr>
          <w:p w:rsidR="0044098F" w:rsidRPr="00624013" w:rsidRDefault="0044098F" w:rsidP="00144F3B">
            <w:pPr>
              <w:jc w:val="center"/>
              <w:rPr>
                <w:sz w:val="22"/>
                <w:szCs w:val="22"/>
              </w:rPr>
            </w:pPr>
          </w:p>
        </w:tc>
        <w:tc>
          <w:tcPr>
            <w:tcW w:w="609" w:type="dxa"/>
          </w:tcPr>
          <w:p w:rsidR="0044098F" w:rsidRPr="00624013" w:rsidRDefault="0044098F" w:rsidP="00144F3B">
            <w:pPr>
              <w:jc w:val="center"/>
              <w:rPr>
                <w:sz w:val="22"/>
                <w:szCs w:val="22"/>
              </w:rPr>
            </w:pPr>
          </w:p>
        </w:tc>
      </w:tr>
      <w:tr w:rsidR="0044098F" w:rsidRPr="00624013" w:rsidTr="00624013">
        <w:trPr>
          <w:trHeight w:val="313"/>
        </w:trPr>
        <w:tc>
          <w:tcPr>
            <w:tcW w:w="8157" w:type="dxa"/>
            <w:vAlign w:val="center"/>
          </w:tcPr>
          <w:p w:rsidR="0044098F" w:rsidRPr="00624013" w:rsidRDefault="0044098F" w:rsidP="00144F3B">
            <w:pPr>
              <w:rPr>
                <w:b/>
                <w:sz w:val="22"/>
                <w:szCs w:val="22"/>
              </w:rPr>
            </w:pPr>
            <w:r w:rsidRPr="00624013">
              <w:rPr>
                <w:sz w:val="22"/>
                <w:szCs w:val="22"/>
              </w:rPr>
              <w:t xml:space="preserve">a) Matching group participants (2) </w:t>
            </w:r>
            <w:r w:rsidRPr="00624013">
              <w:rPr>
                <w:b/>
                <w:sz w:val="22"/>
                <w:szCs w:val="22"/>
              </w:rPr>
              <w:t>or</w:t>
            </w:r>
          </w:p>
        </w:tc>
        <w:tc>
          <w:tcPr>
            <w:tcW w:w="573" w:type="dxa"/>
          </w:tcPr>
          <w:p w:rsidR="0044098F" w:rsidRPr="00624013" w:rsidRDefault="0044098F" w:rsidP="00144F3B">
            <w:pPr>
              <w:jc w:val="center"/>
              <w:rPr>
                <w:sz w:val="22"/>
                <w:szCs w:val="22"/>
              </w:rPr>
            </w:pPr>
            <w:r w:rsidRPr="00624013">
              <w:rPr>
                <w:sz w:val="22"/>
                <w:szCs w:val="22"/>
              </w:rPr>
              <w:t>2</w:t>
            </w:r>
          </w:p>
        </w:tc>
        <w:tc>
          <w:tcPr>
            <w:tcW w:w="499" w:type="dxa"/>
          </w:tcPr>
          <w:p w:rsidR="0044098F" w:rsidRPr="00624013" w:rsidRDefault="0044098F" w:rsidP="00144F3B">
            <w:pPr>
              <w:jc w:val="center"/>
              <w:rPr>
                <w:sz w:val="22"/>
                <w:szCs w:val="22"/>
              </w:rPr>
            </w:pPr>
            <w:r w:rsidRPr="00624013">
              <w:rPr>
                <w:sz w:val="22"/>
                <w:szCs w:val="22"/>
              </w:rPr>
              <w:t>0</w:t>
            </w:r>
          </w:p>
        </w:tc>
        <w:tc>
          <w:tcPr>
            <w:tcW w:w="609" w:type="dxa"/>
          </w:tcPr>
          <w:p w:rsidR="0044098F" w:rsidRPr="00624013" w:rsidRDefault="0044098F" w:rsidP="00144F3B">
            <w:pPr>
              <w:jc w:val="center"/>
              <w:rPr>
                <w:sz w:val="22"/>
                <w:szCs w:val="22"/>
              </w:rPr>
            </w:pPr>
          </w:p>
        </w:tc>
      </w:tr>
      <w:tr w:rsidR="0044098F" w:rsidRPr="00624013" w:rsidTr="00624013">
        <w:trPr>
          <w:trHeight w:val="159"/>
        </w:trPr>
        <w:tc>
          <w:tcPr>
            <w:tcW w:w="8157" w:type="dxa"/>
            <w:vAlign w:val="center"/>
          </w:tcPr>
          <w:p w:rsidR="0044098F" w:rsidRPr="00624013" w:rsidRDefault="0044098F" w:rsidP="00144F3B">
            <w:pPr>
              <w:rPr>
                <w:b/>
                <w:sz w:val="22"/>
                <w:szCs w:val="22"/>
              </w:rPr>
            </w:pPr>
            <w:r w:rsidRPr="00624013">
              <w:rPr>
                <w:sz w:val="22"/>
                <w:szCs w:val="22"/>
              </w:rPr>
              <w:t xml:space="preserve">b) Statistical control (1) </w:t>
            </w:r>
            <w:r w:rsidRPr="00624013">
              <w:rPr>
                <w:b/>
                <w:sz w:val="22"/>
                <w:szCs w:val="22"/>
              </w:rPr>
              <w:t>or</w:t>
            </w:r>
          </w:p>
        </w:tc>
        <w:tc>
          <w:tcPr>
            <w:tcW w:w="573" w:type="dxa"/>
          </w:tcPr>
          <w:p w:rsidR="0044098F" w:rsidRPr="00624013" w:rsidRDefault="0044098F" w:rsidP="00144F3B">
            <w:pPr>
              <w:jc w:val="center"/>
              <w:rPr>
                <w:sz w:val="22"/>
                <w:szCs w:val="22"/>
              </w:rPr>
            </w:pPr>
            <w:r w:rsidRPr="00624013">
              <w:rPr>
                <w:sz w:val="22"/>
                <w:szCs w:val="22"/>
              </w:rPr>
              <w:t>1</w:t>
            </w:r>
          </w:p>
        </w:tc>
        <w:tc>
          <w:tcPr>
            <w:tcW w:w="499" w:type="dxa"/>
          </w:tcPr>
          <w:p w:rsidR="0044098F" w:rsidRPr="00624013" w:rsidRDefault="0044098F" w:rsidP="00144F3B">
            <w:pPr>
              <w:jc w:val="center"/>
              <w:rPr>
                <w:sz w:val="22"/>
                <w:szCs w:val="22"/>
              </w:rPr>
            </w:pPr>
            <w:r w:rsidRPr="00624013">
              <w:rPr>
                <w:sz w:val="22"/>
                <w:szCs w:val="22"/>
              </w:rPr>
              <w:t>0</w:t>
            </w:r>
          </w:p>
        </w:tc>
        <w:tc>
          <w:tcPr>
            <w:tcW w:w="609" w:type="dxa"/>
          </w:tcPr>
          <w:p w:rsidR="0044098F" w:rsidRPr="00624013" w:rsidRDefault="0044098F" w:rsidP="00144F3B">
            <w:pPr>
              <w:jc w:val="center"/>
              <w:rPr>
                <w:sz w:val="22"/>
                <w:szCs w:val="22"/>
              </w:rPr>
            </w:pPr>
          </w:p>
        </w:tc>
      </w:tr>
      <w:tr w:rsidR="0044098F" w:rsidRPr="00624013" w:rsidTr="00624013">
        <w:trPr>
          <w:trHeight w:val="152"/>
        </w:trPr>
        <w:tc>
          <w:tcPr>
            <w:tcW w:w="8157" w:type="dxa"/>
            <w:vAlign w:val="center"/>
          </w:tcPr>
          <w:p w:rsidR="0044098F" w:rsidRPr="00624013" w:rsidRDefault="0044098F" w:rsidP="00144F3B">
            <w:pPr>
              <w:rPr>
                <w:sz w:val="22"/>
                <w:szCs w:val="22"/>
              </w:rPr>
            </w:pPr>
            <w:r w:rsidRPr="00624013">
              <w:rPr>
                <w:sz w:val="22"/>
                <w:szCs w:val="22"/>
              </w:rPr>
              <w:t>c) None (0)</w:t>
            </w:r>
          </w:p>
        </w:tc>
        <w:tc>
          <w:tcPr>
            <w:tcW w:w="573" w:type="dxa"/>
          </w:tcPr>
          <w:p w:rsidR="0044098F" w:rsidRPr="00624013" w:rsidRDefault="0044098F" w:rsidP="00144F3B">
            <w:pPr>
              <w:jc w:val="center"/>
              <w:rPr>
                <w:sz w:val="22"/>
                <w:szCs w:val="22"/>
              </w:rPr>
            </w:pPr>
            <w:r w:rsidRPr="00624013">
              <w:rPr>
                <w:sz w:val="22"/>
                <w:szCs w:val="22"/>
              </w:rPr>
              <w:t>0</w:t>
            </w:r>
          </w:p>
        </w:tc>
        <w:tc>
          <w:tcPr>
            <w:tcW w:w="499" w:type="dxa"/>
          </w:tcPr>
          <w:p w:rsidR="0044098F" w:rsidRPr="00624013" w:rsidRDefault="0044098F" w:rsidP="00144F3B">
            <w:pPr>
              <w:jc w:val="center"/>
              <w:rPr>
                <w:sz w:val="22"/>
                <w:szCs w:val="22"/>
              </w:rPr>
            </w:pPr>
            <w:r w:rsidRPr="00624013">
              <w:rPr>
                <w:sz w:val="22"/>
                <w:szCs w:val="22"/>
              </w:rPr>
              <w:t>0</w:t>
            </w:r>
          </w:p>
        </w:tc>
        <w:tc>
          <w:tcPr>
            <w:tcW w:w="609" w:type="dxa"/>
          </w:tcPr>
          <w:p w:rsidR="0044098F" w:rsidRPr="00624013" w:rsidRDefault="0044098F" w:rsidP="00144F3B">
            <w:pPr>
              <w:jc w:val="center"/>
              <w:rPr>
                <w:sz w:val="22"/>
                <w:szCs w:val="22"/>
              </w:rPr>
            </w:pPr>
          </w:p>
        </w:tc>
      </w:tr>
      <w:tr w:rsidR="0044098F" w:rsidRPr="00624013" w:rsidTr="00624013">
        <w:trPr>
          <w:trHeight w:val="159"/>
        </w:trPr>
        <w:tc>
          <w:tcPr>
            <w:tcW w:w="8157" w:type="dxa"/>
            <w:vAlign w:val="center"/>
          </w:tcPr>
          <w:p w:rsidR="0044098F" w:rsidRPr="00624013" w:rsidRDefault="0044098F" w:rsidP="00144F3B">
            <w:pPr>
              <w:rPr>
                <w:sz w:val="22"/>
                <w:szCs w:val="22"/>
              </w:rPr>
            </w:pPr>
            <w:r w:rsidRPr="00624013">
              <w:rPr>
                <w:b/>
                <w:sz w:val="22"/>
                <w:szCs w:val="22"/>
              </w:rPr>
              <w:t>Subtotal</w:t>
            </w:r>
            <w:r w:rsidRPr="00624013">
              <w:rPr>
                <w:sz w:val="22"/>
                <w:szCs w:val="22"/>
              </w:rPr>
              <w:t xml:space="preserve"> (n/2)</w:t>
            </w:r>
          </w:p>
        </w:tc>
        <w:tc>
          <w:tcPr>
            <w:tcW w:w="573" w:type="dxa"/>
          </w:tcPr>
          <w:p w:rsidR="0044098F" w:rsidRPr="00624013" w:rsidRDefault="0044098F" w:rsidP="00144F3B">
            <w:pPr>
              <w:jc w:val="center"/>
              <w:rPr>
                <w:sz w:val="22"/>
                <w:szCs w:val="22"/>
              </w:rPr>
            </w:pPr>
          </w:p>
        </w:tc>
        <w:tc>
          <w:tcPr>
            <w:tcW w:w="499" w:type="dxa"/>
          </w:tcPr>
          <w:p w:rsidR="0044098F" w:rsidRPr="00624013" w:rsidRDefault="0044098F" w:rsidP="00144F3B">
            <w:pPr>
              <w:jc w:val="center"/>
              <w:rPr>
                <w:sz w:val="22"/>
                <w:szCs w:val="22"/>
              </w:rPr>
            </w:pPr>
          </w:p>
        </w:tc>
        <w:tc>
          <w:tcPr>
            <w:tcW w:w="609" w:type="dxa"/>
          </w:tcPr>
          <w:p w:rsidR="0044098F" w:rsidRPr="00624013" w:rsidRDefault="0044098F" w:rsidP="00144F3B">
            <w:pPr>
              <w:jc w:val="center"/>
              <w:rPr>
                <w:sz w:val="22"/>
                <w:szCs w:val="22"/>
              </w:rPr>
            </w:pPr>
          </w:p>
        </w:tc>
      </w:tr>
      <w:tr w:rsidR="0044098F" w:rsidRPr="00624013" w:rsidTr="00624013">
        <w:trPr>
          <w:trHeight w:val="359"/>
        </w:trPr>
        <w:tc>
          <w:tcPr>
            <w:tcW w:w="8157" w:type="dxa"/>
            <w:vAlign w:val="center"/>
          </w:tcPr>
          <w:p w:rsidR="0044098F" w:rsidRPr="00624013" w:rsidRDefault="0044098F" w:rsidP="00144F3B">
            <w:pPr>
              <w:rPr>
                <w:sz w:val="22"/>
                <w:szCs w:val="22"/>
              </w:rPr>
            </w:pPr>
            <w:r w:rsidRPr="00624013">
              <w:rPr>
                <w:b/>
                <w:sz w:val="22"/>
                <w:szCs w:val="22"/>
              </w:rPr>
              <w:t>D. Data Collection and Outcome Measurement</w:t>
            </w:r>
          </w:p>
        </w:tc>
        <w:tc>
          <w:tcPr>
            <w:tcW w:w="573" w:type="dxa"/>
          </w:tcPr>
          <w:p w:rsidR="0044098F" w:rsidRPr="00624013" w:rsidRDefault="0044098F" w:rsidP="00144F3B">
            <w:pPr>
              <w:jc w:val="center"/>
              <w:rPr>
                <w:sz w:val="22"/>
                <w:szCs w:val="22"/>
              </w:rPr>
            </w:pPr>
          </w:p>
        </w:tc>
        <w:tc>
          <w:tcPr>
            <w:tcW w:w="499" w:type="dxa"/>
          </w:tcPr>
          <w:p w:rsidR="0044098F" w:rsidRPr="00624013" w:rsidRDefault="0044098F" w:rsidP="00144F3B">
            <w:pPr>
              <w:jc w:val="center"/>
              <w:rPr>
                <w:sz w:val="22"/>
                <w:szCs w:val="22"/>
              </w:rPr>
            </w:pPr>
          </w:p>
        </w:tc>
        <w:tc>
          <w:tcPr>
            <w:tcW w:w="609" w:type="dxa"/>
          </w:tcPr>
          <w:p w:rsidR="0044098F" w:rsidRPr="00624013" w:rsidRDefault="0044098F" w:rsidP="00144F3B">
            <w:pPr>
              <w:jc w:val="center"/>
              <w:rPr>
                <w:sz w:val="22"/>
                <w:szCs w:val="22"/>
              </w:rPr>
            </w:pPr>
          </w:p>
        </w:tc>
      </w:tr>
      <w:tr w:rsidR="0044098F" w:rsidRPr="00624013" w:rsidTr="00624013">
        <w:trPr>
          <w:trHeight w:val="1428"/>
        </w:trPr>
        <w:tc>
          <w:tcPr>
            <w:tcW w:w="8157" w:type="dxa"/>
            <w:vAlign w:val="center"/>
          </w:tcPr>
          <w:p w:rsidR="0044098F" w:rsidRPr="00624013" w:rsidRDefault="0044098F" w:rsidP="00144F3B">
            <w:pPr>
              <w:rPr>
                <w:sz w:val="22"/>
                <w:szCs w:val="22"/>
              </w:rPr>
            </w:pPr>
            <w:r w:rsidRPr="00624013">
              <w:rPr>
                <w:sz w:val="22"/>
                <w:szCs w:val="22"/>
              </w:rPr>
              <w:t xml:space="preserve">Measurement: </w:t>
            </w:r>
          </w:p>
          <w:p w:rsidR="0044098F" w:rsidRPr="00624013" w:rsidRDefault="0044098F" w:rsidP="00144F3B">
            <w:pPr>
              <w:rPr>
                <w:sz w:val="22"/>
                <w:szCs w:val="22"/>
              </w:rPr>
            </w:pPr>
            <w:r w:rsidRPr="00624013">
              <w:rPr>
                <w:sz w:val="22"/>
                <w:szCs w:val="22"/>
              </w:rPr>
              <w:br/>
              <w:t>1. Were the dependent variable either:</w:t>
            </w:r>
          </w:p>
          <w:p w:rsidR="0044098F" w:rsidRPr="00624013" w:rsidRDefault="0044098F" w:rsidP="00144F3B">
            <w:pPr>
              <w:numPr>
                <w:ilvl w:val="0"/>
                <w:numId w:val="35"/>
              </w:numPr>
              <w:contextualSpacing/>
              <w:rPr>
                <w:sz w:val="22"/>
                <w:szCs w:val="22"/>
              </w:rPr>
            </w:pPr>
            <w:r w:rsidRPr="00624013">
              <w:rPr>
                <w:sz w:val="22"/>
                <w:szCs w:val="22"/>
              </w:rPr>
              <w:t xml:space="preserve">directly measured (2) </w:t>
            </w:r>
            <w:r w:rsidRPr="00624013">
              <w:rPr>
                <w:b/>
                <w:sz w:val="22"/>
                <w:szCs w:val="22"/>
              </w:rPr>
              <w:t>or</w:t>
            </w:r>
          </w:p>
          <w:p w:rsidR="0044098F" w:rsidRPr="00624013" w:rsidRDefault="0044098F" w:rsidP="00144F3B">
            <w:pPr>
              <w:numPr>
                <w:ilvl w:val="0"/>
                <w:numId w:val="35"/>
              </w:numPr>
              <w:contextualSpacing/>
              <w:rPr>
                <w:sz w:val="22"/>
                <w:szCs w:val="22"/>
              </w:rPr>
            </w:pPr>
            <w:r w:rsidRPr="00624013">
              <w:rPr>
                <w:sz w:val="22"/>
                <w:szCs w:val="22"/>
              </w:rPr>
              <w:t>self-reported (1)</w:t>
            </w:r>
          </w:p>
          <w:p w:rsidR="0044098F" w:rsidRPr="00624013" w:rsidRDefault="0044098F" w:rsidP="00144F3B">
            <w:pPr>
              <w:rPr>
                <w:sz w:val="22"/>
                <w:szCs w:val="22"/>
              </w:rPr>
            </w:pPr>
            <w:r w:rsidRPr="00624013">
              <w:rPr>
                <w:sz w:val="22"/>
                <w:szCs w:val="22"/>
              </w:rPr>
              <w:t>2. Were dependent variables measured reliably/validity (with reliability indices previously or for this study / with validity assessments previously or for this study)? (1)</w:t>
            </w:r>
          </w:p>
          <w:p w:rsidR="0044098F" w:rsidRPr="00624013" w:rsidRDefault="0044098F" w:rsidP="00144F3B">
            <w:pPr>
              <w:rPr>
                <w:sz w:val="22"/>
                <w:szCs w:val="22"/>
              </w:rPr>
            </w:pPr>
          </w:p>
        </w:tc>
        <w:tc>
          <w:tcPr>
            <w:tcW w:w="573" w:type="dxa"/>
          </w:tcPr>
          <w:p w:rsidR="0044098F" w:rsidRPr="00624013" w:rsidRDefault="0044098F" w:rsidP="00144F3B">
            <w:pPr>
              <w:jc w:val="center"/>
              <w:rPr>
                <w:sz w:val="22"/>
                <w:szCs w:val="22"/>
              </w:rPr>
            </w:pPr>
          </w:p>
          <w:p w:rsidR="0044098F" w:rsidRPr="00624013" w:rsidRDefault="0044098F" w:rsidP="00144F3B">
            <w:pPr>
              <w:jc w:val="center"/>
              <w:rPr>
                <w:sz w:val="22"/>
                <w:szCs w:val="22"/>
              </w:rPr>
            </w:pPr>
          </w:p>
          <w:p w:rsidR="0044098F" w:rsidRPr="00624013" w:rsidRDefault="0044098F" w:rsidP="00144F3B">
            <w:pPr>
              <w:jc w:val="center"/>
              <w:rPr>
                <w:sz w:val="22"/>
                <w:szCs w:val="22"/>
              </w:rPr>
            </w:pPr>
          </w:p>
          <w:p w:rsidR="0044098F" w:rsidRPr="00624013" w:rsidRDefault="0044098F" w:rsidP="00144F3B">
            <w:pPr>
              <w:jc w:val="center"/>
              <w:rPr>
                <w:sz w:val="22"/>
                <w:szCs w:val="22"/>
              </w:rPr>
            </w:pPr>
            <w:r w:rsidRPr="00624013">
              <w:rPr>
                <w:sz w:val="22"/>
                <w:szCs w:val="22"/>
              </w:rPr>
              <w:t>2</w:t>
            </w:r>
          </w:p>
          <w:p w:rsidR="0044098F" w:rsidRPr="00624013" w:rsidRDefault="0044098F" w:rsidP="00144F3B">
            <w:pPr>
              <w:jc w:val="center"/>
              <w:rPr>
                <w:sz w:val="22"/>
                <w:szCs w:val="22"/>
              </w:rPr>
            </w:pPr>
            <w:r w:rsidRPr="00624013">
              <w:rPr>
                <w:sz w:val="22"/>
                <w:szCs w:val="22"/>
              </w:rPr>
              <w:t>1</w:t>
            </w:r>
          </w:p>
          <w:p w:rsidR="0044098F" w:rsidRPr="00624013" w:rsidRDefault="0044098F" w:rsidP="00144F3B">
            <w:pPr>
              <w:jc w:val="center"/>
              <w:rPr>
                <w:sz w:val="22"/>
                <w:szCs w:val="22"/>
              </w:rPr>
            </w:pPr>
            <w:r w:rsidRPr="00624013">
              <w:rPr>
                <w:sz w:val="22"/>
                <w:szCs w:val="22"/>
              </w:rPr>
              <w:t>1</w:t>
            </w:r>
          </w:p>
          <w:p w:rsidR="0044098F" w:rsidRPr="00624013" w:rsidRDefault="0044098F" w:rsidP="00144F3B">
            <w:pPr>
              <w:jc w:val="center"/>
              <w:rPr>
                <w:sz w:val="22"/>
                <w:szCs w:val="22"/>
              </w:rPr>
            </w:pPr>
          </w:p>
        </w:tc>
        <w:tc>
          <w:tcPr>
            <w:tcW w:w="499" w:type="dxa"/>
          </w:tcPr>
          <w:p w:rsidR="0044098F" w:rsidRPr="00624013" w:rsidRDefault="0044098F" w:rsidP="00144F3B">
            <w:pPr>
              <w:jc w:val="center"/>
              <w:rPr>
                <w:sz w:val="22"/>
                <w:szCs w:val="22"/>
              </w:rPr>
            </w:pPr>
          </w:p>
          <w:p w:rsidR="0044098F" w:rsidRPr="00624013" w:rsidRDefault="0044098F" w:rsidP="00144F3B">
            <w:pPr>
              <w:jc w:val="center"/>
              <w:rPr>
                <w:sz w:val="22"/>
                <w:szCs w:val="22"/>
              </w:rPr>
            </w:pPr>
          </w:p>
          <w:p w:rsidR="0044098F" w:rsidRPr="00624013" w:rsidRDefault="0044098F" w:rsidP="00144F3B">
            <w:pPr>
              <w:jc w:val="center"/>
              <w:rPr>
                <w:sz w:val="22"/>
                <w:szCs w:val="22"/>
              </w:rPr>
            </w:pPr>
          </w:p>
          <w:p w:rsidR="0044098F" w:rsidRPr="00624013" w:rsidRDefault="0044098F" w:rsidP="00144F3B">
            <w:pPr>
              <w:jc w:val="center"/>
              <w:rPr>
                <w:sz w:val="22"/>
                <w:szCs w:val="22"/>
              </w:rPr>
            </w:pPr>
            <w:r w:rsidRPr="00624013">
              <w:rPr>
                <w:sz w:val="22"/>
                <w:szCs w:val="22"/>
              </w:rPr>
              <w:t>0</w:t>
            </w:r>
          </w:p>
          <w:p w:rsidR="0044098F" w:rsidRPr="00624013" w:rsidRDefault="0044098F" w:rsidP="00144F3B">
            <w:pPr>
              <w:jc w:val="center"/>
              <w:rPr>
                <w:sz w:val="22"/>
                <w:szCs w:val="22"/>
              </w:rPr>
            </w:pPr>
            <w:r w:rsidRPr="00624013">
              <w:rPr>
                <w:sz w:val="22"/>
                <w:szCs w:val="22"/>
              </w:rPr>
              <w:t>0</w:t>
            </w:r>
          </w:p>
          <w:p w:rsidR="0044098F" w:rsidRPr="00624013" w:rsidRDefault="0044098F" w:rsidP="00144F3B">
            <w:pPr>
              <w:jc w:val="center"/>
              <w:rPr>
                <w:sz w:val="22"/>
                <w:szCs w:val="22"/>
              </w:rPr>
            </w:pPr>
            <w:r w:rsidRPr="00624013">
              <w:rPr>
                <w:sz w:val="22"/>
                <w:szCs w:val="22"/>
              </w:rPr>
              <w:t>0</w:t>
            </w:r>
          </w:p>
          <w:p w:rsidR="0044098F" w:rsidRPr="00624013" w:rsidRDefault="0044098F" w:rsidP="00144F3B">
            <w:pPr>
              <w:jc w:val="center"/>
              <w:rPr>
                <w:sz w:val="22"/>
                <w:szCs w:val="22"/>
              </w:rPr>
            </w:pPr>
          </w:p>
        </w:tc>
        <w:tc>
          <w:tcPr>
            <w:tcW w:w="609" w:type="dxa"/>
          </w:tcPr>
          <w:p w:rsidR="0044098F" w:rsidRPr="00624013" w:rsidRDefault="0044098F" w:rsidP="00144F3B">
            <w:pPr>
              <w:jc w:val="center"/>
              <w:rPr>
                <w:sz w:val="22"/>
                <w:szCs w:val="22"/>
              </w:rPr>
            </w:pPr>
          </w:p>
        </w:tc>
      </w:tr>
      <w:tr w:rsidR="0044098F" w:rsidRPr="00624013" w:rsidTr="00624013">
        <w:trPr>
          <w:trHeight w:val="152"/>
        </w:trPr>
        <w:tc>
          <w:tcPr>
            <w:tcW w:w="8157" w:type="dxa"/>
            <w:vAlign w:val="center"/>
          </w:tcPr>
          <w:p w:rsidR="0044098F" w:rsidRPr="00624013" w:rsidRDefault="0044098F" w:rsidP="00144F3B">
            <w:pPr>
              <w:rPr>
                <w:sz w:val="22"/>
                <w:szCs w:val="22"/>
              </w:rPr>
            </w:pPr>
            <w:r w:rsidRPr="00624013">
              <w:rPr>
                <w:b/>
                <w:sz w:val="22"/>
                <w:szCs w:val="22"/>
              </w:rPr>
              <w:t>Subtotal</w:t>
            </w:r>
            <w:r w:rsidRPr="00624013">
              <w:rPr>
                <w:sz w:val="22"/>
                <w:szCs w:val="22"/>
              </w:rPr>
              <w:t xml:space="preserve"> (n/3)</w:t>
            </w:r>
          </w:p>
        </w:tc>
        <w:tc>
          <w:tcPr>
            <w:tcW w:w="573" w:type="dxa"/>
          </w:tcPr>
          <w:p w:rsidR="0044098F" w:rsidRPr="00624013" w:rsidRDefault="0044098F" w:rsidP="00144F3B">
            <w:pPr>
              <w:jc w:val="center"/>
              <w:rPr>
                <w:sz w:val="22"/>
                <w:szCs w:val="22"/>
              </w:rPr>
            </w:pPr>
          </w:p>
        </w:tc>
        <w:tc>
          <w:tcPr>
            <w:tcW w:w="499" w:type="dxa"/>
          </w:tcPr>
          <w:p w:rsidR="0044098F" w:rsidRPr="00624013" w:rsidRDefault="0044098F" w:rsidP="00144F3B">
            <w:pPr>
              <w:jc w:val="center"/>
              <w:rPr>
                <w:sz w:val="22"/>
                <w:szCs w:val="22"/>
              </w:rPr>
            </w:pPr>
          </w:p>
        </w:tc>
        <w:tc>
          <w:tcPr>
            <w:tcW w:w="609" w:type="dxa"/>
          </w:tcPr>
          <w:p w:rsidR="0044098F" w:rsidRPr="00624013" w:rsidRDefault="0044098F" w:rsidP="00144F3B">
            <w:pPr>
              <w:jc w:val="center"/>
              <w:rPr>
                <w:sz w:val="22"/>
                <w:szCs w:val="22"/>
              </w:rPr>
            </w:pPr>
          </w:p>
        </w:tc>
      </w:tr>
      <w:tr w:rsidR="0044098F" w:rsidRPr="00624013" w:rsidTr="00624013">
        <w:trPr>
          <w:trHeight w:val="47"/>
        </w:trPr>
        <w:tc>
          <w:tcPr>
            <w:tcW w:w="8157" w:type="dxa"/>
            <w:vAlign w:val="center"/>
          </w:tcPr>
          <w:p w:rsidR="0044098F" w:rsidRPr="00624013" w:rsidRDefault="0044098F" w:rsidP="00144F3B">
            <w:pPr>
              <w:rPr>
                <w:b/>
                <w:sz w:val="22"/>
                <w:szCs w:val="22"/>
              </w:rPr>
            </w:pPr>
            <w:r w:rsidRPr="00624013">
              <w:rPr>
                <w:b/>
                <w:sz w:val="22"/>
                <w:szCs w:val="22"/>
              </w:rPr>
              <w:t>E. Statistical Analysis and Conclusions</w:t>
            </w:r>
          </w:p>
        </w:tc>
        <w:tc>
          <w:tcPr>
            <w:tcW w:w="573" w:type="dxa"/>
          </w:tcPr>
          <w:p w:rsidR="0044098F" w:rsidRPr="00624013" w:rsidRDefault="0044098F" w:rsidP="00144F3B">
            <w:pPr>
              <w:jc w:val="center"/>
              <w:rPr>
                <w:sz w:val="22"/>
                <w:szCs w:val="22"/>
              </w:rPr>
            </w:pPr>
          </w:p>
        </w:tc>
        <w:tc>
          <w:tcPr>
            <w:tcW w:w="499" w:type="dxa"/>
          </w:tcPr>
          <w:p w:rsidR="0044098F" w:rsidRPr="00624013" w:rsidRDefault="0044098F" w:rsidP="00144F3B">
            <w:pPr>
              <w:jc w:val="center"/>
              <w:rPr>
                <w:sz w:val="22"/>
                <w:szCs w:val="22"/>
              </w:rPr>
            </w:pPr>
          </w:p>
        </w:tc>
        <w:tc>
          <w:tcPr>
            <w:tcW w:w="609" w:type="dxa"/>
          </w:tcPr>
          <w:p w:rsidR="0044098F" w:rsidRPr="00624013" w:rsidRDefault="0044098F" w:rsidP="00144F3B">
            <w:pPr>
              <w:jc w:val="center"/>
              <w:rPr>
                <w:sz w:val="22"/>
                <w:szCs w:val="22"/>
              </w:rPr>
            </w:pPr>
          </w:p>
        </w:tc>
      </w:tr>
      <w:tr w:rsidR="0044098F" w:rsidRPr="00624013" w:rsidTr="00624013">
        <w:trPr>
          <w:trHeight w:val="152"/>
        </w:trPr>
        <w:tc>
          <w:tcPr>
            <w:tcW w:w="8157" w:type="dxa"/>
            <w:vAlign w:val="center"/>
          </w:tcPr>
          <w:p w:rsidR="0044098F" w:rsidRPr="00624013" w:rsidRDefault="0044098F" w:rsidP="00144F3B">
            <w:pPr>
              <w:rPr>
                <w:sz w:val="22"/>
                <w:szCs w:val="22"/>
              </w:rPr>
            </w:pPr>
            <w:r w:rsidRPr="00624013">
              <w:rPr>
                <w:sz w:val="22"/>
                <w:szCs w:val="22"/>
              </w:rPr>
              <w:t>1. Was/were the statistical test(s) used appropriate for the main outcome and at least the 80% of the others? (1)</w:t>
            </w:r>
          </w:p>
          <w:p w:rsidR="0044098F" w:rsidRPr="00624013" w:rsidRDefault="0044098F" w:rsidP="00144F3B">
            <w:pPr>
              <w:rPr>
                <w:sz w:val="22"/>
                <w:szCs w:val="22"/>
              </w:rPr>
            </w:pPr>
            <w:r w:rsidRPr="00624013">
              <w:rPr>
                <w:sz w:val="22"/>
                <w:szCs w:val="22"/>
              </w:rPr>
              <w:t>2. Were p values and confidence intervals reported properly? (1)</w:t>
            </w:r>
          </w:p>
          <w:p w:rsidR="0044098F" w:rsidRPr="00624013" w:rsidRDefault="0044098F" w:rsidP="00144F3B">
            <w:pPr>
              <w:rPr>
                <w:sz w:val="22"/>
                <w:szCs w:val="22"/>
              </w:rPr>
            </w:pPr>
            <w:r w:rsidRPr="00624013">
              <w:rPr>
                <w:sz w:val="22"/>
                <w:szCs w:val="22"/>
              </w:rPr>
              <w:t>3. If multiple outcomes were studied, were correlations analyzed? (1)</w:t>
            </w:r>
          </w:p>
          <w:p w:rsidR="0044098F" w:rsidRPr="00624013" w:rsidRDefault="0044098F" w:rsidP="00144F3B">
            <w:pPr>
              <w:rPr>
                <w:sz w:val="22"/>
                <w:szCs w:val="22"/>
              </w:rPr>
            </w:pPr>
            <w:r w:rsidRPr="00624013">
              <w:rPr>
                <w:sz w:val="22"/>
                <w:szCs w:val="22"/>
              </w:rPr>
              <w:t>4. Were missing data managed appropriately? (1)</w:t>
            </w:r>
          </w:p>
        </w:tc>
        <w:tc>
          <w:tcPr>
            <w:tcW w:w="573" w:type="dxa"/>
          </w:tcPr>
          <w:p w:rsidR="0044098F" w:rsidRPr="00624013" w:rsidRDefault="0044098F" w:rsidP="00144F3B">
            <w:pPr>
              <w:jc w:val="center"/>
              <w:rPr>
                <w:sz w:val="22"/>
                <w:szCs w:val="22"/>
              </w:rPr>
            </w:pPr>
            <w:r w:rsidRPr="00624013">
              <w:rPr>
                <w:sz w:val="22"/>
                <w:szCs w:val="22"/>
              </w:rPr>
              <w:t>1</w:t>
            </w:r>
          </w:p>
          <w:p w:rsidR="0044098F" w:rsidRPr="00624013" w:rsidRDefault="0044098F" w:rsidP="00144F3B">
            <w:pPr>
              <w:jc w:val="center"/>
              <w:rPr>
                <w:sz w:val="22"/>
                <w:szCs w:val="22"/>
              </w:rPr>
            </w:pPr>
            <w:r w:rsidRPr="00624013">
              <w:rPr>
                <w:sz w:val="22"/>
                <w:szCs w:val="22"/>
              </w:rPr>
              <w:t>1</w:t>
            </w:r>
          </w:p>
          <w:p w:rsidR="0044098F" w:rsidRPr="00624013" w:rsidRDefault="0044098F" w:rsidP="00144F3B">
            <w:pPr>
              <w:jc w:val="center"/>
              <w:rPr>
                <w:sz w:val="22"/>
                <w:szCs w:val="22"/>
              </w:rPr>
            </w:pPr>
            <w:r w:rsidRPr="00624013">
              <w:rPr>
                <w:sz w:val="22"/>
                <w:szCs w:val="22"/>
              </w:rPr>
              <w:t>1</w:t>
            </w:r>
          </w:p>
          <w:p w:rsidR="0044098F" w:rsidRPr="00624013" w:rsidRDefault="0044098F" w:rsidP="00144F3B">
            <w:pPr>
              <w:jc w:val="center"/>
              <w:rPr>
                <w:sz w:val="22"/>
                <w:szCs w:val="22"/>
              </w:rPr>
            </w:pPr>
            <w:r w:rsidRPr="00624013">
              <w:rPr>
                <w:sz w:val="22"/>
                <w:szCs w:val="22"/>
              </w:rPr>
              <w:t>1</w:t>
            </w:r>
          </w:p>
        </w:tc>
        <w:tc>
          <w:tcPr>
            <w:tcW w:w="499" w:type="dxa"/>
          </w:tcPr>
          <w:p w:rsidR="0044098F" w:rsidRPr="00624013" w:rsidRDefault="0044098F" w:rsidP="00144F3B">
            <w:pPr>
              <w:jc w:val="center"/>
              <w:rPr>
                <w:sz w:val="22"/>
                <w:szCs w:val="22"/>
              </w:rPr>
            </w:pPr>
            <w:r w:rsidRPr="00624013">
              <w:rPr>
                <w:sz w:val="22"/>
                <w:szCs w:val="22"/>
              </w:rPr>
              <w:t>0</w:t>
            </w:r>
          </w:p>
          <w:p w:rsidR="0044098F" w:rsidRPr="00624013" w:rsidRDefault="0044098F" w:rsidP="00144F3B">
            <w:pPr>
              <w:jc w:val="center"/>
              <w:rPr>
                <w:sz w:val="22"/>
                <w:szCs w:val="22"/>
              </w:rPr>
            </w:pPr>
            <w:r w:rsidRPr="00624013">
              <w:rPr>
                <w:sz w:val="22"/>
                <w:szCs w:val="22"/>
              </w:rPr>
              <w:t>0</w:t>
            </w:r>
          </w:p>
          <w:p w:rsidR="0044098F" w:rsidRPr="00624013" w:rsidRDefault="0044098F" w:rsidP="00144F3B">
            <w:pPr>
              <w:jc w:val="center"/>
              <w:rPr>
                <w:sz w:val="22"/>
                <w:szCs w:val="22"/>
              </w:rPr>
            </w:pPr>
            <w:r w:rsidRPr="00624013">
              <w:rPr>
                <w:sz w:val="22"/>
                <w:szCs w:val="22"/>
              </w:rPr>
              <w:t>0</w:t>
            </w:r>
          </w:p>
          <w:p w:rsidR="0044098F" w:rsidRPr="00624013" w:rsidRDefault="0044098F" w:rsidP="00144F3B">
            <w:pPr>
              <w:jc w:val="center"/>
              <w:rPr>
                <w:sz w:val="22"/>
                <w:szCs w:val="22"/>
              </w:rPr>
            </w:pPr>
            <w:r w:rsidRPr="00624013">
              <w:rPr>
                <w:sz w:val="22"/>
                <w:szCs w:val="22"/>
              </w:rPr>
              <w:t>0</w:t>
            </w:r>
          </w:p>
        </w:tc>
        <w:tc>
          <w:tcPr>
            <w:tcW w:w="609" w:type="dxa"/>
          </w:tcPr>
          <w:p w:rsidR="0044098F" w:rsidRPr="00624013" w:rsidRDefault="0044098F" w:rsidP="00144F3B">
            <w:pPr>
              <w:rPr>
                <w:sz w:val="22"/>
                <w:szCs w:val="22"/>
              </w:rPr>
            </w:pPr>
          </w:p>
          <w:p w:rsidR="0044098F" w:rsidRPr="00624013" w:rsidRDefault="0044098F" w:rsidP="00144F3B">
            <w:pPr>
              <w:jc w:val="center"/>
              <w:rPr>
                <w:sz w:val="22"/>
                <w:szCs w:val="22"/>
              </w:rPr>
            </w:pPr>
            <w:r w:rsidRPr="00624013">
              <w:rPr>
                <w:sz w:val="22"/>
                <w:szCs w:val="22"/>
              </w:rPr>
              <w:t>N/A</w:t>
            </w:r>
          </w:p>
        </w:tc>
      </w:tr>
      <w:tr w:rsidR="0044098F" w:rsidRPr="00624013" w:rsidTr="00624013">
        <w:trPr>
          <w:trHeight w:val="159"/>
        </w:trPr>
        <w:tc>
          <w:tcPr>
            <w:tcW w:w="8157" w:type="dxa"/>
            <w:vAlign w:val="center"/>
          </w:tcPr>
          <w:p w:rsidR="0044098F" w:rsidRPr="00624013" w:rsidRDefault="0044098F" w:rsidP="00144F3B">
            <w:pPr>
              <w:rPr>
                <w:sz w:val="22"/>
                <w:szCs w:val="22"/>
              </w:rPr>
            </w:pPr>
            <w:r w:rsidRPr="00624013">
              <w:rPr>
                <w:b/>
                <w:sz w:val="22"/>
                <w:szCs w:val="22"/>
              </w:rPr>
              <w:t>Subtotal</w:t>
            </w:r>
            <w:r w:rsidRPr="00624013">
              <w:rPr>
                <w:sz w:val="22"/>
                <w:szCs w:val="22"/>
              </w:rPr>
              <w:t xml:space="preserve"> (n/4)</w:t>
            </w:r>
          </w:p>
        </w:tc>
        <w:tc>
          <w:tcPr>
            <w:tcW w:w="573" w:type="dxa"/>
          </w:tcPr>
          <w:p w:rsidR="0044098F" w:rsidRPr="00624013" w:rsidRDefault="0044098F" w:rsidP="00144F3B">
            <w:pPr>
              <w:jc w:val="center"/>
              <w:rPr>
                <w:sz w:val="22"/>
                <w:szCs w:val="22"/>
              </w:rPr>
            </w:pPr>
          </w:p>
        </w:tc>
        <w:tc>
          <w:tcPr>
            <w:tcW w:w="499" w:type="dxa"/>
          </w:tcPr>
          <w:p w:rsidR="0044098F" w:rsidRPr="00624013" w:rsidRDefault="0044098F" w:rsidP="00144F3B">
            <w:pPr>
              <w:jc w:val="center"/>
              <w:rPr>
                <w:sz w:val="22"/>
                <w:szCs w:val="22"/>
              </w:rPr>
            </w:pPr>
          </w:p>
        </w:tc>
        <w:tc>
          <w:tcPr>
            <w:tcW w:w="609" w:type="dxa"/>
          </w:tcPr>
          <w:p w:rsidR="0044098F" w:rsidRPr="00624013" w:rsidRDefault="0044098F" w:rsidP="00144F3B">
            <w:pPr>
              <w:jc w:val="center"/>
              <w:rPr>
                <w:sz w:val="22"/>
                <w:szCs w:val="22"/>
              </w:rPr>
            </w:pPr>
          </w:p>
        </w:tc>
      </w:tr>
      <w:tr w:rsidR="0044098F" w:rsidRPr="00624013" w:rsidTr="00624013">
        <w:trPr>
          <w:trHeight w:val="152"/>
        </w:trPr>
        <w:tc>
          <w:tcPr>
            <w:tcW w:w="8157" w:type="dxa"/>
            <w:vAlign w:val="center"/>
          </w:tcPr>
          <w:p w:rsidR="0044098F" w:rsidRPr="00624013" w:rsidRDefault="0044098F" w:rsidP="00144F3B">
            <w:pPr>
              <w:rPr>
                <w:b/>
                <w:sz w:val="22"/>
                <w:szCs w:val="22"/>
              </w:rPr>
            </w:pPr>
            <w:r w:rsidRPr="00624013">
              <w:rPr>
                <w:b/>
                <w:sz w:val="22"/>
                <w:szCs w:val="22"/>
              </w:rPr>
              <w:t xml:space="preserve">Total: Total number of points </w:t>
            </w:r>
            <w:r w:rsidRPr="00624013">
              <w:rPr>
                <w:sz w:val="22"/>
                <w:szCs w:val="22"/>
              </w:rPr>
              <w:t>(n/12)</w:t>
            </w:r>
          </w:p>
        </w:tc>
        <w:tc>
          <w:tcPr>
            <w:tcW w:w="573" w:type="dxa"/>
          </w:tcPr>
          <w:p w:rsidR="0044098F" w:rsidRPr="00624013" w:rsidRDefault="0044098F" w:rsidP="00144F3B">
            <w:pPr>
              <w:jc w:val="center"/>
              <w:rPr>
                <w:sz w:val="22"/>
                <w:szCs w:val="22"/>
              </w:rPr>
            </w:pPr>
          </w:p>
        </w:tc>
        <w:tc>
          <w:tcPr>
            <w:tcW w:w="499" w:type="dxa"/>
          </w:tcPr>
          <w:p w:rsidR="0044098F" w:rsidRPr="00624013" w:rsidRDefault="0044098F" w:rsidP="00144F3B">
            <w:pPr>
              <w:jc w:val="center"/>
              <w:rPr>
                <w:sz w:val="22"/>
                <w:szCs w:val="22"/>
              </w:rPr>
            </w:pPr>
          </w:p>
        </w:tc>
        <w:tc>
          <w:tcPr>
            <w:tcW w:w="609" w:type="dxa"/>
          </w:tcPr>
          <w:p w:rsidR="0044098F" w:rsidRPr="00624013" w:rsidRDefault="0044098F" w:rsidP="00144F3B">
            <w:pPr>
              <w:jc w:val="center"/>
              <w:rPr>
                <w:sz w:val="22"/>
                <w:szCs w:val="22"/>
              </w:rPr>
            </w:pPr>
          </w:p>
        </w:tc>
      </w:tr>
      <w:tr w:rsidR="0044098F" w:rsidRPr="00624013" w:rsidTr="001C5683">
        <w:trPr>
          <w:trHeight w:val="152"/>
        </w:trPr>
        <w:tc>
          <w:tcPr>
            <w:tcW w:w="9838" w:type="dxa"/>
            <w:gridSpan w:val="4"/>
          </w:tcPr>
          <w:p w:rsidR="0044098F" w:rsidRPr="00624013" w:rsidRDefault="0044098F" w:rsidP="00144F3B">
            <w:pPr>
              <w:rPr>
                <w:b/>
                <w:sz w:val="22"/>
                <w:szCs w:val="22"/>
              </w:rPr>
            </w:pPr>
            <w:r w:rsidRPr="00624013">
              <w:rPr>
                <w:b/>
                <w:sz w:val="22"/>
                <w:szCs w:val="22"/>
              </w:rPr>
              <w:t>Overall Validity Rating:</w:t>
            </w:r>
          </w:p>
          <w:p w:rsidR="0044098F" w:rsidRPr="00624013" w:rsidRDefault="0044098F" w:rsidP="00144F3B">
            <w:pPr>
              <w:jc w:val="center"/>
              <w:rPr>
                <w:sz w:val="22"/>
                <w:szCs w:val="22"/>
              </w:rPr>
            </w:pPr>
            <w:r w:rsidRPr="00624013">
              <w:rPr>
                <w:sz w:val="22"/>
                <w:szCs w:val="22"/>
                <w:u w:val="single"/>
              </w:rPr>
              <w:t>Total number of points obtained</w:t>
            </w:r>
          </w:p>
          <w:p w:rsidR="0044098F" w:rsidRPr="00624013" w:rsidRDefault="00144F3B" w:rsidP="00144F3B">
            <w:pPr>
              <w:jc w:val="center"/>
              <w:rPr>
                <w:sz w:val="22"/>
                <w:szCs w:val="22"/>
              </w:rPr>
            </w:pPr>
            <w:r>
              <w:rPr>
                <w:sz w:val="22"/>
                <w:szCs w:val="22"/>
              </w:rPr>
              <w:t>Total possible</w:t>
            </w:r>
            <w:r w:rsidR="0044098F" w:rsidRPr="00624013">
              <w:rPr>
                <w:sz w:val="22"/>
                <w:szCs w:val="22"/>
              </w:rPr>
              <w:t xml:space="preserve"> points – N/A</w:t>
            </w:r>
          </w:p>
          <w:p w:rsidR="0044098F" w:rsidRPr="00624013" w:rsidRDefault="0044098F" w:rsidP="00144F3B">
            <w:pPr>
              <w:rPr>
                <w:sz w:val="22"/>
                <w:szCs w:val="22"/>
              </w:rPr>
            </w:pPr>
            <w:r w:rsidRPr="00624013">
              <w:rPr>
                <w:sz w:val="22"/>
                <w:szCs w:val="22"/>
              </w:rPr>
              <w:t>Key: &lt;0.60 – LO; 0.61-0.79 = MED; 0.8-1.0 = HI                                                                                        TOTAL: _______________</w:t>
            </w:r>
          </w:p>
          <w:p w:rsidR="0044098F" w:rsidRPr="00624013" w:rsidRDefault="0044098F" w:rsidP="00144F3B">
            <w:pPr>
              <w:jc w:val="right"/>
              <w:rPr>
                <w:sz w:val="22"/>
                <w:szCs w:val="22"/>
              </w:rPr>
            </w:pPr>
            <w:r w:rsidRPr="00624013">
              <w:rPr>
                <w:sz w:val="22"/>
                <w:szCs w:val="22"/>
              </w:rPr>
              <w:t xml:space="preserve">LO    MED   HI      </w:t>
            </w:r>
          </w:p>
        </w:tc>
      </w:tr>
    </w:tbl>
    <w:p w:rsidR="0044098F" w:rsidRPr="00624013" w:rsidRDefault="00144F3B" w:rsidP="00CE78C9">
      <w:pPr>
        <w:jc w:val="center"/>
        <w:rPr>
          <w:rFonts w:cs="Arial"/>
          <w:b/>
        </w:rPr>
      </w:pPr>
      <w:r>
        <w:rPr>
          <w:rFonts w:cs="Arial"/>
          <w:b/>
        </w:rPr>
        <w:lastRenderedPageBreak/>
        <w:t>REF</w:t>
      </w:r>
      <w:r w:rsidR="0044098F" w:rsidRPr="00624013">
        <w:rPr>
          <w:rFonts w:cs="Arial"/>
          <w:b/>
        </w:rPr>
        <w:t>ERENCE</w:t>
      </w:r>
      <w:r w:rsidR="0044098F">
        <w:rPr>
          <w:rFonts w:cs="Arial"/>
          <w:b/>
        </w:rPr>
        <w:t>S</w:t>
      </w:r>
    </w:p>
    <w:p w:rsidR="0044098F" w:rsidRDefault="0044098F" w:rsidP="00254B1B">
      <w:pPr>
        <w:rPr>
          <w:rFonts w:cs="Arial"/>
        </w:rPr>
      </w:pPr>
    </w:p>
    <w:p w:rsidR="0044098F" w:rsidRPr="00CE78C9" w:rsidRDefault="0044098F" w:rsidP="00CE78C9">
      <w:pPr>
        <w:pStyle w:val="EndNoteBibliography"/>
        <w:ind w:left="432" w:hanging="432"/>
      </w:pPr>
      <w:r w:rsidRPr="00CE78C9">
        <w:t>1.</w:t>
      </w:r>
      <w:r w:rsidRPr="00CE78C9">
        <w:tab/>
        <w:t>Cummings G, MacGregor T, Davey M, Wong C, Paul L, Stafford E. Factors contributing to nursing leadership: a systematic review. Journal of Health Services Research &amp; Policy 2008;13:240-8.</w:t>
      </w:r>
    </w:p>
    <w:p w:rsidR="0044098F" w:rsidRPr="00CE78C9" w:rsidRDefault="0044098F" w:rsidP="00CE78C9">
      <w:pPr>
        <w:pStyle w:val="EndNoteBibliography"/>
        <w:ind w:left="432" w:hanging="432"/>
      </w:pPr>
      <w:r w:rsidRPr="00CE78C9">
        <w:t>2.</w:t>
      </w:r>
      <w:r w:rsidRPr="00CE78C9">
        <w:tab/>
        <w:t xml:space="preserve">Hamman MK, Kapinos KA. Affordable Care Act </w:t>
      </w:r>
      <w:r w:rsidR="00D6073D">
        <w:t>p</w:t>
      </w:r>
      <w:r w:rsidRPr="00CE78C9">
        <w:t xml:space="preserve">rovision </w:t>
      </w:r>
      <w:r w:rsidR="00D6073D">
        <w:t>l</w:t>
      </w:r>
      <w:r w:rsidRPr="00CE78C9">
        <w:t xml:space="preserve">owered </w:t>
      </w:r>
      <w:r w:rsidR="00D6073D">
        <w:t>o</w:t>
      </w:r>
      <w:r w:rsidRPr="00CE78C9">
        <w:t>ut-</w:t>
      </w:r>
      <w:r w:rsidR="00D6073D">
        <w:t>o</w:t>
      </w:r>
      <w:r w:rsidRPr="00CE78C9">
        <w:t>f-</w:t>
      </w:r>
      <w:r w:rsidR="00D6073D">
        <w:t>p</w:t>
      </w:r>
      <w:r w:rsidRPr="00CE78C9">
        <w:t xml:space="preserve">ocket </w:t>
      </w:r>
      <w:r w:rsidR="00D6073D">
        <w:t>c</w:t>
      </w:r>
      <w:r w:rsidRPr="00CE78C9">
        <w:t xml:space="preserve">ost </w:t>
      </w:r>
      <w:r w:rsidR="00D6073D">
        <w:t>a</w:t>
      </w:r>
      <w:r w:rsidRPr="00CE78C9">
        <w:t xml:space="preserve">nd </w:t>
      </w:r>
      <w:r w:rsidR="00D6073D">
        <w:t>i</w:t>
      </w:r>
      <w:r w:rsidRPr="00CE78C9">
        <w:t xml:space="preserve">ncreased </w:t>
      </w:r>
      <w:r w:rsidR="00D6073D">
        <w:t>c</w:t>
      </w:r>
      <w:r w:rsidRPr="00CE78C9">
        <w:t xml:space="preserve">olonoscopy </w:t>
      </w:r>
      <w:r w:rsidR="00D6073D">
        <w:t>r</w:t>
      </w:r>
      <w:r w:rsidRPr="00CE78C9">
        <w:t xml:space="preserve">ates </w:t>
      </w:r>
      <w:r w:rsidR="00D6073D">
        <w:t>a</w:t>
      </w:r>
      <w:r w:rsidRPr="00CE78C9">
        <w:t>m</w:t>
      </w:r>
      <w:r w:rsidR="00D6073D">
        <w:t xml:space="preserve">ong men in Medicare. Health Affairs </w:t>
      </w:r>
      <w:r w:rsidRPr="00CE78C9">
        <w:t>2015;34:2069-76.</w:t>
      </w:r>
    </w:p>
    <w:p w:rsidR="0044098F" w:rsidRPr="00CE78C9" w:rsidRDefault="0044098F" w:rsidP="00CE78C9">
      <w:pPr>
        <w:pStyle w:val="EndNoteBibliography"/>
        <w:ind w:left="432" w:hanging="432"/>
      </w:pPr>
      <w:r w:rsidRPr="00CE78C9">
        <w:t>3.</w:t>
      </w:r>
      <w:r w:rsidRPr="00CE78C9">
        <w:tab/>
        <w:t xml:space="preserve">Choi SK, Adams SA, Eberth JM, et al. Medicaid </w:t>
      </w:r>
      <w:r w:rsidR="00D6073D">
        <w:t>c</w:t>
      </w:r>
      <w:r w:rsidRPr="00CE78C9">
        <w:t xml:space="preserve">overage </w:t>
      </w:r>
      <w:r w:rsidR="00D6073D">
        <w:t>e</w:t>
      </w:r>
      <w:r w:rsidRPr="00CE78C9">
        <w:t xml:space="preserve">xpansion and </w:t>
      </w:r>
      <w:r w:rsidR="00D6073D">
        <w:t>i</w:t>
      </w:r>
      <w:r w:rsidRPr="00CE78C9">
        <w:t xml:space="preserve">mplications for </w:t>
      </w:r>
      <w:r w:rsidR="00D6073D">
        <w:t>c</w:t>
      </w:r>
      <w:r w:rsidRPr="00CE78C9">
        <w:t xml:space="preserve">ancer </w:t>
      </w:r>
      <w:r w:rsidR="00D6073D">
        <w:t>d</w:t>
      </w:r>
      <w:r w:rsidRPr="00CE78C9">
        <w:t>isparities. Am</w:t>
      </w:r>
      <w:r w:rsidR="000C765F">
        <w:t>erican</w:t>
      </w:r>
      <w:r w:rsidRPr="00CE78C9">
        <w:t xml:space="preserve"> J</w:t>
      </w:r>
      <w:r w:rsidR="000C765F">
        <w:t>ournal of</w:t>
      </w:r>
      <w:r w:rsidRPr="00CE78C9">
        <w:t xml:space="preserve"> Public Health 2015;105 Suppl 5:S706-12.</w:t>
      </w:r>
    </w:p>
    <w:p w:rsidR="0044098F" w:rsidRPr="00CE78C9" w:rsidRDefault="0044098F" w:rsidP="00CE78C9">
      <w:pPr>
        <w:pStyle w:val="EndNoteBibliography"/>
        <w:ind w:left="432" w:hanging="432"/>
      </w:pPr>
      <w:r w:rsidRPr="00CE78C9">
        <w:t>4.</w:t>
      </w:r>
      <w:r w:rsidRPr="00CE78C9">
        <w:tab/>
        <w:t xml:space="preserve">Ku L, Bysshe T, Steinmetz E, Bruen BK. Health </w:t>
      </w:r>
      <w:r w:rsidR="00D6073D">
        <w:t>r</w:t>
      </w:r>
      <w:r w:rsidRPr="00CE78C9">
        <w:t xml:space="preserve">eform, Medicaid </w:t>
      </w:r>
      <w:r w:rsidR="00D6073D">
        <w:t>e</w:t>
      </w:r>
      <w:r w:rsidRPr="00CE78C9">
        <w:t xml:space="preserve">xpansions, and </w:t>
      </w:r>
      <w:r w:rsidR="00D6073D">
        <w:t>w</w:t>
      </w:r>
      <w:r w:rsidRPr="00CE78C9">
        <w:t xml:space="preserve">omen's </w:t>
      </w:r>
      <w:r w:rsidR="00D6073D">
        <w:t>c</w:t>
      </w:r>
      <w:r w:rsidRPr="00CE78C9">
        <w:t xml:space="preserve">ancer </w:t>
      </w:r>
      <w:r w:rsidR="00D6073D">
        <w:t>s</w:t>
      </w:r>
      <w:r w:rsidRPr="00CE78C9">
        <w:t xml:space="preserve">creening. Women's </w:t>
      </w:r>
      <w:r w:rsidR="00D6073D">
        <w:t>H</w:t>
      </w:r>
      <w:r w:rsidRPr="00CE78C9">
        <w:t xml:space="preserve">ealth </w:t>
      </w:r>
      <w:r w:rsidR="00D6073D">
        <w:t>I</w:t>
      </w:r>
      <w:r w:rsidRPr="00CE78C9">
        <w:t>ssues 2016;26:256-61.</w:t>
      </w:r>
    </w:p>
    <w:p w:rsidR="0044098F" w:rsidRPr="00CE78C9" w:rsidRDefault="0044098F" w:rsidP="00CE78C9">
      <w:pPr>
        <w:pStyle w:val="EndNoteBibliography"/>
        <w:ind w:left="432" w:hanging="432"/>
      </w:pPr>
      <w:r w:rsidRPr="00CE78C9">
        <w:t>5.</w:t>
      </w:r>
      <w:r w:rsidRPr="00CE78C9">
        <w:tab/>
        <w:t xml:space="preserve">Portela M, Sommers BD. On the </w:t>
      </w:r>
      <w:r w:rsidR="000C765F">
        <w:t>o</w:t>
      </w:r>
      <w:r w:rsidRPr="00CE78C9">
        <w:t xml:space="preserve">utskirts of </w:t>
      </w:r>
      <w:r w:rsidR="000C765F">
        <w:t>n</w:t>
      </w:r>
      <w:r w:rsidRPr="00CE78C9">
        <w:t xml:space="preserve">ational </w:t>
      </w:r>
      <w:r w:rsidR="000C765F">
        <w:t>h</w:t>
      </w:r>
      <w:r w:rsidRPr="00CE78C9">
        <w:t xml:space="preserve">ealth </w:t>
      </w:r>
      <w:r w:rsidR="000C765F">
        <w:t>r</w:t>
      </w:r>
      <w:r w:rsidRPr="00CE78C9">
        <w:t xml:space="preserve">eform: </w:t>
      </w:r>
      <w:r w:rsidR="000C765F">
        <w:t>a</w:t>
      </w:r>
      <w:r w:rsidRPr="00CE78C9">
        <w:t xml:space="preserve"> </w:t>
      </w:r>
      <w:r w:rsidR="000C765F">
        <w:t>c</w:t>
      </w:r>
      <w:r w:rsidRPr="00CE78C9">
        <w:t xml:space="preserve">omparative </w:t>
      </w:r>
      <w:r w:rsidR="000C765F">
        <w:t>a</w:t>
      </w:r>
      <w:r w:rsidRPr="00CE78C9">
        <w:t xml:space="preserve">ssessment of </w:t>
      </w:r>
      <w:r w:rsidR="000C765F">
        <w:t>h</w:t>
      </w:r>
      <w:r w:rsidRPr="00CE78C9">
        <w:t xml:space="preserve">ealth </w:t>
      </w:r>
      <w:r w:rsidR="000C765F">
        <w:t>i</w:t>
      </w:r>
      <w:r w:rsidRPr="00CE78C9">
        <w:t xml:space="preserve">nsurance and </w:t>
      </w:r>
      <w:r w:rsidR="000C765F">
        <w:t>a</w:t>
      </w:r>
      <w:r w:rsidRPr="00CE78C9">
        <w:t xml:space="preserve">ccess to </w:t>
      </w:r>
      <w:r w:rsidR="000C765F">
        <w:t>c</w:t>
      </w:r>
      <w:r w:rsidRPr="00CE78C9">
        <w:t xml:space="preserve">are in Puerto Rico and the United States. The Milbank </w:t>
      </w:r>
      <w:r w:rsidR="000C765F">
        <w:t>Q</w:t>
      </w:r>
      <w:r w:rsidRPr="00CE78C9">
        <w:t>uarterly 2015;93:584-608.</w:t>
      </w:r>
    </w:p>
    <w:p w:rsidR="0044098F" w:rsidRPr="00CE78C9" w:rsidRDefault="0044098F" w:rsidP="00CE78C9">
      <w:pPr>
        <w:pStyle w:val="EndNoteBibliography"/>
        <w:ind w:left="432" w:hanging="432"/>
      </w:pPr>
      <w:r w:rsidRPr="00CE78C9">
        <w:t>6.</w:t>
      </w:r>
      <w:r w:rsidRPr="00CE78C9">
        <w:tab/>
        <w:t xml:space="preserve">Sabik LM, Tarazi WW, Bradley CJ. State Medicaid expansion decisions and disparities in women's cancer screening. American </w:t>
      </w:r>
      <w:r w:rsidR="000C765F">
        <w:t>J</w:t>
      </w:r>
      <w:r w:rsidRPr="00CE78C9">
        <w:t xml:space="preserve">ournal of </w:t>
      </w:r>
      <w:r w:rsidR="000C765F">
        <w:t>P</w:t>
      </w:r>
      <w:r w:rsidRPr="00CE78C9">
        <w:t xml:space="preserve">reventive </w:t>
      </w:r>
      <w:r w:rsidR="000C765F">
        <w:t>M</w:t>
      </w:r>
      <w:r w:rsidRPr="00CE78C9">
        <w:t>edicine 2015;48:98-103.</w:t>
      </w:r>
    </w:p>
    <w:p w:rsidR="0044098F" w:rsidRPr="00CE78C9" w:rsidRDefault="0044098F" w:rsidP="00CE78C9">
      <w:pPr>
        <w:pStyle w:val="EndNoteBibliography"/>
        <w:ind w:left="432" w:hanging="432"/>
      </w:pPr>
      <w:r w:rsidRPr="00CE78C9">
        <w:t>7.</w:t>
      </w:r>
      <w:r w:rsidRPr="00CE78C9">
        <w:tab/>
      </w:r>
      <w:r w:rsidR="000C765F" w:rsidRPr="000C765F">
        <w:t>Simon K, Soni A, Cawley J. The impact of health insurance on preventive care and health behaviors: evidence from the first two years of the ACA Medicaid expansions. Journal of Policy Analysis and Management 2017.</w:t>
      </w:r>
    </w:p>
    <w:p w:rsidR="0044098F" w:rsidRPr="00CE78C9" w:rsidRDefault="0044098F" w:rsidP="00CE78C9">
      <w:pPr>
        <w:pStyle w:val="EndNoteBibliography"/>
        <w:ind w:left="432" w:hanging="432"/>
      </w:pPr>
      <w:r w:rsidRPr="00CE78C9">
        <w:t>8.</w:t>
      </w:r>
      <w:r w:rsidRPr="00CE78C9">
        <w:tab/>
        <w:t xml:space="preserve">Aizer AA, Falit B, Mendu ML, et al. Cancer-specific outcomes among young adults without health insurance. Journal of </w:t>
      </w:r>
      <w:r w:rsidR="000C765F">
        <w:t>C</w:t>
      </w:r>
      <w:r w:rsidRPr="00CE78C9">
        <w:t xml:space="preserve">linical </w:t>
      </w:r>
      <w:r w:rsidR="000C765F">
        <w:t>O</w:t>
      </w:r>
      <w:r w:rsidRPr="00CE78C9">
        <w:t>ncology 2014;32:2025-30.</w:t>
      </w:r>
    </w:p>
    <w:p w:rsidR="0044098F" w:rsidRPr="00CE78C9" w:rsidRDefault="0044098F" w:rsidP="00CE78C9">
      <w:pPr>
        <w:pStyle w:val="EndNoteBibliography"/>
        <w:ind w:left="432" w:hanging="432"/>
      </w:pPr>
      <w:r w:rsidRPr="00CE78C9">
        <w:t>9.</w:t>
      </w:r>
      <w:r w:rsidRPr="00CE78C9">
        <w:tab/>
        <w:t xml:space="preserve">Han X, Zang Xiong K, Kramer MR, Jemal A. The Affordable Care Act and </w:t>
      </w:r>
      <w:r w:rsidR="000C765F">
        <w:t>c</w:t>
      </w:r>
      <w:r w:rsidRPr="00CE78C9">
        <w:t xml:space="preserve">ancer </w:t>
      </w:r>
      <w:r w:rsidR="000C765F">
        <w:t>s</w:t>
      </w:r>
      <w:r w:rsidRPr="00CE78C9">
        <w:t xml:space="preserve">tage at </w:t>
      </w:r>
      <w:r w:rsidR="000C765F">
        <w:t>d</w:t>
      </w:r>
      <w:r w:rsidRPr="00CE78C9">
        <w:t xml:space="preserve">iagnosis </w:t>
      </w:r>
      <w:r w:rsidR="000C765F">
        <w:t>a</w:t>
      </w:r>
      <w:r w:rsidRPr="00CE78C9">
        <w:t xml:space="preserve">mong </w:t>
      </w:r>
      <w:r w:rsidR="000C765F">
        <w:t>y</w:t>
      </w:r>
      <w:r w:rsidRPr="00CE78C9">
        <w:t xml:space="preserve">oung </w:t>
      </w:r>
      <w:r w:rsidR="000C765F">
        <w:t>a</w:t>
      </w:r>
      <w:r w:rsidRPr="00CE78C9">
        <w:t>dults. J</w:t>
      </w:r>
      <w:r w:rsidR="000C765F">
        <w:t>ournal of the</w:t>
      </w:r>
      <w:r w:rsidRPr="00CE78C9">
        <w:t xml:space="preserve"> Nat</w:t>
      </w:r>
      <w:r w:rsidR="000C765F">
        <w:t>ional</w:t>
      </w:r>
      <w:r w:rsidRPr="00CE78C9">
        <w:t xml:space="preserve"> Cancer Inst</w:t>
      </w:r>
      <w:r w:rsidR="000C765F">
        <w:t>itute</w:t>
      </w:r>
      <w:r w:rsidRPr="00CE78C9">
        <w:t xml:space="preserve"> 2016;108.</w:t>
      </w:r>
    </w:p>
    <w:p w:rsidR="0044098F" w:rsidRPr="00CE78C9" w:rsidRDefault="0044098F" w:rsidP="00CE78C9">
      <w:pPr>
        <w:pStyle w:val="EndNoteBibliography"/>
        <w:ind w:left="432" w:hanging="432"/>
      </w:pPr>
      <w:r w:rsidRPr="00CE78C9">
        <w:t>10.</w:t>
      </w:r>
      <w:r w:rsidRPr="00CE78C9">
        <w:tab/>
        <w:t xml:space="preserve">Mahal BA, Aizer AA, Ziehr DR, et al. The association between insurance status and prostate cancer outcomes: implications for the Affordable Care Act. Prostate </w:t>
      </w:r>
      <w:r w:rsidR="000C765F">
        <w:t>C</w:t>
      </w:r>
      <w:r w:rsidRPr="00CE78C9">
        <w:t xml:space="preserve">ancer and </w:t>
      </w:r>
      <w:r w:rsidR="000C765F">
        <w:t>P</w:t>
      </w:r>
      <w:r w:rsidRPr="00CE78C9">
        <w:t xml:space="preserve">rostatic </w:t>
      </w:r>
      <w:r w:rsidR="000C765F">
        <w:t>D</w:t>
      </w:r>
      <w:r w:rsidRPr="00CE78C9">
        <w:t>iseases 2014;17:273-9.</w:t>
      </w:r>
    </w:p>
    <w:p w:rsidR="0044098F" w:rsidRPr="00CE78C9" w:rsidRDefault="0044098F" w:rsidP="00CE78C9">
      <w:pPr>
        <w:pStyle w:val="EndNoteBibliography"/>
        <w:ind w:left="432" w:hanging="432"/>
      </w:pPr>
      <w:r w:rsidRPr="00CE78C9">
        <w:t>11.</w:t>
      </w:r>
      <w:r w:rsidRPr="00CE78C9">
        <w:tab/>
        <w:t>Han X, Robin Yabroff K, Guy GP, Jr., Zheng Z, Jemal A. Has recommended preventive service use increased after elimination of cost-sharing as part of the Affordable Care Act in the United States? Prev</w:t>
      </w:r>
      <w:r w:rsidR="000C765F">
        <w:t>entive</w:t>
      </w:r>
      <w:r w:rsidRPr="00CE78C9">
        <w:t xml:space="preserve"> Med</w:t>
      </w:r>
      <w:r w:rsidR="000C765F">
        <w:t>icine</w:t>
      </w:r>
      <w:r w:rsidRPr="00CE78C9">
        <w:t xml:space="preserve"> 2015;78:85-91.</w:t>
      </w:r>
    </w:p>
    <w:p w:rsidR="0044098F" w:rsidRPr="00CE78C9" w:rsidRDefault="0044098F" w:rsidP="00CE78C9">
      <w:pPr>
        <w:pStyle w:val="EndNoteBibliography"/>
        <w:ind w:left="432" w:hanging="432"/>
      </w:pPr>
      <w:r w:rsidRPr="00CE78C9">
        <w:t>12.</w:t>
      </w:r>
      <w:r w:rsidRPr="00CE78C9">
        <w:tab/>
        <w:t xml:space="preserve">Richman I, Asch SM, Bhattacharya J, Owens DK. Colorectal </w:t>
      </w:r>
      <w:r w:rsidR="000C765F">
        <w:t>c</w:t>
      </w:r>
      <w:r w:rsidRPr="00CE78C9">
        <w:t xml:space="preserve">ancer </w:t>
      </w:r>
      <w:r w:rsidR="000C765F">
        <w:t>s</w:t>
      </w:r>
      <w:r w:rsidRPr="00CE78C9">
        <w:t xml:space="preserve">creening in the </w:t>
      </w:r>
      <w:r w:rsidR="000C765F">
        <w:t>e</w:t>
      </w:r>
      <w:r w:rsidRPr="00CE78C9">
        <w:t xml:space="preserve">ra of the Affordable Care Act. Journal of </w:t>
      </w:r>
      <w:r w:rsidR="000C765F">
        <w:t>G</w:t>
      </w:r>
      <w:r w:rsidRPr="00CE78C9">
        <w:t xml:space="preserve">eneral </w:t>
      </w:r>
      <w:r w:rsidR="000C765F">
        <w:t>I</w:t>
      </w:r>
      <w:r w:rsidRPr="00CE78C9">
        <w:t xml:space="preserve">nternal </w:t>
      </w:r>
      <w:r w:rsidR="000C765F">
        <w:t>M</w:t>
      </w:r>
      <w:r w:rsidRPr="00CE78C9">
        <w:t>edicine 2016;31:315-20.</w:t>
      </w:r>
    </w:p>
    <w:p w:rsidR="0044098F" w:rsidRPr="00CE78C9" w:rsidRDefault="0044098F" w:rsidP="00CE78C9">
      <w:pPr>
        <w:pStyle w:val="EndNoteBibliography"/>
        <w:ind w:left="432" w:hanging="432"/>
      </w:pPr>
      <w:r w:rsidRPr="00CE78C9">
        <w:t>13.</w:t>
      </w:r>
      <w:r w:rsidRPr="00CE78C9">
        <w:tab/>
        <w:t xml:space="preserve">Levy AR, Bruen BK, Ku L. Health care reform and women's insurance coverage for breast and cervical cancer screening. Preventing </w:t>
      </w:r>
      <w:r w:rsidR="000C765F">
        <w:t>C</w:t>
      </w:r>
      <w:r w:rsidRPr="00CE78C9">
        <w:t xml:space="preserve">hronic </w:t>
      </w:r>
      <w:r w:rsidR="000C765F">
        <w:t>D</w:t>
      </w:r>
      <w:r w:rsidRPr="00CE78C9">
        <w:t>isease 2012;9:E159.</w:t>
      </w:r>
    </w:p>
    <w:p w:rsidR="000C765F" w:rsidRDefault="0044098F" w:rsidP="00CE78C9">
      <w:pPr>
        <w:pStyle w:val="EndNoteBibliography"/>
        <w:ind w:left="432" w:hanging="432"/>
      </w:pPr>
      <w:r w:rsidRPr="00CE78C9">
        <w:t>14.</w:t>
      </w:r>
      <w:r w:rsidRPr="00CE78C9">
        <w:tab/>
      </w:r>
      <w:r w:rsidR="000C765F" w:rsidRPr="000C765F">
        <w:t>Jena AB, Huang J, Fireman B, et al. Screening mammography for free: impact of eliminating cost sharing on cancer screening rates. Health Services Research 2016;52:191-206.</w:t>
      </w:r>
    </w:p>
    <w:p w:rsidR="0044098F" w:rsidRPr="00CE78C9" w:rsidRDefault="0044098F" w:rsidP="00CE78C9">
      <w:pPr>
        <w:pStyle w:val="EndNoteBibliography"/>
        <w:ind w:left="432" w:hanging="432"/>
      </w:pPr>
      <w:r w:rsidRPr="00CE78C9">
        <w:t>15.</w:t>
      </w:r>
      <w:r w:rsidRPr="00CE78C9">
        <w:tab/>
        <w:t xml:space="preserve">Wharam JF, Zhang F, Landon BE, LeCates R, Soumerai S, Ross-Degnan D. Colorectal </w:t>
      </w:r>
      <w:r w:rsidR="000C765F">
        <w:t>c</w:t>
      </w:r>
      <w:r w:rsidRPr="00CE78C9">
        <w:t xml:space="preserve">ancer </w:t>
      </w:r>
      <w:r w:rsidR="000C765F">
        <w:t>s</w:t>
      </w:r>
      <w:r w:rsidRPr="00CE78C9">
        <w:t xml:space="preserve">creening in a </w:t>
      </w:r>
      <w:r w:rsidR="000C765F">
        <w:t>n</w:t>
      </w:r>
      <w:r w:rsidRPr="00CE78C9">
        <w:t xml:space="preserve">ationwide </w:t>
      </w:r>
      <w:r w:rsidR="000C765F">
        <w:t>h</w:t>
      </w:r>
      <w:r w:rsidRPr="00CE78C9">
        <w:t xml:space="preserve">igh-deductible </w:t>
      </w:r>
      <w:r w:rsidR="000C765F">
        <w:t>h</w:t>
      </w:r>
      <w:r w:rsidRPr="00CE78C9">
        <w:t xml:space="preserve">ealth </w:t>
      </w:r>
      <w:r w:rsidR="000C765F">
        <w:t>p</w:t>
      </w:r>
      <w:r w:rsidRPr="00CE78C9">
        <w:t xml:space="preserve">lan </w:t>
      </w:r>
      <w:r w:rsidR="000C765F">
        <w:t>b</w:t>
      </w:r>
      <w:r w:rsidRPr="00CE78C9">
        <w:t xml:space="preserve">efore and </w:t>
      </w:r>
      <w:r w:rsidR="000C765F">
        <w:t>a</w:t>
      </w:r>
      <w:r w:rsidRPr="00CE78C9">
        <w:t>fter the Affordable Care Act. Med</w:t>
      </w:r>
      <w:r w:rsidR="00144F3B">
        <w:t>ical</w:t>
      </w:r>
      <w:r w:rsidRPr="00CE78C9">
        <w:t xml:space="preserve"> Care 2016;54:466-73.</w:t>
      </w:r>
    </w:p>
    <w:p w:rsidR="0044098F" w:rsidRPr="00254B1B" w:rsidRDefault="0044098F" w:rsidP="00CE78C9">
      <w:pPr>
        <w:ind w:left="432" w:hanging="432"/>
        <w:rPr>
          <w:rFonts w:cs="Arial"/>
        </w:rPr>
      </w:pPr>
    </w:p>
    <w:p w:rsidR="007D4E4F" w:rsidRDefault="00846709"/>
    <w:sectPr w:rsidR="007D4E4F" w:rsidSect="00BA33D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09" w:rsidRDefault="00846709">
      <w:r>
        <w:separator/>
      </w:r>
    </w:p>
  </w:endnote>
  <w:endnote w:type="continuationSeparator" w:id="0">
    <w:p w:rsidR="00846709" w:rsidRDefault="0084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2C" w:rsidRDefault="0044098F" w:rsidP="004B3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A2C" w:rsidRDefault="00846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A2C" w:rsidRDefault="0044098F" w:rsidP="004B38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482A">
      <w:rPr>
        <w:rStyle w:val="PageNumber"/>
        <w:noProof/>
      </w:rPr>
      <w:t>1</w:t>
    </w:r>
    <w:r>
      <w:rPr>
        <w:rStyle w:val="PageNumber"/>
      </w:rPr>
      <w:fldChar w:fldCharType="end"/>
    </w:r>
  </w:p>
  <w:p w:rsidR="00290A2C" w:rsidRPr="004B3888" w:rsidRDefault="00846709" w:rsidP="00541222">
    <w:pPr>
      <w:pStyle w:val="Footer"/>
      <w:rPr>
        <w:rFonts w:ascii="Arial" w:hAnsi="Arial" w:cs="Arial"/>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09" w:rsidRDefault="00846709">
      <w:r>
        <w:separator/>
      </w:r>
    </w:p>
  </w:footnote>
  <w:footnote w:type="continuationSeparator" w:id="0">
    <w:p w:rsidR="00846709" w:rsidRDefault="0084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03F"/>
    <w:multiLevelType w:val="hybridMultilevel"/>
    <w:tmpl w:val="38D48D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AD76A2"/>
    <w:multiLevelType w:val="hybridMultilevel"/>
    <w:tmpl w:val="F4829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5120FE"/>
    <w:multiLevelType w:val="hybridMultilevel"/>
    <w:tmpl w:val="BF2447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DB579B5"/>
    <w:multiLevelType w:val="hybridMultilevel"/>
    <w:tmpl w:val="A894A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4524A9"/>
    <w:multiLevelType w:val="hybridMultilevel"/>
    <w:tmpl w:val="351E5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8059AA"/>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2F73D2E"/>
    <w:multiLevelType w:val="hybridMultilevel"/>
    <w:tmpl w:val="9D240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276900"/>
    <w:multiLevelType w:val="hybridMultilevel"/>
    <w:tmpl w:val="AAA875EA"/>
    <w:lvl w:ilvl="0" w:tplc="4650FB70">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221E18"/>
    <w:multiLevelType w:val="hybridMultilevel"/>
    <w:tmpl w:val="511880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8F706E"/>
    <w:multiLevelType w:val="hybridMultilevel"/>
    <w:tmpl w:val="DA989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F75972"/>
    <w:multiLevelType w:val="hybridMultilevel"/>
    <w:tmpl w:val="7D86F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B1D07"/>
    <w:multiLevelType w:val="hybridMultilevel"/>
    <w:tmpl w:val="99F6068E"/>
    <w:lvl w:ilvl="0" w:tplc="D4A8EEB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A4202"/>
    <w:multiLevelType w:val="hybridMultilevel"/>
    <w:tmpl w:val="363E60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6035422"/>
    <w:multiLevelType w:val="hybridMultilevel"/>
    <w:tmpl w:val="A26EF2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9101F4"/>
    <w:multiLevelType w:val="hybridMultilevel"/>
    <w:tmpl w:val="5156A0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C356CB8"/>
    <w:multiLevelType w:val="hybridMultilevel"/>
    <w:tmpl w:val="3DCC1F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D33049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E202536"/>
    <w:multiLevelType w:val="hybridMultilevel"/>
    <w:tmpl w:val="9CBA2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E422157"/>
    <w:multiLevelType w:val="hybridMultilevel"/>
    <w:tmpl w:val="8D44D4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6D742A"/>
    <w:multiLevelType w:val="hybridMultilevel"/>
    <w:tmpl w:val="9EE0A526"/>
    <w:lvl w:ilvl="0" w:tplc="ADCA902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72F5E"/>
    <w:multiLevelType w:val="hybridMultilevel"/>
    <w:tmpl w:val="BF4423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5016C25"/>
    <w:multiLevelType w:val="hybridMultilevel"/>
    <w:tmpl w:val="49023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C35263"/>
    <w:multiLevelType w:val="hybridMultilevel"/>
    <w:tmpl w:val="B9B60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F1B1F"/>
    <w:multiLevelType w:val="hybridMultilevel"/>
    <w:tmpl w:val="4AD8AE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121CFA"/>
    <w:multiLevelType w:val="hybridMultilevel"/>
    <w:tmpl w:val="A0486A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96C5400"/>
    <w:multiLevelType w:val="hybridMultilevel"/>
    <w:tmpl w:val="7F72A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457F41"/>
    <w:multiLevelType w:val="hybridMultilevel"/>
    <w:tmpl w:val="4EC20004"/>
    <w:lvl w:ilvl="0" w:tplc="821261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86202A"/>
    <w:multiLevelType w:val="hybridMultilevel"/>
    <w:tmpl w:val="53AEA6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6C610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235A58"/>
    <w:multiLevelType w:val="hybridMultilevel"/>
    <w:tmpl w:val="310E53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F4D2A26"/>
    <w:multiLevelType w:val="hybridMultilevel"/>
    <w:tmpl w:val="476EBC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2FC7BCF"/>
    <w:multiLevelType w:val="hybridMultilevel"/>
    <w:tmpl w:val="0CD48D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382F7E"/>
    <w:multiLevelType w:val="hybridMultilevel"/>
    <w:tmpl w:val="51D617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6A55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250511"/>
    <w:multiLevelType w:val="hybridMultilevel"/>
    <w:tmpl w:val="1C704E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32"/>
  </w:num>
  <w:num w:numId="3">
    <w:abstractNumId w:val="23"/>
  </w:num>
  <w:num w:numId="4">
    <w:abstractNumId w:val="25"/>
  </w:num>
  <w:num w:numId="5">
    <w:abstractNumId w:val="31"/>
  </w:num>
  <w:num w:numId="6">
    <w:abstractNumId w:val="3"/>
  </w:num>
  <w:num w:numId="7">
    <w:abstractNumId w:val="6"/>
  </w:num>
  <w:num w:numId="8">
    <w:abstractNumId w:val="4"/>
  </w:num>
  <w:num w:numId="9">
    <w:abstractNumId w:val="11"/>
  </w:num>
  <w:num w:numId="10">
    <w:abstractNumId w:val="33"/>
  </w:num>
  <w:num w:numId="11">
    <w:abstractNumId w:val="28"/>
  </w:num>
  <w:num w:numId="12">
    <w:abstractNumId w:val="9"/>
  </w:num>
  <w:num w:numId="13">
    <w:abstractNumId w:val="13"/>
  </w:num>
  <w:num w:numId="14">
    <w:abstractNumId w:val="21"/>
  </w:num>
  <w:num w:numId="15">
    <w:abstractNumId w:val="14"/>
  </w:num>
  <w:num w:numId="16">
    <w:abstractNumId w:val="34"/>
  </w:num>
  <w:num w:numId="17">
    <w:abstractNumId w:val="20"/>
  </w:num>
  <w:num w:numId="18">
    <w:abstractNumId w:val="12"/>
  </w:num>
  <w:num w:numId="19">
    <w:abstractNumId w:val="8"/>
  </w:num>
  <w:num w:numId="20">
    <w:abstractNumId w:val="16"/>
  </w:num>
  <w:num w:numId="21">
    <w:abstractNumId w:val="5"/>
  </w:num>
  <w:num w:numId="22">
    <w:abstractNumId w:val="18"/>
  </w:num>
  <w:num w:numId="23">
    <w:abstractNumId w:val="24"/>
  </w:num>
  <w:num w:numId="24">
    <w:abstractNumId w:val="26"/>
  </w:num>
  <w:num w:numId="25">
    <w:abstractNumId w:val="27"/>
  </w:num>
  <w:num w:numId="26">
    <w:abstractNumId w:val="17"/>
  </w:num>
  <w:num w:numId="27">
    <w:abstractNumId w:val="1"/>
  </w:num>
  <w:num w:numId="28">
    <w:abstractNumId w:val="19"/>
  </w:num>
  <w:num w:numId="29">
    <w:abstractNumId w:val="0"/>
  </w:num>
  <w:num w:numId="30">
    <w:abstractNumId w:val="2"/>
  </w:num>
  <w:num w:numId="31">
    <w:abstractNumId w:val="7"/>
  </w:num>
  <w:num w:numId="32">
    <w:abstractNumId w:val="30"/>
  </w:num>
  <w:num w:numId="33">
    <w:abstractNumId w:val="15"/>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NzEzMDY3MDIwNzVV0lEKTi0uzszPAykwrAUABzwkyCwAAAA="/>
    <w:docVar w:name="EN.InstantFormat" w:val="&lt;ENInstantFormat&gt;&lt;Enabled&gt;1&lt;/Enabled&gt;&lt;ScanUnformatted&gt;1&lt;/ScanUnformatted&gt;&lt;ScanChanges&gt;1&lt;/ScanChanges&gt;&lt;Suspended&gt;1&lt;/Suspended&gt;&lt;/ENInstantFormat&gt;"/>
  </w:docVars>
  <w:rsids>
    <w:rsidRoot w:val="0044098F"/>
    <w:rsid w:val="00002865"/>
    <w:rsid w:val="000C765F"/>
    <w:rsid w:val="00144F3B"/>
    <w:rsid w:val="0027592C"/>
    <w:rsid w:val="0040754E"/>
    <w:rsid w:val="0044098F"/>
    <w:rsid w:val="004D002A"/>
    <w:rsid w:val="00846709"/>
    <w:rsid w:val="00B36C26"/>
    <w:rsid w:val="00C0389B"/>
    <w:rsid w:val="00C546B9"/>
    <w:rsid w:val="00D6073D"/>
    <w:rsid w:val="00E8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89FD-368B-4D2E-A902-51BAA39A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9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098F"/>
    <w:pPr>
      <w:keepNext/>
      <w:jc w:val="both"/>
      <w:outlineLvl w:val="0"/>
    </w:pPr>
    <w:rPr>
      <w:rFonts w:ascii="Arial" w:hAnsi="Arial" w:cs="Arial"/>
      <w:b/>
      <w:bCs/>
    </w:rPr>
  </w:style>
  <w:style w:type="paragraph" w:styleId="Heading2">
    <w:name w:val="heading 2"/>
    <w:basedOn w:val="Normal"/>
    <w:next w:val="Normal"/>
    <w:link w:val="Heading2Char"/>
    <w:qFormat/>
    <w:rsid w:val="0044098F"/>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44098F"/>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98F"/>
    <w:rPr>
      <w:rFonts w:ascii="Arial" w:eastAsia="Times New Roman" w:hAnsi="Arial" w:cs="Arial"/>
      <w:b/>
      <w:bCs/>
      <w:sz w:val="24"/>
      <w:szCs w:val="24"/>
    </w:rPr>
  </w:style>
  <w:style w:type="character" w:customStyle="1" w:styleId="Heading2Char">
    <w:name w:val="Heading 2 Char"/>
    <w:basedOn w:val="DefaultParagraphFont"/>
    <w:link w:val="Heading2"/>
    <w:rsid w:val="0044098F"/>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44098F"/>
    <w:rPr>
      <w:rFonts w:asciiTheme="majorHAnsi" w:eastAsiaTheme="majorEastAsia" w:hAnsiTheme="majorHAnsi" w:cstheme="majorBidi"/>
      <w:b/>
      <w:bCs/>
      <w:i/>
      <w:iCs/>
      <w:color w:val="5B9BD5" w:themeColor="accent1"/>
      <w:sz w:val="24"/>
      <w:szCs w:val="24"/>
    </w:rPr>
  </w:style>
  <w:style w:type="character" w:styleId="Hyperlink">
    <w:name w:val="Hyperlink"/>
    <w:basedOn w:val="DefaultParagraphFont"/>
    <w:uiPriority w:val="99"/>
    <w:rsid w:val="0044098F"/>
    <w:rPr>
      <w:color w:val="0000FF"/>
      <w:u w:val="single"/>
    </w:rPr>
  </w:style>
  <w:style w:type="paragraph" w:customStyle="1" w:styleId="DefaultText">
    <w:name w:val="Default Text:"/>
    <w:rsid w:val="0044098F"/>
    <w:pPr>
      <w:spacing w:after="0" w:line="240" w:lineRule="auto"/>
    </w:pPr>
    <w:rPr>
      <w:rFonts w:ascii="Times New Roman" w:eastAsia="Times New Roman" w:hAnsi="Times New Roman" w:cs="Times New Roman"/>
      <w:snapToGrid w:val="0"/>
      <w:color w:val="000000"/>
      <w:sz w:val="24"/>
      <w:szCs w:val="20"/>
    </w:rPr>
  </w:style>
  <w:style w:type="paragraph" w:customStyle="1" w:styleId="DefaultText0">
    <w:name w:val="Default Text"/>
    <w:rsid w:val="0044098F"/>
    <w:pPr>
      <w:spacing w:after="0" w:line="240" w:lineRule="auto"/>
    </w:pPr>
    <w:rPr>
      <w:rFonts w:ascii="Times New Roman" w:eastAsia="Times New Roman" w:hAnsi="Times New Roman" w:cs="Times New Roman"/>
      <w:snapToGrid w:val="0"/>
      <w:color w:val="000000"/>
      <w:sz w:val="24"/>
      <w:szCs w:val="20"/>
    </w:rPr>
  </w:style>
  <w:style w:type="paragraph" w:customStyle="1" w:styleId="TableText">
    <w:name w:val="Table Text"/>
    <w:rsid w:val="0044098F"/>
    <w:pPr>
      <w:spacing w:after="0" w:line="240" w:lineRule="auto"/>
    </w:pPr>
    <w:rPr>
      <w:rFonts w:ascii="Times New Roman" w:eastAsia="Times New Roman" w:hAnsi="Times New Roman" w:cs="Times New Roman"/>
      <w:snapToGrid w:val="0"/>
      <w:color w:val="000000"/>
      <w:sz w:val="24"/>
      <w:szCs w:val="20"/>
    </w:rPr>
  </w:style>
  <w:style w:type="character" w:styleId="FollowedHyperlink">
    <w:name w:val="FollowedHyperlink"/>
    <w:basedOn w:val="DefaultParagraphFont"/>
    <w:uiPriority w:val="99"/>
    <w:rsid w:val="0044098F"/>
    <w:rPr>
      <w:color w:val="800080"/>
      <w:u w:val="single"/>
    </w:rPr>
  </w:style>
  <w:style w:type="paragraph" w:styleId="Title">
    <w:name w:val="Title"/>
    <w:basedOn w:val="Normal"/>
    <w:link w:val="TitleChar"/>
    <w:qFormat/>
    <w:rsid w:val="0044098F"/>
    <w:pPr>
      <w:jc w:val="center"/>
    </w:pPr>
    <w:rPr>
      <w:rFonts w:ascii="Arial" w:hAnsi="Arial" w:cs="Arial"/>
      <w:b/>
      <w:bCs/>
    </w:rPr>
  </w:style>
  <w:style w:type="character" w:customStyle="1" w:styleId="TitleChar">
    <w:name w:val="Title Char"/>
    <w:basedOn w:val="DefaultParagraphFont"/>
    <w:link w:val="Title"/>
    <w:rsid w:val="0044098F"/>
    <w:rPr>
      <w:rFonts w:ascii="Arial" w:eastAsia="Times New Roman" w:hAnsi="Arial" w:cs="Arial"/>
      <w:b/>
      <w:bCs/>
      <w:sz w:val="24"/>
      <w:szCs w:val="24"/>
    </w:rPr>
  </w:style>
  <w:style w:type="paragraph" w:styleId="BodyText">
    <w:name w:val="Body Text"/>
    <w:basedOn w:val="Normal"/>
    <w:link w:val="BodyTextChar"/>
    <w:rsid w:val="0044098F"/>
    <w:pPr>
      <w:tabs>
        <w:tab w:val="left" w:pos="-720"/>
      </w:tabs>
      <w:suppressAutoHyphens/>
      <w:spacing w:line="360" w:lineRule="auto"/>
      <w:jc w:val="both"/>
    </w:pPr>
    <w:rPr>
      <w:rFonts w:ascii="Arial" w:hAnsi="Arial" w:cs="Arial"/>
    </w:rPr>
  </w:style>
  <w:style w:type="character" w:customStyle="1" w:styleId="BodyTextChar">
    <w:name w:val="Body Text Char"/>
    <w:basedOn w:val="DefaultParagraphFont"/>
    <w:link w:val="BodyText"/>
    <w:rsid w:val="0044098F"/>
    <w:rPr>
      <w:rFonts w:ascii="Arial" w:eastAsia="Times New Roman" w:hAnsi="Arial" w:cs="Arial"/>
      <w:sz w:val="24"/>
      <w:szCs w:val="24"/>
    </w:rPr>
  </w:style>
  <w:style w:type="paragraph" w:styleId="Header">
    <w:name w:val="header"/>
    <w:basedOn w:val="Normal"/>
    <w:link w:val="HeaderChar"/>
    <w:rsid w:val="0044098F"/>
    <w:pPr>
      <w:tabs>
        <w:tab w:val="center" w:pos="4320"/>
        <w:tab w:val="right" w:pos="8640"/>
      </w:tabs>
    </w:pPr>
  </w:style>
  <w:style w:type="character" w:customStyle="1" w:styleId="HeaderChar">
    <w:name w:val="Header Char"/>
    <w:basedOn w:val="DefaultParagraphFont"/>
    <w:link w:val="Header"/>
    <w:rsid w:val="0044098F"/>
    <w:rPr>
      <w:rFonts w:ascii="Times New Roman" w:eastAsia="Times New Roman" w:hAnsi="Times New Roman" w:cs="Times New Roman"/>
      <w:sz w:val="24"/>
      <w:szCs w:val="24"/>
    </w:rPr>
  </w:style>
  <w:style w:type="paragraph" w:styleId="Footer">
    <w:name w:val="footer"/>
    <w:basedOn w:val="Normal"/>
    <w:link w:val="FooterChar"/>
    <w:rsid w:val="0044098F"/>
    <w:pPr>
      <w:tabs>
        <w:tab w:val="center" w:pos="4320"/>
        <w:tab w:val="right" w:pos="8640"/>
      </w:tabs>
    </w:pPr>
  </w:style>
  <w:style w:type="character" w:customStyle="1" w:styleId="FooterChar">
    <w:name w:val="Footer Char"/>
    <w:basedOn w:val="DefaultParagraphFont"/>
    <w:link w:val="Footer"/>
    <w:rsid w:val="0044098F"/>
    <w:rPr>
      <w:rFonts w:ascii="Times New Roman" w:eastAsia="Times New Roman" w:hAnsi="Times New Roman" w:cs="Times New Roman"/>
      <w:sz w:val="24"/>
      <w:szCs w:val="24"/>
    </w:rPr>
  </w:style>
  <w:style w:type="character" w:styleId="PageNumber">
    <w:name w:val="page number"/>
    <w:basedOn w:val="DefaultParagraphFont"/>
    <w:rsid w:val="0044098F"/>
  </w:style>
  <w:style w:type="paragraph" w:customStyle="1" w:styleId="Char1CharCharCarCarChar">
    <w:name w:val="Char1 Char Char Car Car Char"/>
    <w:basedOn w:val="Normal"/>
    <w:rsid w:val="0044098F"/>
    <w:pPr>
      <w:spacing w:after="160" w:line="240" w:lineRule="exact"/>
    </w:pPr>
  </w:style>
  <w:style w:type="character" w:styleId="Emphasis">
    <w:name w:val="Emphasis"/>
    <w:basedOn w:val="DefaultParagraphFont"/>
    <w:qFormat/>
    <w:rsid w:val="0044098F"/>
    <w:rPr>
      <w:i/>
      <w:iCs/>
    </w:rPr>
  </w:style>
  <w:style w:type="paragraph" w:customStyle="1" w:styleId="CharChar">
    <w:name w:val="Char Char"/>
    <w:basedOn w:val="Normal"/>
    <w:rsid w:val="0044098F"/>
    <w:pPr>
      <w:spacing w:after="160" w:line="240" w:lineRule="exact"/>
    </w:pPr>
  </w:style>
  <w:style w:type="paragraph" w:customStyle="1" w:styleId="CharCharCharCharChar">
    <w:name w:val="Char Char Char Char Char"/>
    <w:basedOn w:val="Normal"/>
    <w:rsid w:val="0044098F"/>
    <w:pPr>
      <w:spacing w:after="160" w:line="240" w:lineRule="exact"/>
    </w:pPr>
  </w:style>
  <w:style w:type="paragraph" w:styleId="HTMLPreformatted">
    <w:name w:val="HTML Preformatted"/>
    <w:basedOn w:val="Normal"/>
    <w:link w:val="HTMLPreformattedChar"/>
    <w:rsid w:val="00440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4098F"/>
    <w:rPr>
      <w:rFonts w:ascii="Courier New" w:eastAsia="Times New Roman" w:hAnsi="Courier New" w:cs="Courier New"/>
      <w:sz w:val="20"/>
      <w:szCs w:val="20"/>
    </w:rPr>
  </w:style>
  <w:style w:type="paragraph" w:styleId="BodyText2">
    <w:name w:val="Body Text 2"/>
    <w:basedOn w:val="Normal"/>
    <w:link w:val="BodyText2Char"/>
    <w:rsid w:val="0044098F"/>
    <w:pPr>
      <w:spacing w:after="120" w:line="480" w:lineRule="auto"/>
    </w:pPr>
  </w:style>
  <w:style w:type="character" w:customStyle="1" w:styleId="BodyText2Char">
    <w:name w:val="Body Text 2 Char"/>
    <w:basedOn w:val="DefaultParagraphFont"/>
    <w:link w:val="BodyText2"/>
    <w:rsid w:val="0044098F"/>
    <w:rPr>
      <w:rFonts w:ascii="Times New Roman" w:eastAsia="Times New Roman" w:hAnsi="Times New Roman" w:cs="Times New Roman"/>
      <w:sz w:val="24"/>
      <w:szCs w:val="24"/>
    </w:rPr>
  </w:style>
  <w:style w:type="paragraph" w:styleId="BalloonText">
    <w:name w:val="Balloon Text"/>
    <w:basedOn w:val="Normal"/>
    <w:link w:val="BalloonTextChar"/>
    <w:semiHidden/>
    <w:rsid w:val="0044098F"/>
    <w:rPr>
      <w:rFonts w:ascii="Tahoma" w:hAnsi="Tahoma" w:cs="Tahoma"/>
      <w:sz w:val="16"/>
      <w:szCs w:val="16"/>
    </w:rPr>
  </w:style>
  <w:style w:type="character" w:customStyle="1" w:styleId="BalloonTextChar">
    <w:name w:val="Balloon Text Char"/>
    <w:basedOn w:val="DefaultParagraphFont"/>
    <w:link w:val="BalloonText"/>
    <w:semiHidden/>
    <w:rsid w:val="0044098F"/>
    <w:rPr>
      <w:rFonts w:ascii="Tahoma" w:eastAsia="Times New Roman" w:hAnsi="Tahoma" w:cs="Tahoma"/>
      <w:sz w:val="16"/>
      <w:szCs w:val="16"/>
    </w:rPr>
  </w:style>
  <w:style w:type="paragraph" w:customStyle="1" w:styleId="bodyletter">
    <w:name w:val="bodyletter"/>
    <w:aliases w:val="bl"/>
    <w:basedOn w:val="Normal"/>
    <w:rsid w:val="0044098F"/>
    <w:pPr>
      <w:spacing w:before="160" w:line="160" w:lineRule="atLeast"/>
    </w:pPr>
    <w:rPr>
      <w:rFonts w:ascii="Times" w:hAnsi="Times"/>
      <w:snapToGrid w:val="0"/>
      <w:color w:val="0000FF"/>
      <w:szCs w:val="20"/>
    </w:rPr>
  </w:style>
  <w:style w:type="character" w:styleId="CommentReference">
    <w:name w:val="annotation reference"/>
    <w:basedOn w:val="DefaultParagraphFont"/>
    <w:uiPriority w:val="99"/>
    <w:semiHidden/>
    <w:unhideWhenUsed/>
    <w:rsid w:val="0044098F"/>
    <w:rPr>
      <w:sz w:val="16"/>
      <w:szCs w:val="16"/>
    </w:rPr>
  </w:style>
  <w:style w:type="paragraph" w:styleId="CommentText">
    <w:name w:val="annotation text"/>
    <w:basedOn w:val="Normal"/>
    <w:link w:val="CommentTextChar"/>
    <w:uiPriority w:val="99"/>
    <w:unhideWhenUsed/>
    <w:rsid w:val="0044098F"/>
    <w:rPr>
      <w:sz w:val="20"/>
      <w:szCs w:val="20"/>
    </w:rPr>
  </w:style>
  <w:style w:type="character" w:customStyle="1" w:styleId="CommentTextChar">
    <w:name w:val="Comment Text Char"/>
    <w:basedOn w:val="DefaultParagraphFont"/>
    <w:link w:val="CommentText"/>
    <w:uiPriority w:val="99"/>
    <w:rsid w:val="004409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98F"/>
    <w:rPr>
      <w:b/>
      <w:bCs/>
    </w:rPr>
  </w:style>
  <w:style w:type="character" w:customStyle="1" w:styleId="CommentSubjectChar">
    <w:name w:val="Comment Subject Char"/>
    <w:basedOn w:val="CommentTextChar"/>
    <w:link w:val="CommentSubject"/>
    <w:uiPriority w:val="99"/>
    <w:semiHidden/>
    <w:rsid w:val="0044098F"/>
    <w:rPr>
      <w:rFonts w:ascii="Times New Roman" w:eastAsia="Times New Roman" w:hAnsi="Times New Roman" w:cs="Times New Roman"/>
      <w:b/>
      <w:bCs/>
      <w:sz w:val="20"/>
      <w:szCs w:val="20"/>
    </w:rPr>
  </w:style>
  <w:style w:type="table" w:styleId="TableGrid">
    <w:name w:val="Table Grid"/>
    <w:basedOn w:val="TableNormal"/>
    <w:uiPriority w:val="59"/>
    <w:rsid w:val="0044098F"/>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98F"/>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44098F"/>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44098F"/>
    <w:rPr>
      <w:rFonts w:ascii="Consolas" w:hAnsi="Consolas"/>
      <w:sz w:val="21"/>
      <w:szCs w:val="21"/>
      <w:lang w:val="en-CA"/>
    </w:rPr>
  </w:style>
  <w:style w:type="character" w:customStyle="1" w:styleId="st">
    <w:name w:val="st"/>
    <w:basedOn w:val="DefaultParagraphFont"/>
    <w:rsid w:val="0044098F"/>
  </w:style>
  <w:style w:type="paragraph" w:styleId="NormalWeb">
    <w:name w:val="Normal (Web)"/>
    <w:basedOn w:val="Normal"/>
    <w:uiPriority w:val="99"/>
    <w:unhideWhenUsed/>
    <w:rsid w:val="0044098F"/>
    <w:pPr>
      <w:spacing w:before="100" w:beforeAutospacing="1" w:after="100" w:afterAutospacing="1"/>
    </w:pPr>
    <w:rPr>
      <w:rFonts w:eastAsiaTheme="minorEastAsia"/>
    </w:rPr>
  </w:style>
  <w:style w:type="paragraph" w:customStyle="1" w:styleId="xl65">
    <w:name w:val="xl65"/>
    <w:basedOn w:val="Normal"/>
    <w:rsid w:val="0044098F"/>
    <w:pPr>
      <w:spacing w:before="100" w:beforeAutospacing="1" w:after="100" w:afterAutospacing="1"/>
      <w:textAlignment w:val="top"/>
    </w:pPr>
  </w:style>
  <w:style w:type="paragraph" w:customStyle="1" w:styleId="xl66">
    <w:name w:val="xl66"/>
    <w:basedOn w:val="Normal"/>
    <w:rsid w:val="0044098F"/>
    <w:pPr>
      <w:spacing w:before="100" w:beforeAutospacing="1" w:after="100" w:afterAutospacing="1"/>
      <w:textAlignment w:val="top"/>
    </w:pPr>
  </w:style>
  <w:style w:type="paragraph" w:customStyle="1" w:styleId="xl67">
    <w:name w:val="xl67"/>
    <w:basedOn w:val="Normal"/>
    <w:rsid w:val="0044098F"/>
    <w:pPr>
      <w:shd w:val="clear" w:color="000000" w:fill="FFFF00"/>
      <w:spacing w:before="100" w:beforeAutospacing="1" w:after="100" w:afterAutospacing="1"/>
      <w:textAlignment w:val="top"/>
    </w:pPr>
  </w:style>
  <w:style w:type="paragraph" w:customStyle="1" w:styleId="xl68">
    <w:name w:val="xl68"/>
    <w:basedOn w:val="Normal"/>
    <w:rsid w:val="0044098F"/>
    <w:pPr>
      <w:spacing w:before="100" w:beforeAutospacing="1" w:after="100" w:afterAutospacing="1"/>
      <w:jc w:val="center"/>
      <w:textAlignment w:val="top"/>
    </w:pPr>
    <w:rPr>
      <w:b/>
      <w:bCs/>
    </w:rPr>
  </w:style>
  <w:style w:type="paragraph" w:customStyle="1" w:styleId="xl69">
    <w:name w:val="xl69"/>
    <w:basedOn w:val="Normal"/>
    <w:rsid w:val="0044098F"/>
    <w:pPr>
      <w:spacing w:before="100" w:beforeAutospacing="1" w:after="100" w:afterAutospacing="1"/>
      <w:jc w:val="center"/>
      <w:textAlignment w:val="top"/>
    </w:pPr>
    <w:rPr>
      <w:b/>
      <w:bCs/>
    </w:rPr>
  </w:style>
  <w:style w:type="paragraph" w:customStyle="1" w:styleId="xl70">
    <w:name w:val="xl70"/>
    <w:basedOn w:val="Normal"/>
    <w:rsid w:val="0044098F"/>
    <w:pPr>
      <w:spacing w:before="100" w:beforeAutospacing="1" w:after="100" w:afterAutospacing="1"/>
      <w:textAlignment w:val="top"/>
    </w:pPr>
    <w:rPr>
      <w:b/>
      <w:bCs/>
    </w:rPr>
  </w:style>
  <w:style w:type="paragraph" w:customStyle="1" w:styleId="xl71">
    <w:name w:val="xl71"/>
    <w:basedOn w:val="Normal"/>
    <w:rsid w:val="0044098F"/>
    <w:pPr>
      <w:spacing w:before="100" w:beforeAutospacing="1" w:after="100" w:afterAutospacing="1"/>
      <w:textAlignment w:val="top"/>
    </w:pPr>
  </w:style>
  <w:style w:type="paragraph" w:customStyle="1" w:styleId="xl72">
    <w:name w:val="xl72"/>
    <w:basedOn w:val="Normal"/>
    <w:rsid w:val="0044098F"/>
    <w:pPr>
      <w:spacing w:before="100" w:beforeAutospacing="1" w:after="100" w:afterAutospacing="1"/>
      <w:textAlignment w:val="top"/>
    </w:pPr>
  </w:style>
  <w:style w:type="paragraph" w:customStyle="1" w:styleId="xl73">
    <w:name w:val="xl73"/>
    <w:basedOn w:val="Normal"/>
    <w:rsid w:val="0044098F"/>
    <w:pPr>
      <w:spacing w:before="100" w:beforeAutospacing="1" w:after="100" w:afterAutospacing="1"/>
    </w:pPr>
  </w:style>
  <w:style w:type="paragraph" w:customStyle="1" w:styleId="xl74">
    <w:name w:val="xl74"/>
    <w:basedOn w:val="Normal"/>
    <w:rsid w:val="0044098F"/>
    <w:pPr>
      <w:spacing w:before="100" w:beforeAutospacing="1" w:after="100" w:afterAutospacing="1"/>
      <w:jc w:val="center"/>
      <w:textAlignment w:val="top"/>
    </w:pPr>
    <w:rPr>
      <w:b/>
      <w:bCs/>
    </w:rPr>
  </w:style>
  <w:style w:type="table" w:customStyle="1" w:styleId="GridTable4-Accent31">
    <w:name w:val="Grid Table 4 - Accent 31"/>
    <w:basedOn w:val="TableNormal"/>
    <w:next w:val="GridTable4-Accent3"/>
    <w:uiPriority w:val="49"/>
    <w:rsid w:val="0044098F"/>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44098F"/>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39"/>
    <w:rsid w:val="004409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4098F"/>
    <w:pPr>
      <w:jc w:val="center"/>
    </w:pPr>
    <w:rPr>
      <w:noProof/>
    </w:rPr>
  </w:style>
  <w:style w:type="character" w:customStyle="1" w:styleId="EndNoteBibliographyTitleChar">
    <w:name w:val="EndNote Bibliography Title Char"/>
    <w:basedOn w:val="DefaultParagraphFont"/>
    <w:link w:val="EndNoteBibliographyTitle"/>
    <w:rsid w:val="0044098F"/>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44098F"/>
    <w:rPr>
      <w:noProof/>
    </w:rPr>
  </w:style>
  <w:style w:type="character" w:customStyle="1" w:styleId="EndNoteBibliographyChar">
    <w:name w:val="EndNote Bibliography Char"/>
    <w:basedOn w:val="DefaultParagraphFont"/>
    <w:link w:val="EndNoteBibliography"/>
    <w:rsid w:val="0044098F"/>
    <w:rPr>
      <w:rFonts w:ascii="Times New Roman" w:eastAsia="Times New Roman" w:hAnsi="Times New Roman" w:cs="Times New Roman"/>
      <w:noProof/>
      <w:sz w:val="24"/>
      <w:szCs w:val="24"/>
    </w:rPr>
  </w:style>
  <w:style w:type="table" w:customStyle="1" w:styleId="TableGrid2">
    <w:name w:val="Table Grid2"/>
    <w:basedOn w:val="TableNormal"/>
    <w:next w:val="TableGrid"/>
    <w:uiPriority w:val="39"/>
    <w:rsid w:val="004409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Georges Adunlin</cp:lastModifiedBy>
  <cp:revision>9</cp:revision>
  <dcterms:created xsi:type="dcterms:W3CDTF">2017-02-13T18:11:00Z</dcterms:created>
  <dcterms:modified xsi:type="dcterms:W3CDTF">2017-03-08T19:29:00Z</dcterms:modified>
</cp:coreProperties>
</file>