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F72C" w14:textId="3FAA51E0" w:rsidR="00233737" w:rsidRDefault="003D716E" w:rsidP="00F97DEA">
      <w:pPr>
        <w:jc w:val="center"/>
      </w:pPr>
      <w:bookmarkStart w:id="0" w:name="_GoBack"/>
      <w:bookmarkEnd w:id="0"/>
      <w:r>
        <w:rPr>
          <w:b/>
        </w:rPr>
        <w:t>Table 2.</w:t>
      </w:r>
      <w:r w:rsidR="00233737" w:rsidRPr="00233737">
        <w:rPr>
          <w:b/>
        </w:rPr>
        <w:t xml:space="preserve"> PEDro criteria and scores for included studies (n = 8)</w:t>
      </w:r>
    </w:p>
    <w:tbl>
      <w:tblPr>
        <w:tblStyle w:val="TableGrid"/>
        <w:tblpPr w:leftFromText="180" w:rightFromText="180" w:horzAnchor="page" w:tblpX="1477" w:tblpY="740"/>
        <w:tblW w:w="14120" w:type="dxa"/>
        <w:tblLayout w:type="fixed"/>
        <w:tblLook w:val="00A0" w:firstRow="1" w:lastRow="0" w:firstColumn="1" w:lastColumn="0" w:noHBand="0" w:noVBand="0"/>
      </w:tblPr>
      <w:tblGrid>
        <w:gridCol w:w="1160"/>
        <w:gridCol w:w="1108"/>
        <w:gridCol w:w="1170"/>
        <w:gridCol w:w="1080"/>
        <w:gridCol w:w="1170"/>
        <w:gridCol w:w="1170"/>
        <w:gridCol w:w="1080"/>
        <w:gridCol w:w="1170"/>
        <w:gridCol w:w="1502"/>
        <w:gridCol w:w="1198"/>
        <w:gridCol w:w="1260"/>
        <w:gridCol w:w="1052"/>
      </w:tblGrid>
      <w:tr w:rsidR="00793052" w:rsidRPr="00EE692E" w14:paraId="20369865" w14:textId="77777777" w:rsidTr="00793052">
        <w:tc>
          <w:tcPr>
            <w:tcW w:w="1160" w:type="dxa"/>
          </w:tcPr>
          <w:p w14:paraId="5518427A" w14:textId="4919CBDC" w:rsidR="00233737" w:rsidRPr="00EE692E" w:rsidRDefault="00233737" w:rsidP="003D716E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Study</w:t>
            </w:r>
          </w:p>
        </w:tc>
        <w:tc>
          <w:tcPr>
            <w:tcW w:w="1108" w:type="dxa"/>
          </w:tcPr>
          <w:p w14:paraId="1EBB26F4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Random Allocation</w:t>
            </w:r>
          </w:p>
        </w:tc>
        <w:tc>
          <w:tcPr>
            <w:tcW w:w="1170" w:type="dxa"/>
          </w:tcPr>
          <w:p w14:paraId="0CD20FF2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Concealed allocation</w:t>
            </w:r>
          </w:p>
        </w:tc>
        <w:tc>
          <w:tcPr>
            <w:tcW w:w="1080" w:type="dxa"/>
          </w:tcPr>
          <w:p w14:paraId="71BA7E51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Groups similar at baseline</w:t>
            </w:r>
          </w:p>
        </w:tc>
        <w:tc>
          <w:tcPr>
            <w:tcW w:w="1170" w:type="dxa"/>
          </w:tcPr>
          <w:p w14:paraId="1A8CED9A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Participant blinding</w:t>
            </w:r>
          </w:p>
        </w:tc>
        <w:tc>
          <w:tcPr>
            <w:tcW w:w="1170" w:type="dxa"/>
          </w:tcPr>
          <w:p w14:paraId="2B83F04F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Therapist blinding</w:t>
            </w:r>
          </w:p>
        </w:tc>
        <w:tc>
          <w:tcPr>
            <w:tcW w:w="1080" w:type="dxa"/>
          </w:tcPr>
          <w:p w14:paraId="7FA6C57C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Assessor blinding</w:t>
            </w:r>
          </w:p>
        </w:tc>
        <w:tc>
          <w:tcPr>
            <w:tcW w:w="1170" w:type="dxa"/>
          </w:tcPr>
          <w:p w14:paraId="3BF32E7E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Adequate follow-up</w:t>
            </w:r>
          </w:p>
        </w:tc>
        <w:tc>
          <w:tcPr>
            <w:tcW w:w="1502" w:type="dxa"/>
          </w:tcPr>
          <w:p w14:paraId="7B4B68C5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Intention-to-treat analysis</w:t>
            </w:r>
          </w:p>
        </w:tc>
        <w:tc>
          <w:tcPr>
            <w:tcW w:w="1198" w:type="dxa"/>
          </w:tcPr>
          <w:p w14:paraId="16FF34F8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Between-group difference reported</w:t>
            </w:r>
          </w:p>
        </w:tc>
        <w:tc>
          <w:tcPr>
            <w:tcW w:w="1260" w:type="dxa"/>
          </w:tcPr>
          <w:p w14:paraId="579FDB0B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Point estimate &amp; variability reported</w:t>
            </w:r>
          </w:p>
        </w:tc>
        <w:tc>
          <w:tcPr>
            <w:tcW w:w="1052" w:type="dxa"/>
          </w:tcPr>
          <w:p w14:paraId="2AA323BE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 xml:space="preserve">Total </w:t>
            </w:r>
          </w:p>
          <w:p w14:paraId="4F9EF555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(0 to 10)</w:t>
            </w:r>
          </w:p>
        </w:tc>
      </w:tr>
      <w:tr w:rsidR="00793052" w:rsidRPr="00EE692E" w14:paraId="2E7F714A" w14:textId="77777777" w:rsidTr="00793052">
        <w:tc>
          <w:tcPr>
            <w:tcW w:w="1160" w:type="dxa"/>
          </w:tcPr>
          <w:p w14:paraId="69811E59" w14:textId="77777777" w:rsidR="00233737" w:rsidRPr="005C49E8" w:rsidRDefault="00233737" w:rsidP="0039596C">
            <w:pPr>
              <w:rPr>
                <w:sz w:val="20"/>
                <w:szCs w:val="20"/>
              </w:rPr>
            </w:pPr>
            <w:proofErr w:type="spellStart"/>
            <w:r w:rsidRPr="005C49E8">
              <w:rPr>
                <w:sz w:val="20"/>
                <w:szCs w:val="20"/>
              </w:rPr>
              <w:t>Baydogan</w:t>
            </w:r>
            <w:proofErr w:type="spellEnd"/>
          </w:p>
          <w:p w14:paraId="19763D5C" w14:textId="77777777" w:rsidR="00233737" w:rsidRPr="005C49E8" w:rsidRDefault="00233737" w:rsidP="0039596C">
            <w:pPr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2015</w:t>
            </w:r>
          </w:p>
        </w:tc>
        <w:tc>
          <w:tcPr>
            <w:tcW w:w="1108" w:type="dxa"/>
            <w:vAlign w:val="center"/>
          </w:tcPr>
          <w:p w14:paraId="681CC404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298C63D" w14:textId="3FBDE19F" w:rsidR="00233737" w:rsidRPr="005C49E8" w:rsidRDefault="00F26588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29F9E482" w14:textId="4097D61A" w:rsidR="00233737" w:rsidRPr="005C49E8" w:rsidRDefault="00F26588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</w:t>
            </w:r>
          </w:p>
        </w:tc>
        <w:tc>
          <w:tcPr>
            <w:tcW w:w="1170" w:type="dxa"/>
            <w:vAlign w:val="center"/>
          </w:tcPr>
          <w:p w14:paraId="72C01A9A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C97BCF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229F8367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C80B9AB" w14:textId="66323166" w:rsidR="00233737" w:rsidRPr="005C49E8" w:rsidRDefault="00F26588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vAlign w:val="center"/>
          </w:tcPr>
          <w:p w14:paraId="515FB840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14:paraId="602C5500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FC5D477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0374AF8D" w14:textId="7CDDAC4A" w:rsidR="00233737" w:rsidRPr="005C49E8" w:rsidRDefault="00F26588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3052" w:rsidRPr="00EE692E" w14:paraId="3CB78988" w14:textId="77777777" w:rsidTr="00793052">
        <w:tc>
          <w:tcPr>
            <w:tcW w:w="1160" w:type="dxa"/>
          </w:tcPr>
          <w:p w14:paraId="6A29FF25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 xml:space="preserve">Epps </w:t>
            </w:r>
          </w:p>
          <w:p w14:paraId="682E116B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2005</w:t>
            </w:r>
          </w:p>
        </w:tc>
        <w:tc>
          <w:tcPr>
            <w:tcW w:w="1108" w:type="dxa"/>
            <w:vAlign w:val="center"/>
          </w:tcPr>
          <w:p w14:paraId="4A5F340D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15CAC11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B41DDBF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8E4AC7F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7BA6240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1457EA20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BBD7BEF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7F483D09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115A91D6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A99731E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4BE21E77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8</w:t>
            </w:r>
          </w:p>
        </w:tc>
      </w:tr>
      <w:tr w:rsidR="00793052" w:rsidRPr="00EE692E" w14:paraId="45BE40DC" w14:textId="77777777" w:rsidTr="00793052">
        <w:tc>
          <w:tcPr>
            <w:tcW w:w="1160" w:type="dxa"/>
          </w:tcPr>
          <w:p w14:paraId="6823F920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Mendon</w:t>
            </w:r>
            <w:r w:rsidRPr="00EE692E">
              <w:rPr>
                <w:rFonts w:ascii="Cambria" w:hAnsi="Cambria"/>
                <w:sz w:val="20"/>
                <w:szCs w:val="20"/>
              </w:rPr>
              <w:t>ç</w:t>
            </w:r>
            <w:r w:rsidRPr="00EE692E">
              <w:rPr>
                <w:sz w:val="20"/>
                <w:szCs w:val="20"/>
              </w:rPr>
              <w:t xml:space="preserve">a </w:t>
            </w:r>
          </w:p>
          <w:p w14:paraId="47192ED8" w14:textId="3CDCBD63" w:rsidR="00233737" w:rsidRPr="003D716E" w:rsidRDefault="00233737" w:rsidP="0039596C">
            <w:pPr>
              <w:rPr>
                <w:sz w:val="22"/>
                <w:szCs w:val="20"/>
                <w:vertAlign w:val="superscript"/>
              </w:rPr>
            </w:pPr>
            <w:r w:rsidRPr="00EE692E">
              <w:rPr>
                <w:sz w:val="20"/>
                <w:szCs w:val="20"/>
              </w:rPr>
              <w:t>2013</w:t>
            </w:r>
          </w:p>
        </w:tc>
        <w:tc>
          <w:tcPr>
            <w:tcW w:w="1108" w:type="dxa"/>
            <w:vAlign w:val="center"/>
          </w:tcPr>
          <w:p w14:paraId="2C26F5BA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DADB191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B81EF14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2BD9F39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F91EFBA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5CA677E1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951E440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55AE7292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206E26AE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CCE9A4F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5D028BE9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8</w:t>
            </w:r>
          </w:p>
        </w:tc>
      </w:tr>
      <w:tr w:rsidR="00793052" w:rsidRPr="00EE692E" w14:paraId="49F421EB" w14:textId="77777777" w:rsidTr="00793052">
        <w:tc>
          <w:tcPr>
            <w:tcW w:w="1160" w:type="dxa"/>
          </w:tcPr>
          <w:p w14:paraId="2ECB223F" w14:textId="77777777" w:rsidR="00233737" w:rsidRPr="005C49E8" w:rsidRDefault="00233737" w:rsidP="0039596C">
            <w:pPr>
              <w:rPr>
                <w:sz w:val="20"/>
                <w:szCs w:val="20"/>
              </w:rPr>
            </w:pPr>
            <w:proofErr w:type="spellStart"/>
            <w:r w:rsidRPr="005C49E8">
              <w:rPr>
                <w:sz w:val="20"/>
                <w:szCs w:val="20"/>
              </w:rPr>
              <w:t>Sandstedt</w:t>
            </w:r>
            <w:proofErr w:type="spellEnd"/>
            <w:r w:rsidRPr="005C49E8">
              <w:rPr>
                <w:sz w:val="20"/>
                <w:szCs w:val="20"/>
              </w:rPr>
              <w:t xml:space="preserve"> </w:t>
            </w:r>
          </w:p>
          <w:p w14:paraId="41ED9B0F" w14:textId="77777777" w:rsidR="00233737" w:rsidRPr="005C49E8" w:rsidRDefault="00233737" w:rsidP="0039596C">
            <w:pPr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2012</w:t>
            </w:r>
          </w:p>
        </w:tc>
        <w:tc>
          <w:tcPr>
            <w:tcW w:w="1108" w:type="dxa"/>
            <w:vAlign w:val="center"/>
          </w:tcPr>
          <w:p w14:paraId="536275ED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352D905" w14:textId="2C075B16" w:rsidR="00233737" w:rsidRPr="005C49E8" w:rsidRDefault="006D429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1C5C5914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DD219F4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03A6D46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7C7EE2C7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CEF005" w14:textId="3C8C694A" w:rsidR="00233737" w:rsidRPr="00064EF3" w:rsidRDefault="006D4294" w:rsidP="0039596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5FDAAFE1" w14:textId="79C743FB" w:rsidR="00233737" w:rsidRPr="005C49E8" w:rsidRDefault="00EC548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639A3030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D379F65" w14:textId="34FC9FA1" w:rsidR="00233737" w:rsidRPr="005C49E8" w:rsidRDefault="00EC548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49EAA621" w14:textId="2FBC6412" w:rsidR="00233737" w:rsidRPr="005C49E8" w:rsidRDefault="00EC548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3052" w:rsidRPr="00EE692E" w14:paraId="621BE286" w14:textId="77777777" w:rsidTr="00793052">
        <w:tc>
          <w:tcPr>
            <w:tcW w:w="1160" w:type="dxa"/>
          </w:tcPr>
          <w:p w14:paraId="35C61DB9" w14:textId="77777777" w:rsidR="00233737" w:rsidRPr="005C49E8" w:rsidRDefault="00233737" w:rsidP="0039596C">
            <w:pPr>
              <w:rPr>
                <w:sz w:val="20"/>
                <w:szCs w:val="20"/>
              </w:rPr>
            </w:pPr>
            <w:proofErr w:type="spellStart"/>
            <w:r w:rsidRPr="005C49E8">
              <w:rPr>
                <w:sz w:val="20"/>
                <w:szCs w:val="20"/>
              </w:rPr>
              <w:t>Sandstedt</w:t>
            </w:r>
            <w:proofErr w:type="spellEnd"/>
            <w:r w:rsidRPr="005C49E8">
              <w:rPr>
                <w:sz w:val="20"/>
                <w:szCs w:val="20"/>
              </w:rPr>
              <w:t xml:space="preserve"> </w:t>
            </w:r>
          </w:p>
          <w:p w14:paraId="0C6F0486" w14:textId="77777777" w:rsidR="00233737" w:rsidRPr="005C49E8" w:rsidRDefault="00233737" w:rsidP="0039596C">
            <w:pPr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2013</w:t>
            </w:r>
          </w:p>
        </w:tc>
        <w:tc>
          <w:tcPr>
            <w:tcW w:w="1108" w:type="dxa"/>
            <w:vAlign w:val="center"/>
          </w:tcPr>
          <w:p w14:paraId="1A0D32A4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75C8CA2" w14:textId="3894F709" w:rsidR="00233737" w:rsidRPr="005C49E8" w:rsidRDefault="006D429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48BC82B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18ADEA2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8BAB7E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543ED4EB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97B2001" w14:textId="0C9CDC1B" w:rsidR="00233737" w:rsidRPr="005C49E8" w:rsidRDefault="006D429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vAlign w:val="center"/>
          </w:tcPr>
          <w:p w14:paraId="538777AA" w14:textId="456F68F3" w:rsidR="00233737" w:rsidRPr="005C49E8" w:rsidRDefault="006D429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14:paraId="0F06A288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0C95F2DB" w14:textId="77777777" w:rsidR="00233737" w:rsidRPr="005C49E8" w:rsidRDefault="00233737" w:rsidP="0039596C">
            <w:pPr>
              <w:jc w:val="center"/>
              <w:rPr>
                <w:sz w:val="20"/>
                <w:szCs w:val="20"/>
              </w:rPr>
            </w:pPr>
            <w:r w:rsidRPr="005C49E8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6F927EEB" w14:textId="2AD38F9A" w:rsidR="00233737" w:rsidRPr="00DD5AF2" w:rsidRDefault="006D429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3052" w:rsidRPr="00EE692E" w14:paraId="30E4A3D5" w14:textId="77777777" w:rsidTr="00793052">
        <w:tc>
          <w:tcPr>
            <w:tcW w:w="1160" w:type="dxa"/>
          </w:tcPr>
          <w:p w14:paraId="62CE10E9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 xml:space="preserve">Singh-Grewal </w:t>
            </w:r>
          </w:p>
          <w:p w14:paraId="166B9982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2007</w:t>
            </w:r>
          </w:p>
        </w:tc>
        <w:tc>
          <w:tcPr>
            <w:tcW w:w="1108" w:type="dxa"/>
            <w:vAlign w:val="center"/>
          </w:tcPr>
          <w:p w14:paraId="38ECC20E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DDD64E8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174FF9B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07EC9BA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B0DDE67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5E19FC98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5FC31B5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570BA21A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7456A5DF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B264177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45AA49F9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8</w:t>
            </w:r>
          </w:p>
        </w:tc>
      </w:tr>
      <w:tr w:rsidR="00793052" w:rsidRPr="00EE692E" w14:paraId="36018354" w14:textId="77777777" w:rsidTr="00793052">
        <w:tc>
          <w:tcPr>
            <w:tcW w:w="1160" w:type="dxa"/>
          </w:tcPr>
          <w:p w14:paraId="4E6DFC11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proofErr w:type="spellStart"/>
            <w:r w:rsidRPr="00EE692E">
              <w:rPr>
                <w:sz w:val="20"/>
                <w:szCs w:val="20"/>
              </w:rPr>
              <w:t>Takken</w:t>
            </w:r>
            <w:proofErr w:type="spellEnd"/>
            <w:r w:rsidRPr="00EE692E">
              <w:rPr>
                <w:sz w:val="20"/>
                <w:szCs w:val="20"/>
              </w:rPr>
              <w:t xml:space="preserve"> </w:t>
            </w:r>
          </w:p>
          <w:p w14:paraId="6C6C0246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2003</w:t>
            </w:r>
          </w:p>
        </w:tc>
        <w:tc>
          <w:tcPr>
            <w:tcW w:w="1108" w:type="dxa"/>
            <w:vAlign w:val="center"/>
          </w:tcPr>
          <w:p w14:paraId="06A01911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6EE485D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E5AF18D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1F178ED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B8F99B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3E4CA386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D2A1AF5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7358E338" w14:textId="2687BCA5" w:rsidR="00233737" w:rsidRPr="00EE692E" w:rsidRDefault="00F4503D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14:paraId="3411E0B8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CE6B29C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295ED441" w14:textId="2855AD7E" w:rsidR="00233737" w:rsidRPr="00EE692E" w:rsidRDefault="00F4503D" w:rsidP="000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3052" w:rsidRPr="00EE692E" w14:paraId="68192170" w14:textId="77777777" w:rsidTr="00793052">
        <w:tc>
          <w:tcPr>
            <w:tcW w:w="1160" w:type="dxa"/>
          </w:tcPr>
          <w:p w14:paraId="7317EC74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proofErr w:type="spellStart"/>
            <w:r w:rsidRPr="00EE692E">
              <w:rPr>
                <w:sz w:val="20"/>
                <w:szCs w:val="20"/>
              </w:rPr>
              <w:t>Tarakci</w:t>
            </w:r>
            <w:proofErr w:type="spellEnd"/>
          </w:p>
          <w:p w14:paraId="77D70E28" w14:textId="77777777" w:rsidR="00233737" w:rsidRPr="00EE692E" w:rsidRDefault="00233737" w:rsidP="0039596C">
            <w:pPr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108" w:type="dxa"/>
            <w:vAlign w:val="center"/>
          </w:tcPr>
          <w:p w14:paraId="104703A7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F63DF89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5833149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5067EEF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5406041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01B977C2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333EE4C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3A49A285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14:paraId="35EC88AE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E44562C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2EAAC375" w14:textId="77777777" w:rsidR="00233737" w:rsidRPr="00EE692E" w:rsidRDefault="00233737" w:rsidP="0039596C">
            <w:pPr>
              <w:jc w:val="center"/>
              <w:rPr>
                <w:sz w:val="20"/>
                <w:szCs w:val="20"/>
              </w:rPr>
            </w:pPr>
            <w:r w:rsidRPr="00EE692E">
              <w:rPr>
                <w:sz w:val="20"/>
                <w:szCs w:val="20"/>
              </w:rPr>
              <w:t>7</w:t>
            </w:r>
          </w:p>
        </w:tc>
      </w:tr>
      <w:tr w:rsidR="00793052" w:rsidRPr="00EE692E" w14:paraId="7597AAD0" w14:textId="77777777" w:rsidTr="00793052">
        <w:tc>
          <w:tcPr>
            <w:tcW w:w="1160" w:type="dxa"/>
          </w:tcPr>
          <w:p w14:paraId="470E7245" w14:textId="1042A433" w:rsidR="00A6359E" w:rsidRDefault="00802A50" w:rsidP="00395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Elnaggar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Elshafey</w:t>
            </w:r>
            <w:proofErr w:type="spellEnd"/>
          </w:p>
          <w:p w14:paraId="74AAD501" w14:textId="67A1F7EA" w:rsidR="00802A50" w:rsidRPr="00EE692E" w:rsidRDefault="00802A50" w:rsidP="00395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8" w:type="dxa"/>
            <w:vAlign w:val="center"/>
          </w:tcPr>
          <w:p w14:paraId="58BA7642" w14:textId="4BB0BF79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457953A" w14:textId="56AE5B46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2F047DFB" w14:textId="79F06FDB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A61CA98" w14:textId="18002630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4A5FCD6" w14:textId="58C5BC34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1EE192DC" w14:textId="0D8BEF28" w:rsidR="00A6359E" w:rsidRPr="00EE692E" w:rsidRDefault="009E619D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CBB1CD" w14:textId="525AD809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7770E1EE" w14:textId="67AF0885" w:rsidR="00A6359E" w:rsidRPr="00EE692E" w:rsidRDefault="001E6EF4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40986D35" w14:textId="34D1FCA5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2A26CF0" w14:textId="76D6130A" w:rsidR="00A6359E" w:rsidRPr="00EE692E" w:rsidRDefault="00802A50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vAlign w:val="center"/>
          </w:tcPr>
          <w:p w14:paraId="1C39EF22" w14:textId="4C629CFC" w:rsidR="00A6359E" w:rsidRPr="00EE692E" w:rsidRDefault="009E619D" w:rsidP="00395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2724BFE6" w14:textId="118E4615" w:rsidR="00233737" w:rsidRPr="00F97DEA" w:rsidRDefault="00923257" w:rsidP="005C49E8">
      <w:pPr>
        <w:rPr>
          <w:sz w:val="16"/>
          <w:szCs w:val="16"/>
        </w:rPr>
      </w:pPr>
      <w:r w:rsidRPr="00F97DEA">
        <w:rPr>
          <w:sz w:val="16"/>
          <w:szCs w:val="16"/>
        </w:rPr>
        <w:t xml:space="preserve">1. Eligibility criteria </w:t>
      </w:r>
      <w:r w:rsidR="00BC016E" w:rsidRPr="00F97DEA">
        <w:rPr>
          <w:sz w:val="16"/>
          <w:szCs w:val="16"/>
        </w:rPr>
        <w:t xml:space="preserve">were </w:t>
      </w:r>
      <w:r w:rsidRPr="00F97DEA">
        <w:rPr>
          <w:sz w:val="16"/>
          <w:szCs w:val="16"/>
        </w:rPr>
        <w:t>specified (not included in the total PEDro score)</w:t>
      </w:r>
    </w:p>
    <w:p w14:paraId="48592FFA" w14:textId="49170324" w:rsidR="00923257" w:rsidRPr="00F97DEA" w:rsidRDefault="00923257" w:rsidP="00923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sz w:val="16"/>
          <w:szCs w:val="16"/>
        </w:rPr>
        <w:t xml:space="preserve">2. </w:t>
      </w:r>
      <w:r w:rsidRPr="00F97DEA">
        <w:rPr>
          <w:rFonts w:ascii="Times New Roman" w:hAnsi="Times New Roman" w:cs="Times New Roman"/>
          <w:sz w:val="16"/>
          <w:szCs w:val="16"/>
        </w:rPr>
        <w:t xml:space="preserve">Subjects were randomly allocated to groups </w:t>
      </w:r>
    </w:p>
    <w:p w14:paraId="0FBAD65C" w14:textId="40D19822" w:rsidR="00923257" w:rsidRPr="00F97DEA" w:rsidRDefault="00923257" w:rsidP="00923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 xml:space="preserve">3. Allocation was concealed </w:t>
      </w:r>
    </w:p>
    <w:p w14:paraId="56989335" w14:textId="7291538D" w:rsidR="00923257" w:rsidRPr="00F97DEA" w:rsidRDefault="00923257" w:rsidP="00923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 xml:space="preserve">4. Groups were similar at baseline regarding the most important prognostic indicators </w:t>
      </w:r>
    </w:p>
    <w:p w14:paraId="12E04E5A" w14:textId="30ADE7A9" w:rsidR="00923257" w:rsidRPr="00F97DEA" w:rsidRDefault="00923257" w:rsidP="00923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>5. There was blinding of all subjects</w:t>
      </w:r>
    </w:p>
    <w:p w14:paraId="0B8ED501" w14:textId="2E47EEA2" w:rsidR="00A2298F" w:rsidRPr="00F97DEA" w:rsidRDefault="00923257" w:rsidP="00A229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>6.</w:t>
      </w:r>
      <w:r w:rsidR="00A2298F" w:rsidRPr="00F97DEA">
        <w:rPr>
          <w:rFonts w:ascii="Times New Roman" w:hAnsi="Times New Roman" w:cs="Times New Roman"/>
          <w:sz w:val="16"/>
          <w:szCs w:val="16"/>
        </w:rPr>
        <w:t xml:space="preserve"> There was blinding of all therapists who administered the therapy </w:t>
      </w:r>
    </w:p>
    <w:p w14:paraId="018E3560" w14:textId="189A9199" w:rsidR="00A2298F" w:rsidRPr="00F97DEA" w:rsidRDefault="00A2298F" w:rsidP="00A229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 xml:space="preserve">7. There was blinding of all assessors who measured at least one key outcome </w:t>
      </w:r>
    </w:p>
    <w:p w14:paraId="374648AB" w14:textId="3B8E171F" w:rsidR="00A2298F" w:rsidRPr="00F97DEA" w:rsidRDefault="00A2298F" w:rsidP="00A229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 xml:space="preserve">8. Measures of at least one key outcome were obtained from more than 85% of the subjects initially allocated to groups </w:t>
      </w:r>
    </w:p>
    <w:p w14:paraId="194C8727" w14:textId="74CCC897" w:rsidR="00A2298F" w:rsidRPr="00F97DEA" w:rsidRDefault="00A2298F" w:rsidP="00A229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 xml:space="preserve">9. All subjects for whom outcome measures were available received the treatment or control condition as allocated or, where this </w:t>
      </w:r>
      <w:proofErr w:type="gramStart"/>
      <w:r w:rsidRPr="00F97DEA">
        <w:rPr>
          <w:rFonts w:ascii="Times New Roman" w:hAnsi="Times New Roman" w:cs="Times New Roman"/>
          <w:sz w:val="16"/>
          <w:szCs w:val="16"/>
        </w:rPr>
        <w:t>was  not</w:t>
      </w:r>
      <w:proofErr w:type="gramEnd"/>
      <w:r w:rsidRPr="00F97DEA">
        <w:rPr>
          <w:rFonts w:ascii="Times New Roman" w:hAnsi="Times New Roman" w:cs="Times New Roman"/>
          <w:sz w:val="16"/>
          <w:szCs w:val="16"/>
        </w:rPr>
        <w:t xml:space="preserve"> the case, data for at least one key outcome was </w:t>
      </w:r>
      <w:proofErr w:type="spellStart"/>
      <w:r w:rsidRPr="00F97DEA">
        <w:rPr>
          <w:rFonts w:ascii="Times New Roman" w:hAnsi="Times New Roman" w:cs="Times New Roman"/>
          <w:sz w:val="16"/>
          <w:szCs w:val="16"/>
        </w:rPr>
        <w:t>analysed</w:t>
      </w:r>
      <w:proofErr w:type="spellEnd"/>
      <w:r w:rsidRPr="00F97DEA">
        <w:rPr>
          <w:rFonts w:ascii="Times New Roman" w:hAnsi="Times New Roman" w:cs="Times New Roman"/>
          <w:sz w:val="16"/>
          <w:szCs w:val="16"/>
        </w:rPr>
        <w:t xml:space="preserve"> by “intention to treat” </w:t>
      </w:r>
    </w:p>
    <w:p w14:paraId="47EBC21D" w14:textId="5E770943" w:rsidR="00A2298F" w:rsidRPr="00F97DEA" w:rsidRDefault="00A2298F" w:rsidP="00A229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 xml:space="preserve">10. The results of between-group statistical comparisons are reported for at least one key outcome </w:t>
      </w:r>
    </w:p>
    <w:p w14:paraId="40B74095" w14:textId="732FE61B" w:rsidR="00A2298F" w:rsidRPr="00F97DEA" w:rsidRDefault="00A2298F" w:rsidP="00A229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97DEA">
        <w:rPr>
          <w:rFonts w:ascii="Times New Roman" w:hAnsi="Times New Roman" w:cs="Times New Roman"/>
          <w:sz w:val="16"/>
          <w:szCs w:val="16"/>
        </w:rPr>
        <w:t xml:space="preserve">11. The study provides both point measures and measures of variability for at least one key outcome </w:t>
      </w:r>
    </w:p>
    <w:p w14:paraId="69EDE13D" w14:textId="77777777" w:rsidR="00216486" w:rsidRPr="00F97DEA" w:rsidRDefault="00BC016E" w:rsidP="005C49E8">
      <w:pPr>
        <w:rPr>
          <w:sz w:val="16"/>
          <w:szCs w:val="16"/>
        </w:rPr>
      </w:pPr>
      <w:r w:rsidRPr="00F97DEA">
        <w:rPr>
          <w:sz w:val="16"/>
          <w:szCs w:val="16"/>
        </w:rPr>
        <w:t>* Groups were similar in all aspects except disease duration that was significantly longer in the strength-training group</w:t>
      </w:r>
    </w:p>
    <w:p w14:paraId="6401CE3C" w14:textId="77777777" w:rsidR="00216486" w:rsidRDefault="00216486" w:rsidP="005C49E8">
      <w:pPr>
        <w:rPr>
          <w:sz w:val="20"/>
          <w:szCs w:val="20"/>
        </w:rPr>
      </w:pPr>
    </w:p>
    <w:p w14:paraId="0EBD4566" w14:textId="77777777" w:rsidR="009B46A5" w:rsidRDefault="009B46A5" w:rsidP="005C49E8">
      <w:pPr>
        <w:rPr>
          <w:sz w:val="20"/>
          <w:szCs w:val="20"/>
        </w:rPr>
      </w:pPr>
    </w:p>
    <w:p w14:paraId="01F5711F" w14:textId="24EA6007" w:rsidR="005C49E8" w:rsidRPr="008F1BB7" w:rsidRDefault="005C49E8" w:rsidP="005C49E8">
      <w:pPr>
        <w:rPr>
          <w:sz w:val="20"/>
          <w:szCs w:val="20"/>
        </w:rPr>
      </w:pPr>
    </w:p>
    <w:sectPr w:rsidR="005C49E8" w:rsidRPr="008F1BB7" w:rsidSect="00793052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2xp2pegv5d2pepswzvp297waswfw05a0f5&quot;&gt;CIMT-HABIT&lt;record-ids&gt;&lt;item&gt;190&lt;/item&gt;&lt;/record-ids&gt;&lt;/item&gt;&lt;/Libraries&gt;"/>
  </w:docVars>
  <w:rsids>
    <w:rsidRoot w:val="00233737"/>
    <w:rsid w:val="000309A5"/>
    <w:rsid w:val="00064EF3"/>
    <w:rsid w:val="000E4033"/>
    <w:rsid w:val="000F724B"/>
    <w:rsid w:val="001E5E5F"/>
    <w:rsid w:val="001E6EF4"/>
    <w:rsid w:val="00216486"/>
    <w:rsid w:val="00233737"/>
    <w:rsid w:val="002A20C1"/>
    <w:rsid w:val="0039596C"/>
    <w:rsid w:val="003D716E"/>
    <w:rsid w:val="004D0BC8"/>
    <w:rsid w:val="005765FA"/>
    <w:rsid w:val="005C49E8"/>
    <w:rsid w:val="006852BA"/>
    <w:rsid w:val="006B06DE"/>
    <w:rsid w:val="006D4294"/>
    <w:rsid w:val="00770D50"/>
    <w:rsid w:val="00793052"/>
    <w:rsid w:val="00802A50"/>
    <w:rsid w:val="00891F3D"/>
    <w:rsid w:val="008F1BB7"/>
    <w:rsid w:val="00923257"/>
    <w:rsid w:val="0093463A"/>
    <w:rsid w:val="00985C6E"/>
    <w:rsid w:val="009B46A5"/>
    <w:rsid w:val="009C0478"/>
    <w:rsid w:val="009E619D"/>
    <w:rsid w:val="00A2298F"/>
    <w:rsid w:val="00A3690A"/>
    <w:rsid w:val="00A45E0E"/>
    <w:rsid w:val="00A6359E"/>
    <w:rsid w:val="00AE3B45"/>
    <w:rsid w:val="00BC016E"/>
    <w:rsid w:val="00BC598C"/>
    <w:rsid w:val="00BC682A"/>
    <w:rsid w:val="00C62A3C"/>
    <w:rsid w:val="00DD5AF2"/>
    <w:rsid w:val="00DF78DF"/>
    <w:rsid w:val="00E362B4"/>
    <w:rsid w:val="00EC5484"/>
    <w:rsid w:val="00EE4EB4"/>
    <w:rsid w:val="00F26588"/>
    <w:rsid w:val="00F4503D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829A3"/>
  <w14:defaultImageDpi w14:val="300"/>
  <w15:docId w15:val="{7A9AFDB6-F78A-0A4F-AF49-A60C1B4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4EB4"/>
    <w:rPr>
      <w:noProof/>
    </w:rPr>
  </w:style>
  <w:style w:type="table" w:styleId="TableGrid">
    <w:name w:val="Table Grid"/>
    <w:basedOn w:val="TableNormal"/>
    <w:uiPriority w:val="59"/>
    <w:rsid w:val="00233737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37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21648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1648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>Columbia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Klepper</dc:creator>
  <cp:keywords/>
  <dc:description/>
  <cp:lastModifiedBy>Linda Fetters</cp:lastModifiedBy>
  <cp:revision>2</cp:revision>
  <cp:lastPrinted>2016-12-17T18:46:00Z</cp:lastPrinted>
  <dcterms:created xsi:type="dcterms:W3CDTF">2018-09-11T13:21:00Z</dcterms:created>
  <dcterms:modified xsi:type="dcterms:W3CDTF">2018-09-11T13:21:00Z</dcterms:modified>
</cp:coreProperties>
</file>