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E844" w14:textId="10ED2F37" w:rsidR="000E570B" w:rsidRPr="000E570B" w:rsidRDefault="000E570B" w:rsidP="0093077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Appendix B: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Details of L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inear regression analysis</w:t>
      </w:r>
    </w:p>
    <w:p w14:paraId="3324602E" w14:textId="459BC870" w:rsidR="00625440" w:rsidRDefault="000E570B" w:rsidP="00930770">
      <w:pPr>
        <w:spacing w:line="480" w:lineRule="auto"/>
        <w:jc w:val="both"/>
      </w:pPr>
      <w:r w:rsidRPr="0077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conducted linear regression to identify the impact of various factors on radiation exposure. We modelled the impact using three different models with different nature of covariates. </w:t>
      </w:r>
      <w:r w:rsidRPr="00771C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model contains patient characteristics, initial diagnosis and time variable</w:t>
      </w:r>
      <w:r w:rsidRPr="00771CC3">
        <w:rPr>
          <w:rFonts w:ascii="Times New Roman" w:hAnsi="Times New Roman" w:cs="Times New Roman"/>
          <w:color w:val="000000" w:themeColor="text1"/>
          <w:sz w:val="24"/>
          <w:szCs w:val="24"/>
        </w:rPr>
        <w:t>. Model B included organizational factors while Model C incorporated technical factors. Both Model B and C adjusted for patient characteristics and initial diagnosis. Results were reported as regression coefficients with 95% CI. The regression approach used robust standard error to adjust heteroskedasticity. The R</w:t>
      </w:r>
      <w:r w:rsidRPr="00771C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771CC3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771C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71CC3">
        <w:rPr>
          <w:rFonts w:ascii="Times New Roman" w:hAnsi="Times New Roman" w:cs="Times New Roman"/>
          <w:color w:val="000000" w:themeColor="text1"/>
          <w:sz w:val="24"/>
          <w:szCs w:val="24"/>
        </w:rPr>
        <w:t>were reported to examine which model explained larger variation in the outcome. Analysis carried out in Stata version 15</w:t>
      </w:r>
      <w:r w:rsidR="009307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2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0B"/>
    <w:rsid w:val="000E570B"/>
    <w:rsid w:val="00625440"/>
    <w:rsid w:val="009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431E"/>
  <w15:chartTrackingRefBased/>
  <w15:docId w15:val="{BBD9EF06-A75C-415A-A5EC-BBA31AB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ali</dc:creator>
  <cp:keywords/>
  <dc:description/>
  <cp:lastModifiedBy>fatima ali</cp:lastModifiedBy>
  <cp:revision>2</cp:revision>
  <dcterms:created xsi:type="dcterms:W3CDTF">2019-01-18T18:25:00Z</dcterms:created>
  <dcterms:modified xsi:type="dcterms:W3CDTF">2019-01-20T05:45:00Z</dcterms:modified>
</cp:coreProperties>
</file>