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10" w:rsidRPr="001611CB" w:rsidRDefault="00785B10" w:rsidP="00785B10">
      <w:pPr>
        <w:spacing w:after="0" w:line="480" w:lineRule="auto"/>
        <w:contextualSpacing/>
        <w:rPr>
          <w:rFonts w:ascii="Arial" w:hAnsi="Arial" w:cs="Arial"/>
          <w:sz w:val="24"/>
          <w:szCs w:val="24"/>
        </w:rPr>
      </w:pPr>
      <w:r>
        <w:rPr>
          <w:rFonts w:ascii="Arial" w:hAnsi="Arial" w:cs="Arial"/>
          <w:b/>
          <w:sz w:val="24"/>
          <w:szCs w:val="24"/>
        </w:rPr>
        <w:t>Appendix Text 1.</w:t>
      </w:r>
      <w:r>
        <w:rPr>
          <w:rFonts w:ascii="Arial" w:hAnsi="Arial" w:cs="Arial"/>
          <w:sz w:val="24"/>
          <w:szCs w:val="24"/>
        </w:rPr>
        <w:t xml:space="preserve"> </w:t>
      </w:r>
      <w:r w:rsidRPr="00C524DE">
        <w:rPr>
          <w:rFonts w:ascii="Arial" w:hAnsi="Arial" w:cs="Arial"/>
          <w:sz w:val="24"/>
          <w:szCs w:val="24"/>
        </w:rPr>
        <w:t>Pat</w:t>
      </w:r>
      <w:r w:rsidRPr="0037645F">
        <w:rPr>
          <w:rFonts w:ascii="Arial" w:hAnsi="Arial" w:cs="Arial"/>
          <w:sz w:val="24"/>
          <w:szCs w:val="24"/>
        </w:rPr>
        <w:t xml:space="preserve">ients enrolled in Study CL001 </w:t>
      </w:r>
      <w:r w:rsidRPr="00582627">
        <w:rPr>
          <w:rFonts w:ascii="Arial" w:hAnsi="Arial" w:cs="Arial"/>
          <w:sz w:val="24"/>
          <w:szCs w:val="24"/>
        </w:rPr>
        <w:t xml:space="preserve">were </w:t>
      </w:r>
      <w:r w:rsidRPr="00B37757">
        <w:rPr>
          <w:rFonts w:ascii="Arial" w:hAnsi="Arial" w:cs="Arial"/>
          <w:sz w:val="24"/>
          <w:szCs w:val="24"/>
        </w:rPr>
        <w:t>35 to 65 years of age</w:t>
      </w:r>
      <w:r w:rsidRPr="00DA17D9">
        <w:rPr>
          <w:rFonts w:ascii="Arial" w:hAnsi="Arial" w:cs="Arial"/>
          <w:sz w:val="24"/>
          <w:szCs w:val="24"/>
        </w:rPr>
        <w:t xml:space="preserve"> with a body mass index (BMI) of 18 to </w:t>
      </w:r>
      <w:r w:rsidRPr="00B926E7">
        <w:rPr>
          <w:rFonts w:ascii="Arial" w:hAnsi="Arial" w:cs="Arial"/>
          <w:sz w:val="24"/>
          <w:szCs w:val="24"/>
        </w:rPr>
        <w:t>39 kg/m</w:t>
      </w:r>
      <w:r w:rsidRPr="00B926E7">
        <w:rPr>
          <w:rFonts w:ascii="Arial" w:hAnsi="Arial" w:cs="Arial"/>
          <w:sz w:val="24"/>
          <w:szCs w:val="24"/>
          <w:vertAlign w:val="superscript"/>
        </w:rPr>
        <w:t>2</w:t>
      </w:r>
      <w:r w:rsidRPr="00B07342">
        <w:rPr>
          <w:rFonts w:ascii="Arial" w:hAnsi="Arial" w:cs="Arial"/>
          <w:sz w:val="24"/>
          <w:szCs w:val="24"/>
        </w:rPr>
        <w:t>, and in general good health except for diagnosis of OA of the knee</w:t>
      </w:r>
      <w:r w:rsidRPr="00250B92">
        <w:rPr>
          <w:rFonts w:ascii="Arial" w:hAnsi="Arial" w:cs="Arial"/>
          <w:sz w:val="24"/>
          <w:szCs w:val="24"/>
        </w:rPr>
        <w:t>, present for at least 6 months, using the American College of Rheumatology criteria</w:t>
      </w:r>
      <w:r w:rsidRPr="001611CB">
        <w:rPr>
          <w:rFonts w:ascii="Arial" w:hAnsi="Arial" w:cs="Arial"/>
          <w:sz w:val="24"/>
          <w:szCs w:val="24"/>
        </w:rPr>
        <w:t xml:space="preserve"> </w:t>
      </w:r>
      <w:r>
        <w:rPr>
          <w:rFonts w:ascii="Arial" w:hAnsi="Arial" w:cs="Arial"/>
          <w:sz w:val="24"/>
          <w:szCs w:val="24"/>
        </w:rPr>
        <w:fldChar w:fldCharType="begin"/>
      </w:r>
      <w:r w:rsidR="00CC2253">
        <w:rPr>
          <w:rFonts w:ascii="Arial" w:hAnsi="Arial" w:cs="Arial"/>
          <w:sz w:val="24"/>
          <w:szCs w:val="24"/>
        </w:rPr>
        <w:instrText xml:space="preserve"> ADDIN EN.CITE &lt;EndNote&gt;&lt;Cite ExcludeAuth="1"&gt;&lt;Year&gt;2000&lt;/Year&gt;&lt;RecNum&gt;13&lt;/RecNum&gt;&lt;DisplayText&gt;[1]&lt;/DisplayText&gt;&lt;record&gt;&lt;rec-number&gt;13&lt;/rec-number&gt;&lt;foreign-keys&gt;&lt;key app="EN" db-id="r9ar0ws9ueszr6e0ts6xa2v2v5ep0xa2dpfe"&gt;13&lt;/key&gt;&lt;/foreign-keys&gt;&lt;ref-type name="Journal Article"&gt;17&lt;/ref-type&gt;&lt;contributors&gt;&lt;/contributors&gt;&lt;titles&gt;&lt;title&gt;Recommendations for the medical management of osteoarthritis of the hip and knee: 2000 update. American College of Rheumatology Subcommittee on Osteoarthritis Guidelines.&lt;/title&gt;&lt;secondary-title&gt;Arthritis Rheum &lt;/secondary-title&gt;&lt;/titles&gt;&lt;pages&gt;1905-1915&lt;/pages&gt;&lt;volume&gt;43&lt;/volume&gt;&lt;number&gt;9&lt;/number&gt;&lt;dates&gt;&lt;year&gt;2000&lt;/year&gt;&lt;pub-dates&gt;&lt;date&gt;Sep&lt;/date&gt;&lt;/pub-dates&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1" w:tooltip=", 2000 #13" w:history="1">
        <w:r w:rsidR="00CC2253">
          <w:rPr>
            <w:rFonts w:ascii="Arial" w:hAnsi="Arial" w:cs="Arial"/>
            <w:noProof/>
            <w:sz w:val="24"/>
            <w:szCs w:val="24"/>
          </w:rPr>
          <w:t>1</w:t>
        </w:r>
      </w:hyperlink>
      <w:r>
        <w:rPr>
          <w:rFonts w:ascii="Arial" w:hAnsi="Arial" w:cs="Arial"/>
          <w:noProof/>
          <w:sz w:val="24"/>
          <w:szCs w:val="24"/>
        </w:rPr>
        <w:t>]</w:t>
      </w:r>
      <w:r>
        <w:rPr>
          <w:rFonts w:ascii="Arial" w:hAnsi="Arial" w:cs="Arial"/>
          <w:sz w:val="24"/>
          <w:szCs w:val="24"/>
        </w:rPr>
        <w:fldChar w:fldCharType="end"/>
      </w:r>
      <w:r w:rsidRPr="001611CB">
        <w:rPr>
          <w:rFonts w:ascii="Arial" w:hAnsi="Arial" w:cs="Arial"/>
          <w:sz w:val="24"/>
          <w:szCs w:val="24"/>
        </w:rPr>
        <w:t>. To be eligible for the study, patients had to indicate a</w:t>
      </w:r>
      <w:r w:rsidRPr="00755A1E">
        <w:rPr>
          <w:rFonts w:ascii="Arial" w:hAnsi="Arial" w:cs="Arial"/>
          <w:sz w:val="24"/>
          <w:szCs w:val="24"/>
        </w:rPr>
        <w:t xml:space="preserve"> </w:t>
      </w:r>
      <w:r w:rsidRPr="00C524DE">
        <w:rPr>
          <w:rFonts w:ascii="Arial" w:hAnsi="Arial" w:cs="Arial"/>
          <w:sz w:val="24"/>
          <w:szCs w:val="24"/>
        </w:rPr>
        <w:t xml:space="preserve">minimum joint pain intensity score of ≥40 points </w:t>
      </w:r>
      <w:r w:rsidRPr="0037645F">
        <w:rPr>
          <w:rFonts w:ascii="Arial" w:hAnsi="Arial" w:cs="Arial"/>
          <w:sz w:val="24"/>
          <w:szCs w:val="24"/>
        </w:rPr>
        <w:t xml:space="preserve">on an electronically validated </w:t>
      </w:r>
      <w:r w:rsidRPr="00582627">
        <w:rPr>
          <w:rFonts w:ascii="Arial" w:hAnsi="Arial" w:cs="Arial"/>
          <w:sz w:val="24"/>
          <w:szCs w:val="24"/>
        </w:rPr>
        <w:t xml:space="preserve">Visual Analog Scale (VAS; </w:t>
      </w:r>
      <w:r w:rsidRPr="00B37757">
        <w:rPr>
          <w:rFonts w:ascii="Arial" w:hAnsi="Arial" w:cs="Arial"/>
          <w:sz w:val="24"/>
          <w:szCs w:val="24"/>
        </w:rPr>
        <w:t>scale 0−100 points</w:t>
      </w:r>
      <w:r>
        <w:rPr>
          <w:rFonts w:ascii="Arial" w:hAnsi="Arial" w:cs="Arial"/>
          <w:sz w:val="24"/>
          <w:szCs w:val="24"/>
        </w:rPr>
        <w:t>, with higher scores denoting greater pain</w:t>
      </w:r>
      <w:r w:rsidRPr="00DA17D9">
        <w:rPr>
          <w:rFonts w:ascii="Arial" w:hAnsi="Arial" w:cs="Arial"/>
          <w:sz w:val="24"/>
          <w:szCs w:val="24"/>
        </w:rPr>
        <w:t>), or require medication for the control of OA p</w:t>
      </w:r>
      <w:r w:rsidRPr="00B926E7">
        <w:rPr>
          <w:rFonts w:ascii="Arial" w:hAnsi="Arial" w:cs="Arial"/>
          <w:sz w:val="24"/>
          <w:szCs w:val="24"/>
        </w:rPr>
        <w:t xml:space="preserve">ain for more than 75% of days during the 3 months prior to Screening. </w:t>
      </w:r>
      <w:r w:rsidRPr="00B07342">
        <w:rPr>
          <w:rFonts w:ascii="Arial" w:hAnsi="Arial" w:cs="Arial"/>
          <w:sz w:val="24"/>
          <w:szCs w:val="24"/>
        </w:rPr>
        <w:t>Patients then had to have a mean daily VAS pain score ≥25 in an electronic diary on at least 4 of the 7 days</w:t>
      </w:r>
      <w:r w:rsidRPr="00250B92">
        <w:rPr>
          <w:rFonts w:ascii="Arial" w:hAnsi="Arial" w:cs="Arial"/>
          <w:sz w:val="24"/>
          <w:szCs w:val="24"/>
        </w:rPr>
        <w:t xml:space="preserve"> immediately prior to the day of randomization </w:t>
      </w:r>
      <w:r w:rsidRPr="00F14600">
        <w:rPr>
          <w:rFonts w:ascii="Arial" w:hAnsi="Arial" w:cs="Arial"/>
          <w:sz w:val="24"/>
          <w:szCs w:val="24"/>
        </w:rPr>
        <w:t xml:space="preserve">and have proper </w:t>
      </w:r>
      <w:r w:rsidRPr="0014738F">
        <w:rPr>
          <w:rFonts w:ascii="Arial" w:hAnsi="Arial" w:cs="Arial"/>
          <w:sz w:val="24"/>
          <w:szCs w:val="24"/>
        </w:rPr>
        <w:t>electronic diary compliance over this time, (defined as at least 75% on 3 consecutive days with 4 diary entries per day).</w:t>
      </w:r>
    </w:p>
    <w:p w:rsidR="00785B10" w:rsidRPr="001611CB" w:rsidRDefault="00785B10" w:rsidP="00785B10">
      <w:pPr>
        <w:spacing w:after="0" w:line="480" w:lineRule="auto"/>
        <w:ind w:firstLine="720"/>
        <w:contextualSpacing/>
        <w:rPr>
          <w:rFonts w:ascii="Arial" w:hAnsi="Arial" w:cs="Arial"/>
          <w:sz w:val="24"/>
          <w:szCs w:val="24"/>
        </w:rPr>
      </w:pPr>
      <w:r w:rsidRPr="001611CB">
        <w:rPr>
          <w:rFonts w:ascii="Arial" w:hAnsi="Arial" w:cs="Arial"/>
          <w:sz w:val="24"/>
          <w:szCs w:val="24"/>
        </w:rPr>
        <w:t xml:space="preserve">Key exclusion criteria included the diagnosis </w:t>
      </w:r>
      <w:r w:rsidRPr="00755A1E">
        <w:rPr>
          <w:rFonts w:ascii="Arial" w:hAnsi="Arial" w:cs="Arial"/>
          <w:sz w:val="24"/>
          <w:szCs w:val="24"/>
        </w:rPr>
        <w:t xml:space="preserve">or history of rheumatoid </w:t>
      </w:r>
      <w:r w:rsidRPr="00C524DE">
        <w:rPr>
          <w:rFonts w:ascii="Arial" w:hAnsi="Arial" w:cs="Arial"/>
          <w:sz w:val="24"/>
          <w:szCs w:val="24"/>
        </w:rPr>
        <w:t>arthritis, inflammatory arthritis</w:t>
      </w:r>
      <w:r w:rsidRPr="0037645F">
        <w:rPr>
          <w:rFonts w:ascii="Arial" w:hAnsi="Arial" w:cs="Arial"/>
          <w:sz w:val="24"/>
          <w:szCs w:val="24"/>
        </w:rPr>
        <w:t xml:space="preserve"> of any kind</w:t>
      </w:r>
      <w:r w:rsidRPr="00582627">
        <w:rPr>
          <w:rFonts w:ascii="Arial" w:hAnsi="Arial" w:cs="Arial"/>
          <w:sz w:val="24"/>
          <w:szCs w:val="24"/>
        </w:rPr>
        <w:t xml:space="preserve">, gout, Paget’s disease, </w:t>
      </w:r>
      <w:r w:rsidRPr="00B37757">
        <w:rPr>
          <w:rFonts w:ascii="Arial" w:hAnsi="Arial" w:cs="Arial"/>
          <w:sz w:val="24"/>
          <w:szCs w:val="24"/>
        </w:rPr>
        <w:t>or any disease that would interfere with assessment of pain and other symptoms of OA; fibromyalgia</w:t>
      </w:r>
      <w:r w:rsidRPr="00DA17D9">
        <w:rPr>
          <w:rFonts w:ascii="Arial" w:hAnsi="Arial" w:cs="Arial"/>
          <w:sz w:val="24"/>
          <w:szCs w:val="24"/>
        </w:rPr>
        <w:t>; peripheral neuropathy</w:t>
      </w:r>
      <w:r w:rsidRPr="00B926E7">
        <w:rPr>
          <w:rFonts w:ascii="Arial" w:hAnsi="Arial" w:cs="Arial"/>
          <w:sz w:val="24"/>
          <w:szCs w:val="24"/>
        </w:rPr>
        <w:t xml:space="preserve"> requiring medication for pain control or interfering with performance of activities of daily living</w:t>
      </w:r>
      <w:r w:rsidRPr="00B07342">
        <w:rPr>
          <w:rFonts w:ascii="Arial" w:hAnsi="Arial" w:cs="Arial"/>
          <w:sz w:val="24"/>
          <w:szCs w:val="24"/>
        </w:rPr>
        <w:t xml:space="preserve">; arthroscopy or surgery on the index knee within the past 6 months or intra-articular </w:t>
      </w:r>
      <w:proofErr w:type="spellStart"/>
      <w:r w:rsidRPr="00B07342">
        <w:rPr>
          <w:rFonts w:ascii="Arial" w:hAnsi="Arial" w:cs="Arial"/>
          <w:sz w:val="24"/>
          <w:szCs w:val="24"/>
        </w:rPr>
        <w:t>viscosupplementation</w:t>
      </w:r>
      <w:proofErr w:type="spellEnd"/>
      <w:r w:rsidRPr="00B07342">
        <w:rPr>
          <w:rFonts w:ascii="Arial" w:hAnsi="Arial" w:cs="Arial"/>
          <w:sz w:val="24"/>
          <w:szCs w:val="24"/>
        </w:rPr>
        <w:t xml:space="preserve"> in the index knee joint within the past 4 months; pregnancy or lactation; </w:t>
      </w:r>
      <w:r w:rsidRPr="00250B92">
        <w:rPr>
          <w:rFonts w:ascii="Arial" w:hAnsi="Arial" w:cs="Arial"/>
          <w:sz w:val="24"/>
          <w:szCs w:val="24"/>
        </w:rPr>
        <w:t>history or symptoms of autoimmune disorders; cancer within the p</w:t>
      </w:r>
      <w:r w:rsidRPr="00F14600">
        <w:rPr>
          <w:rFonts w:ascii="Arial" w:hAnsi="Arial" w:cs="Arial"/>
          <w:sz w:val="24"/>
          <w:szCs w:val="24"/>
        </w:rPr>
        <w:t>ast 5 years, other than cutaneous basal cell or squa</w:t>
      </w:r>
      <w:r w:rsidRPr="0014738F">
        <w:rPr>
          <w:rFonts w:ascii="Arial" w:hAnsi="Arial" w:cs="Arial"/>
          <w:sz w:val="24"/>
          <w:szCs w:val="24"/>
        </w:rPr>
        <w:t xml:space="preserve">mous cell cancer removed by excision; diabetes mellitus requiring oral hypoglycemic agents or insulin; significant head trauma in the past year; hospital admission for asthma, chronic obstructive pulmonary disease, or other chronic respiratory disease within the </w:t>
      </w:r>
      <w:r w:rsidRPr="00F80C3B">
        <w:rPr>
          <w:rFonts w:ascii="Arial" w:hAnsi="Arial" w:cs="Arial"/>
          <w:sz w:val="24"/>
          <w:szCs w:val="24"/>
        </w:rPr>
        <w:t xml:space="preserve">past 2 years; history of alcohol or drug abuse; tobacco consumption </w:t>
      </w:r>
      <w:r w:rsidRPr="00DE51B9">
        <w:rPr>
          <w:rFonts w:ascii="Arial" w:hAnsi="Arial" w:cs="Arial"/>
          <w:sz w:val="24"/>
          <w:szCs w:val="24"/>
        </w:rPr>
        <w:t xml:space="preserve">(&gt;0.5 pack </w:t>
      </w:r>
      <w:r w:rsidRPr="000B1FE2">
        <w:rPr>
          <w:rFonts w:ascii="Arial" w:hAnsi="Arial" w:cs="Arial"/>
          <w:sz w:val="24"/>
          <w:szCs w:val="24"/>
        </w:rPr>
        <w:t xml:space="preserve">cigarettes per </w:t>
      </w:r>
      <w:r w:rsidRPr="000B1FE2">
        <w:rPr>
          <w:rFonts w:ascii="Arial" w:hAnsi="Arial" w:cs="Arial"/>
          <w:sz w:val="24"/>
          <w:szCs w:val="24"/>
        </w:rPr>
        <w:lastRenderedPageBreak/>
        <w:t>day); hepatitis B or C; human immunodeficiency virus (HIV) infection; previous exposure to NGF or an anti-NGF antibody; allergic or anaphylactic reaction to any therapeutic or diagnostic monoclonal antibody or IgG-fusion protein;</w:t>
      </w:r>
      <w:r w:rsidRPr="00F12FEE">
        <w:rPr>
          <w:rFonts w:ascii="Arial" w:hAnsi="Arial" w:cs="Arial"/>
          <w:sz w:val="24"/>
          <w:szCs w:val="24"/>
        </w:rPr>
        <w:t xml:space="preserve"> clinically significant cardiovascular or</w:t>
      </w:r>
      <w:r w:rsidRPr="00E20964">
        <w:rPr>
          <w:rFonts w:ascii="Arial" w:hAnsi="Arial" w:cs="Arial"/>
          <w:sz w:val="24"/>
          <w:szCs w:val="24"/>
        </w:rPr>
        <w:t xml:space="preserve"> neurological disease or psychiatric disorders</w:t>
      </w:r>
      <w:r w:rsidRPr="00824CB0">
        <w:rPr>
          <w:rFonts w:ascii="Arial" w:hAnsi="Arial" w:cs="Arial"/>
          <w:sz w:val="24"/>
          <w:szCs w:val="24"/>
        </w:rPr>
        <w:t>; or other significant medical conditions.</w:t>
      </w:r>
    </w:p>
    <w:p w:rsidR="00CC2253" w:rsidRDefault="00CC2253">
      <w:pPr>
        <w:rPr>
          <w:rFonts w:ascii="Arial" w:hAnsi="Arial" w:cs="Arial"/>
          <w:b/>
          <w:sz w:val="24"/>
        </w:rPr>
      </w:pPr>
    </w:p>
    <w:p w:rsidR="00CC2253" w:rsidRDefault="00CC2253">
      <w:pPr>
        <w:rPr>
          <w:rFonts w:ascii="Arial" w:hAnsi="Arial" w:cs="Arial"/>
          <w:b/>
          <w:sz w:val="24"/>
        </w:rPr>
      </w:pPr>
      <w:r>
        <w:rPr>
          <w:rFonts w:ascii="Arial" w:hAnsi="Arial" w:cs="Arial"/>
          <w:b/>
          <w:sz w:val="24"/>
        </w:rPr>
        <w:t>Reference</w:t>
      </w:r>
    </w:p>
    <w:p w:rsidR="00CC2253" w:rsidRPr="00CC2253" w:rsidRDefault="00CC2253" w:rsidP="00CC2253">
      <w:pPr>
        <w:spacing w:after="0" w:line="480" w:lineRule="auto"/>
        <w:ind w:left="720" w:hanging="720"/>
        <w:rPr>
          <w:rFonts w:ascii="Arial" w:hAnsi="Arial" w:cs="Arial"/>
          <w:noProof/>
          <w:sz w:val="24"/>
        </w:rPr>
      </w:pPr>
      <w:r>
        <w:fldChar w:fldCharType="begin"/>
      </w:r>
      <w:r>
        <w:instrText xml:space="preserve"> ADDIN EN.REFLIST </w:instrText>
      </w:r>
      <w:r>
        <w:fldChar w:fldCharType="separate"/>
      </w:r>
      <w:bookmarkStart w:id="0" w:name="_ENREF_1"/>
      <w:r w:rsidRPr="00CC2253">
        <w:rPr>
          <w:rFonts w:ascii="Arial" w:hAnsi="Arial" w:cs="Arial"/>
          <w:noProof/>
          <w:sz w:val="24"/>
        </w:rPr>
        <w:t>[1] Recommendations for the medical management of osteoarthritis of the hip and knee: 2000 update. American College of Rheumatology Subcommittee on Osteoarthritis Guidelines. Arthritis Rheum 2000;43(9):1905-1915.</w:t>
      </w:r>
      <w:bookmarkEnd w:id="0"/>
    </w:p>
    <w:p w:rsidR="00CC2253" w:rsidRDefault="00CC2253" w:rsidP="00CC2253">
      <w:pPr>
        <w:spacing w:line="240" w:lineRule="auto"/>
        <w:rPr>
          <w:noProof/>
        </w:rPr>
      </w:pPr>
    </w:p>
    <w:p w:rsidR="00040D73" w:rsidRDefault="00CC2253">
      <w:r>
        <w:fldChar w:fldCharType="end"/>
      </w:r>
    </w:p>
    <w:p w:rsidR="00040D73" w:rsidRDefault="00040D73">
      <w:pPr>
        <w:spacing w:after="160" w:line="259" w:lineRule="auto"/>
      </w:pPr>
      <w:r>
        <w:br w:type="page"/>
      </w:r>
    </w:p>
    <w:p w:rsidR="00040D73" w:rsidRDefault="00040D73" w:rsidP="00040D73">
      <w:pPr>
        <w:tabs>
          <w:tab w:val="left" w:pos="2520"/>
        </w:tabs>
        <w:spacing w:after="0" w:line="480" w:lineRule="auto"/>
        <w:rPr>
          <w:rFonts w:asciiTheme="minorHAnsi" w:eastAsiaTheme="minorHAnsi" w:hAnsiTheme="minorHAnsi"/>
        </w:rPr>
      </w:pPr>
      <w:r>
        <w:rPr>
          <w:rFonts w:ascii="Arial" w:hAnsi="Arial" w:cs="Arial"/>
          <w:b/>
          <w:sz w:val="24"/>
          <w:szCs w:val="24"/>
        </w:rPr>
        <w:lastRenderedPageBreak/>
        <w:t>Appendix Text 2.</w:t>
      </w:r>
      <w:r>
        <w:rPr>
          <w:rFonts w:ascii="Arial" w:hAnsi="Arial" w:cs="Arial"/>
          <w:sz w:val="24"/>
          <w:szCs w:val="24"/>
        </w:rPr>
        <w:t xml:space="preserve"> The following treatments were required to be discontinued at least 60 days before study drug administration and throughout the study: topical capsaicin preparations, intra-articular corticosteroids in the index knee. Hyaluronic acid or </w:t>
      </w:r>
      <w:proofErr w:type="spellStart"/>
      <w:r>
        <w:rPr>
          <w:rFonts w:ascii="Arial" w:hAnsi="Arial" w:cs="Arial"/>
          <w:sz w:val="24"/>
          <w:szCs w:val="24"/>
        </w:rPr>
        <w:t>viscosupplementation</w:t>
      </w:r>
      <w:proofErr w:type="spellEnd"/>
      <w:r>
        <w:rPr>
          <w:rFonts w:ascii="Arial" w:hAnsi="Arial" w:cs="Arial"/>
          <w:sz w:val="24"/>
          <w:szCs w:val="24"/>
        </w:rPr>
        <w:t xml:space="preserve"> in the index knee was to be discontinued 120 days prior to study drug and throughout the study. Patients could use one type of rescue medication except for the 2 days prior to and after administration of study drug. Allowed rescue medications were acetaminophen (500 mg to a maximum of 4000 mg/day) or ibuprofen (200 mg to a maximum of 1600 mg/day). Rescue medication use (allowed only for pain in the index knee) was recorded daily. Patients were admitted to a Phase 1 unit for assessments on study Days –1, 1, and 2, and observed for 24 hours after study drug administration prior to discharge. Eligible patients were randomized to tanezumab or placebo treatment.</w:t>
      </w:r>
    </w:p>
    <w:p w:rsidR="00040D73" w:rsidRDefault="00040D73">
      <w:pPr>
        <w:spacing w:after="160" w:line="259" w:lineRule="auto"/>
      </w:pPr>
      <w:r>
        <w:br w:type="page"/>
      </w:r>
    </w:p>
    <w:p w:rsidR="00040D73" w:rsidRDefault="00040D73" w:rsidP="00040D73">
      <w:pPr>
        <w:spacing w:after="0" w:line="480" w:lineRule="auto"/>
        <w:contextualSpacing/>
        <w:rPr>
          <w:rFonts w:ascii="Arial" w:hAnsi="Arial" w:cs="Arial"/>
          <w:sz w:val="24"/>
          <w:szCs w:val="24"/>
        </w:rPr>
      </w:pPr>
      <w:r>
        <w:rPr>
          <w:rFonts w:ascii="Arial" w:hAnsi="Arial" w:cs="Arial"/>
          <w:b/>
          <w:sz w:val="24"/>
          <w:szCs w:val="24"/>
        </w:rPr>
        <w:lastRenderedPageBreak/>
        <w:t>Appendix Text 3.</w:t>
      </w:r>
      <w:r>
        <w:rPr>
          <w:rFonts w:ascii="Arial" w:hAnsi="Arial" w:cs="Arial"/>
          <w:sz w:val="24"/>
          <w:szCs w:val="24"/>
        </w:rPr>
        <w:t xml:space="preserve"> The safety population included all patients who received ≥1 administration of study drug, while the modified intent-to-treat (</w:t>
      </w:r>
      <w:proofErr w:type="spellStart"/>
      <w:r>
        <w:rPr>
          <w:rFonts w:ascii="Arial" w:hAnsi="Arial" w:cs="Arial"/>
          <w:sz w:val="24"/>
          <w:szCs w:val="24"/>
        </w:rPr>
        <w:t>mITT</w:t>
      </w:r>
      <w:proofErr w:type="spellEnd"/>
      <w:r>
        <w:rPr>
          <w:rFonts w:ascii="Arial" w:hAnsi="Arial" w:cs="Arial"/>
          <w:sz w:val="24"/>
          <w:szCs w:val="24"/>
        </w:rPr>
        <w:t>) population included all patients who received ≥1 administration of study drug and had ≥1 post-dosing pain assessment for efficacy. The sample size of 4 to 6 tanezumab-treated patients in each cohort in Part 1 was sufficient to provide adequate safety data for evaluation. For Part 2, a sample size of 33 patients per arm (total sample size of 99 patients) was required to detect statistical significance at 81% power with a type I error rate of 5% and effect size of 0.617. The primary comparison was the combined tanezumab groups versus placebo. The study sponsor stopped enrollment when 79 patients had been treated because they were made aware of 2 serious adverse events (</w:t>
      </w:r>
      <w:proofErr w:type="spellStart"/>
      <w:r>
        <w:rPr>
          <w:rFonts w:ascii="Arial" w:hAnsi="Arial" w:cs="Arial"/>
          <w:sz w:val="24"/>
          <w:szCs w:val="24"/>
        </w:rPr>
        <w:t>pseudoseizure</w:t>
      </w:r>
      <w:proofErr w:type="spellEnd"/>
      <w:r>
        <w:rPr>
          <w:rFonts w:ascii="Arial" w:hAnsi="Arial" w:cs="Arial"/>
          <w:sz w:val="24"/>
          <w:szCs w:val="24"/>
        </w:rPr>
        <w:t xml:space="preserve"> and seizure) in patients receiving tanezumab 300 µg/kg in Study CL002 that were considered by the investigator to be treatment-related. This sample size provided power of 72% at a type I error rate of 5% and effect size of 0.617.</w:t>
      </w:r>
    </w:p>
    <w:p w:rsidR="00040D73" w:rsidRDefault="00040D73" w:rsidP="00040D73">
      <w:pPr>
        <w:spacing w:after="0" w:line="480" w:lineRule="auto"/>
        <w:ind w:firstLine="720"/>
        <w:contextualSpacing/>
        <w:rPr>
          <w:rFonts w:ascii="Arial" w:hAnsi="Arial" w:cs="Arial"/>
          <w:sz w:val="24"/>
          <w:szCs w:val="24"/>
        </w:rPr>
      </w:pPr>
      <w:r>
        <w:rPr>
          <w:rFonts w:ascii="Arial" w:hAnsi="Arial" w:cs="Arial"/>
          <w:sz w:val="24"/>
          <w:szCs w:val="24"/>
        </w:rPr>
        <w:t xml:space="preserve">The primary efficacy measure, SPID for VAS in current knee pain for Days 2 to 14, for the combined tanezumab treatment groups compared with placebo was assessed using analysis of covariance (ANCOVA) with adjustment for baseline pain scores. Changes in current knee pain (SPID) for other time points, comparisons between each dose and placebo, changes in WOMAC scores and subscales, and walking pain (SPID) also were analyzed by ANCOVA. Rescue medication usage (as a sum of the number of pills used) for each tanezumab dose compared with placebo was analyzed via analysis of variance (ANOVA). Analyses of pharmacodynamic (PD) endpoints (defined as efficacy assessments in Part 1 of the study) employed the same statistical analyses, although exploratory analyses to determine treatment effect over </w:t>
      </w:r>
      <w:r>
        <w:rPr>
          <w:rFonts w:ascii="Arial" w:hAnsi="Arial" w:cs="Arial"/>
          <w:sz w:val="24"/>
          <w:szCs w:val="24"/>
        </w:rPr>
        <w:lastRenderedPageBreak/>
        <w:t>time also were performed. Statistical significance was α = 0.05 (2-sided) for all analyses. Unless otherwise noted, results are presented as the least squares (LS) mean versus placebo.</w:t>
      </w:r>
    </w:p>
    <w:p w:rsidR="00040D73" w:rsidRDefault="00040D73" w:rsidP="00040D73"/>
    <w:p w:rsidR="00040D73" w:rsidRDefault="00040D73">
      <w:pPr>
        <w:spacing w:after="160" w:line="259" w:lineRule="auto"/>
      </w:pPr>
      <w:r>
        <w:br w:type="page"/>
      </w:r>
    </w:p>
    <w:p w:rsidR="00040D73" w:rsidRDefault="00040D73" w:rsidP="00040D73">
      <w:pPr>
        <w:spacing w:after="0" w:line="480" w:lineRule="auto"/>
        <w:contextualSpacing/>
        <w:rPr>
          <w:rFonts w:ascii="Arial" w:hAnsi="Arial" w:cs="Arial"/>
          <w:i/>
          <w:sz w:val="24"/>
          <w:szCs w:val="24"/>
        </w:rPr>
      </w:pPr>
      <w:r>
        <w:rPr>
          <w:rFonts w:ascii="Arial" w:hAnsi="Arial" w:cs="Arial"/>
          <w:b/>
          <w:sz w:val="24"/>
          <w:szCs w:val="24"/>
        </w:rPr>
        <w:lastRenderedPageBreak/>
        <w:t>Appendix Text 4.</w:t>
      </w:r>
      <w:r>
        <w:rPr>
          <w:rFonts w:ascii="Arial" w:hAnsi="Arial" w:cs="Arial"/>
          <w:sz w:val="24"/>
          <w:szCs w:val="24"/>
        </w:rPr>
        <w:t xml:space="preserve"> Healthy men or women aged 18 to 65 years with a BMI of 18 to 39 kg/m</w:t>
      </w:r>
      <w:r>
        <w:rPr>
          <w:rFonts w:ascii="Arial" w:hAnsi="Arial" w:cs="Arial"/>
          <w:sz w:val="24"/>
          <w:szCs w:val="24"/>
          <w:vertAlign w:val="superscript"/>
        </w:rPr>
        <w:t>2</w:t>
      </w:r>
      <w:r>
        <w:rPr>
          <w:rFonts w:ascii="Arial" w:hAnsi="Arial" w:cs="Arial"/>
          <w:sz w:val="24"/>
          <w:szCs w:val="24"/>
        </w:rPr>
        <w:t xml:space="preserve"> and requisite memory function (defined as HVLT-R total recall score of ≥22) </w:t>
      </w:r>
      <w:r>
        <w:rPr>
          <w:rFonts w:ascii="Arial" w:hAnsi="Arial" w:cs="Arial"/>
          <w:sz w:val="24"/>
          <w:szCs w:val="24"/>
        </w:rPr>
        <w:fldChar w:fldCharType="begin"/>
      </w:r>
      <w:r>
        <w:rPr>
          <w:rFonts w:ascii="Arial" w:hAnsi="Arial" w:cs="Arial"/>
          <w:sz w:val="24"/>
          <w:szCs w:val="24"/>
        </w:rPr>
        <w:instrText xml:space="preserve"> ADDIN EN.CITE &lt;EndNote&gt;&lt;Cite&gt;&lt;Author&gt;Brandt&lt;/Author&gt;&lt;Year&gt;2001&lt;/Year&gt;&lt;RecNum&gt;35&lt;/RecNum&gt;&lt;DisplayText&gt;[2]&lt;/DisplayText&gt;&lt;record&gt;&lt;rec-number&gt;35&lt;/rec-number&gt;&lt;foreign-keys&gt;&lt;key app="EN" db-id="r9ar0ws9ueszr6e0ts6xa2v2v5ep0xa2dpfe"&gt;35&lt;/key&gt;&lt;/foreign-keys&gt;&lt;ref-type name="Book"&gt;6&lt;/ref-type&gt;&lt;contributors&gt;&lt;authors&gt;&lt;author&gt;Brandt J, &lt;/author&gt;&lt;author&gt;Benedict RHB, &lt;/author&gt;&lt;/authors&gt;&lt;/contributors&gt;&lt;titles&gt;&lt;title&gt;Hopkins Verbal Learning Test-Revised Professional Manual&lt;/title&gt;&lt;/titles&gt;&lt;dates&gt;&lt;year&gt;2001&lt;/year&gt;&lt;/dates&gt;&lt;pub-location&gt;Lutz, FL&lt;/pub-location&gt;&lt;publisher&gt;Psychological Assessment Resources, Inc.&lt;/publisher&gt;&lt;urls&gt;&lt;/urls&gt;&lt;/record&gt;&lt;/Cite&gt;&lt;/EndNote&gt;</w:instrText>
      </w:r>
      <w:r>
        <w:rPr>
          <w:rFonts w:ascii="Arial" w:hAnsi="Arial" w:cs="Arial"/>
          <w:sz w:val="24"/>
          <w:szCs w:val="24"/>
        </w:rPr>
        <w:fldChar w:fldCharType="separate"/>
      </w:r>
      <w:r>
        <w:rPr>
          <w:rFonts w:ascii="Arial" w:hAnsi="Arial" w:cs="Arial"/>
          <w:noProof/>
          <w:sz w:val="24"/>
          <w:szCs w:val="24"/>
        </w:rPr>
        <w:t>[</w:t>
      </w:r>
      <w:hyperlink r:id="rId4" w:anchor="_ENREF_2" w:tooltip="Brandt J, 2001 #35" w:history="1">
        <w:r>
          <w:rPr>
            <w:rStyle w:val="Hyperlink"/>
            <w:rFonts w:ascii="Arial" w:hAnsi="Arial" w:cs="Arial"/>
            <w:noProof/>
            <w:color w:val="auto"/>
            <w:sz w:val="24"/>
            <w:szCs w:val="24"/>
            <w:u w:val="none"/>
          </w:rPr>
          <w:t>2</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who underwent primary unilateral first metatarsal bunionectomy and met criteria for American Society of Anesthesiologists Classes I and II were enrolled </w:t>
      </w:r>
      <w:r>
        <w:rPr>
          <w:rFonts w:ascii="Arial" w:hAnsi="Arial" w:cs="Arial"/>
          <w:sz w:val="24"/>
          <w:szCs w:val="24"/>
        </w:rPr>
        <w:fldChar w:fldCharType="begin"/>
      </w:r>
      <w:r>
        <w:rPr>
          <w:rFonts w:ascii="Arial" w:hAnsi="Arial" w:cs="Arial"/>
          <w:sz w:val="24"/>
          <w:szCs w:val="24"/>
        </w:rPr>
        <w:instrText xml:space="preserve"> ADDIN EN.CITE &lt;EndNote&gt;&lt;Cite&gt;&lt;Author&gt;(ASA)&lt;/Author&gt;&lt;Year&gt;2014&lt;/Year&gt;&lt;RecNum&gt;47&lt;/RecNum&gt;&lt;DisplayText&gt;[1]&lt;/DisplayText&gt;&lt;record&gt;&lt;rec-number&gt;47&lt;/rec-number&gt;&lt;foreign-keys&gt;&lt;key app="EN" db-id="r9ar0ws9ueszr6e0ts6xa2v2v5ep0xa2dpfe"&gt;47&lt;/key&gt;&lt;/foreign-keys&gt;&lt;ref-type name="Web Page"&gt;12&lt;/ref-type&gt;&lt;contributors&gt;&lt;authors&gt;&lt;author&gt;American Society of Anesthesiologists (ASA),&lt;/author&gt;&lt;/authors&gt;&lt;/contributors&gt;&lt;titles&gt;&lt;title&gt;ASA Physical Status Classification System&lt;/title&gt;&lt;/titles&gt;&lt;volume&gt;2017&lt;/volume&gt;&lt;number&gt;24 April&lt;/number&gt;&lt;dates&gt;&lt;year&gt;2014&lt;/year&gt;&lt;/dates&gt;&lt;urls&gt;&lt;related-urls&gt;&lt;url&gt;http://www.asahq.org/resources/clinical-information/asa-physical-status-classification-system&lt;/url&gt;&lt;/related-urls&gt;&lt;/urls&gt;&lt;/record&gt;&lt;/Cite&gt;&lt;/EndNote&gt;</w:instrText>
      </w:r>
      <w:r>
        <w:rPr>
          <w:rFonts w:ascii="Arial" w:hAnsi="Arial" w:cs="Arial"/>
          <w:sz w:val="24"/>
          <w:szCs w:val="24"/>
        </w:rPr>
        <w:fldChar w:fldCharType="separate"/>
      </w:r>
      <w:r>
        <w:rPr>
          <w:rFonts w:ascii="Arial" w:hAnsi="Arial" w:cs="Arial"/>
          <w:noProof/>
          <w:sz w:val="24"/>
          <w:szCs w:val="24"/>
        </w:rPr>
        <w:t>[</w:t>
      </w:r>
      <w:hyperlink r:id="rId5" w:anchor="_ENREF_1" w:tooltip="American Society of Anesthesiologists (ASA), 2014 #47" w:history="1">
        <w:r>
          <w:rPr>
            <w:rStyle w:val="Hyperlink"/>
            <w:rFonts w:ascii="Arial" w:hAnsi="Arial" w:cs="Arial"/>
            <w:noProof/>
            <w:color w:val="auto"/>
            <w:sz w:val="24"/>
            <w:szCs w:val="24"/>
            <w:u w:val="none"/>
          </w:rPr>
          <w:t>1</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040D73" w:rsidRDefault="00040D73" w:rsidP="00040D73">
      <w:pPr>
        <w:spacing w:after="0" w:line="480" w:lineRule="auto"/>
        <w:ind w:firstLine="720"/>
        <w:contextualSpacing/>
        <w:rPr>
          <w:rFonts w:ascii="Arial" w:hAnsi="Arial" w:cs="Arial"/>
          <w:sz w:val="24"/>
          <w:szCs w:val="24"/>
        </w:rPr>
      </w:pPr>
      <w:r>
        <w:rPr>
          <w:rFonts w:ascii="Arial" w:hAnsi="Arial" w:cs="Arial"/>
          <w:sz w:val="24"/>
          <w:szCs w:val="24"/>
        </w:rPr>
        <w:t xml:space="preserve">Key exclusion criteria were diagnosis of any concurrent condition that would interfere with assessment of postoperative pain: loss of sensation affecting the foot; neurological or painful conditions affecting the foot or ankle of the operative foot; and chronic pain conditions such as fibromyalgia, osteoarthritis, or rheumatoid arthritis requiring medication for pain control. In addition, patients were excluded if they had peripheral vascular disease affecting the operative foot. Other key exclusion criteria relating to general health were </w:t>
      </w:r>
      <w:proofErr w:type="gramStart"/>
      <w:r>
        <w:rPr>
          <w:rFonts w:ascii="Arial" w:hAnsi="Arial" w:cs="Arial"/>
          <w:sz w:val="24"/>
          <w:szCs w:val="24"/>
        </w:rPr>
        <w:t>similar to</w:t>
      </w:r>
      <w:proofErr w:type="gramEnd"/>
      <w:r>
        <w:rPr>
          <w:rFonts w:ascii="Arial" w:hAnsi="Arial" w:cs="Arial"/>
          <w:sz w:val="24"/>
          <w:szCs w:val="24"/>
        </w:rPr>
        <w:t xml:space="preserve"> those described for Study CL001.</w:t>
      </w:r>
    </w:p>
    <w:p w:rsidR="00040D73" w:rsidRDefault="00040D73" w:rsidP="00040D73"/>
    <w:p w:rsidR="00040D73" w:rsidRDefault="00040D73" w:rsidP="00040D73">
      <w:pPr>
        <w:spacing w:after="0" w:line="480" w:lineRule="auto"/>
        <w:ind w:left="720" w:hanging="720"/>
        <w:rPr>
          <w:rFonts w:ascii="Arial" w:hAnsi="Arial" w:cs="Arial"/>
          <w:b/>
          <w:sz w:val="24"/>
          <w:szCs w:val="24"/>
        </w:rPr>
      </w:pPr>
      <w:r>
        <w:rPr>
          <w:rFonts w:ascii="Arial" w:hAnsi="Arial" w:cs="Arial"/>
          <w:b/>
          <w:sz w:val="24"/>
          <w:szCs w:val="24"/>
        </w:rPr>
        <w:t>References</w:t>
      </w:r>
    </w:p>
    <w:p w:rsidR="00040D73" w:rsidRDefault="00040D73" w:rsidP="00040D73">
      <w:pPr>
        <w:spacing w:after="0" w:line="480" w:lineRule="auto"/>
        <w:ind w:left="720" w:hanging="720"/>
        <w:rPr>
          <w:rFonts w:ascii="Arial" w:hAnsi="Arial" w:cs="Arial"/>
          <w:noProof/>
          <w:sz w:val="24"/>
          <w:szCs w:val="24"/>
        </w:rPr>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Pr>
          <w:rFonts w:ascii="Arial" w:hAnsi="Arial" w:cs="Arial"/>
          <w:noProof/>
          <w:sz w:val="24"/>
          <w:szCs w:val="24"/>
        </w:rPr>
        <w:t>1.</w:t>
      </w:r>
      <w:r>
        <w:rPr>
          <w:rFonts w:ascii="Arial" w:hAnsi="Arial" w:cs="Arial"/>
          <w:noProof/>
          <w:sz w:val="24"/>
          <w:szCs w:val="24"/>
        </w:rPr>
        <w:tab/>
        <w:t>American Society of Anesthesiologists (ASA). ASA Physical Status Classification System</w:t>
      </w:r>
    </w:p>
    <w:p w:rsidR="00040D73" w:rsidRDefault="00040D73" w:rsidP="00040D73">
      <w:pPr>
        <w:spacing w:after="0" w:line="480" w:lineRule="auto"/>
        <w:ind w:left="720" w:hanging="720"/>
        <w:rPr>
          <w:rFonts w:ascii="Arial" w:hAnsi="Arial" w:cs="Arial"/>
          <w:noProof/>
          <w:sz w:val="24"/>
          <w:szCs w:val="24"/>
        </w:rPr>
      </w:pPr>
      <w:bookmarkStart w:id="1" w:name="_ENREF_2"/>
      <w:r>
        <w:rPr>
          <w:rFonts w:ascii="Arial" w:hAnsi="Arial" w:cs="Arial"/>
          <w:noProof/>
          <w:sz w:val="24"/>
          <w:szCs w:val="24"/>
        </w:rPr>
        <w:t>2.</w:t>
      </w:r>
      <w:r>
        <w:rPr>
          <w:rFonts w:ascii="Arial" w:hAnsi="Arial" w:cs="Arial"/>
          <w:noProof/>
          <w:sz w:val="24"/>
          <w:szCs w:val="24"/>
        </w:rPr>
        <w:tab/>
        <w:t>Brandt J, Benedict RHB. Hopkins Verbal Learning Test-Revised Professional Manual. Lutz, FL: Psychological Assessment Resources, Inc., 2001.</w:t>
      </w:r>
      <w:bookmarkEnd w:id="1"/>
    </w:p>
    <w:p w:rsidR="00040D73" w:rsidRDefault="00040D73" w:rsidP="00040D73">
      <w:pPr>
        <w:spacing w:after="0" w:line="480" w:lineRule="auto"/>
        <w:ind w:left="720" w:hanging="720"/>
        <w:rPr>
          <w:rFonts w:ascii="Arial" w:hAnsi="Arial" w:cs="Arial"/>
          <w:noProof/>
          <w:sz w:val="24"/>
          <w:szCs w:val="24"/>
        </w:rPr>
      </w:pPr>
    </w:p>
    <w:p w:rsidR="00040D73" w:rsidRDefault="00040D73" w:rsidP="00040D73">
      <w:pPr>
        <w:spacing w:after="0" w:line="480" w:lineRule="auto"/>
        <w:ind w:left="720" w:hanging="720"/>
      </w:pPr>
      <w:r>
        <w:rPr>
          <w:rFonts w:ascii="Arial" w:hAnsi="Arial" w:cs="Arial"/>
          <w:sz w:val="24"/>
          <w:szCs w:val="24"/>
        </w:rPr>
        <w:fldChar w:fldCharType="end"/>
      </w:r>
    </w:p>
    <w:p w:rsidR="00040D73" w:rsidRDefault="00040D73">
      <w:pPr>
        <w:spacing w:after="160" w:line="259" w:lineRule="auto"/>
      </w:pPr>
      <w:r>
        <w:br w:type="page"/>
      </w:r>
    </w:p>
    <w:p w:rsidR="00040D73" w:rsidRDefault="00040D73" w:rsidP="00040D73">
      <w:pPr>
        <w:spacing w:after="0" w:line="480" w:lineRule="auto"/>
        <w:rPr>
          <w:rFonts w:asciiTheme="minorHAnsi" w:eastAsiaTheme="minorHAnsi" w:hAnsiTheme="minorHAnsi"/>
        </w:rPr>
      </w:pPr>
      <w:r>
        <w:rPr>
          <w:rFonts w:ascii="Arial" w:hAnsi="Arial" w:cs="Arial"/>
          <w:b/>
          <w:sz w:val="24"/>
          <w:szCs w:val="24"/>
        </w:rPr>
        <w:lastRenderedPageBreak/>
        <w:t>Appendix Text 5.</w:t>
      </w:r>
      <w:r>
        <w:rPr>
          <w:rFonts w:ascii="Arial" w:hAnsi="Arial" w:cs="Arial"/>
          <w:sz w:val="24"/>
          <w:szCs w:val="24"/>
        </w:rPr>
        <w:t xml:space="preserve"> The first dose of postoperative rescue medication was acetaminophen/codeine (300 mg/30 mg). Allowed rescue medications at all other times were ibuprofen (400 mg to a maximum of 8 tablets or 3200 mg/day), acetaminophen/codeine (300 mg/30 mg; up to a maximum of 12 tablets/day), or ketorolac (30 mg IV to a maximum of 120 mg/day during the research unit admission portion of the study only). Less potent medication was to be considered first, when possible, and patients were instructed to use rescue medication only when truly necessary for pain. Individual patients could receive additional analgesic medications on a case-by-case basis if judged clinically appropriate by the investigator.</w:t>
      </w:r>
    </w:p>
    <w:p w:rsidR="00040D73" w:rsidRDefault="00040D73">
      <w:pPr>
        <w:spacing w:after="160" w:line="259" w:lineRule="auto"/>
      </w:pPr>
      <w:r>
        <w:br w:type="page"/>
      </w:r>
    </w:p>
    <w:p w:rsidR="00040D73" w:rsidRDefault="00040D73" w:rsidP="00040D73">
      <w:pPr>
        <w:spacing w:after="0" w:line="480" w:lineRule="auto"/>
        <w:contextualSpacing/>
        <w:rPr>
          <w:rFonts w:ascii="Arial" w:hAnsi="Arial" w:cs="Arial"/>
          <w:sz w:val="24"/>
          <w:szCs w:val="24"/>
        </w:rPr>
      </w:pPr>
      <w:r>
        <w:rPr>
          <w:rFonts w:ascii="Arial" w:hAnsi="Arial" w:cs="Arial"/>
          <w:b/>
          <w:sz w:val="24"/>
          <w:szCs w:val="24"/>
        </w:rPr>
        <w:lastRenderedPageBreak/>
        <w:t>Appendix Text 6.</w:t>
      </w:r>
      <w:r>
        <w:rPr>
          <w:rFonts w:ascii="Arial" w:hAnsi="Arial" w:cs="Arial"/>
          <w:sz w:val="24"/>
          <w:szCs w:val="24"/>
        </w:rPr>
        <w:t xml:space="preserve"> The safety population included all patients who received ≥1 administration of study drug, and the </w:t>
      </w:r>
      <w:proofErr w:type="spellStart"/>
      <w:r>
        <w:rPr>
          <w:rFonts w:ascii="Arial" w:hAnsi="Arial" w:cs="Arial"/>
          <w:sz w:val="24"/>
          <w:szCs w:val="24"/>
        </w:rPr>
        <w:t>mITT</w:t>
      </w:r>
      <w:proofErr w:type="spellEnd"/>
      <w:r>
        <w:rPr>
          <w:rFonts w:ascii="Arial" w:hAnsi="Arial" w:cs="Arial"/>
          <w:sz w:val="24"/>
          <w:szCs w:val="24"/>
        </w:rPr>
        <w:t xml:space="preserve"> population included all patients who received ≥1 administration of study drug and had ≥1 post-dosing pain assessment for efficacy. The study was not fully powered to detect statistically significant differences in efficacy and sample size was based on accurate characterization of PK parameters. It was deemed that 8 subjects per tanezumab arm was adequate for this purpose. To enable a preliminary evaluation of tanezumab efficacy, a sample size using a 4:1 ratio of </w:t>
      </w:r>
      <w:proofErr w:type="spellStart"/>
      <w:proofErr w:type="gramStart"/>
      <w:r>
        <w:rPr>
          <w:rFonts w:ascii="Arial" w:hAnsi="Arial" w:cs="Arial"/>
          <w:sz w:val="24"/>
          <w:szCs w:val="24"/>
        </w:rPr>
        <w:t>tanezumab:placebo</w:t>
      </w:r>
      <w:proofErr w:type="spellEnd"/>
      <w:proofErr w:type="gramEnd"/>
      <w:r>
        <w:rPr>
          <w:rFonts w:ascii="Arial" w:hAnsi="Arial" w:cs="Arial"/>
          <w:sz w:val="24"/>
          <w:szCs w:val="24"/>
        </w:rPr>
        <w:t xml:space="preserve"> within each dose cohort was used, resulting in a total sample size of 40:10 for tanezumab- and placebo-treated patients, respectively. Intermittent missing data were imputed by linear interpolation. Last observation carried forward (LOCF) imputation was used for ≥3 consecutive missing data scores. </w:t>
      </w:r>
    </w:p>
    <w:p w:rsidR="00040D73" w:rsidRDefault="00040D73" w:rsidP="00040D73">
      <w:pPr>
        <w:spacing w:after="0" w:line="480" w:lineRule="auto"/>
        <w:ind w:firstLine="720"/>
        <w:contextualSpacing/>
        <w:rPr>
          <w:rFonts w:ascii="Arial" w:hAnsi="Arial" w:cs="Arial"/>
          <w:sz w:val="24"/>
          <w:szCs w:val="24"/>
          <w:lang w:val="en-GB" w:eastAsia="en-GB"/>
        </w:rPr>
      </w:pPr>
      <w:r>
        <w:rPr>
          <w:rFonts w:ascii="Arial" w:hAnsi="Arial" w:cs="Arial"/>
          <w:sz w:val="24"/>
          <w:szCs w:val="24"/>
          <w:lang w:val="en-GB" w:eastAsia="en-GB"/>
        </w:rPr>
        <w:t xml:space="preserve">Analysis of PD parameters used an ANOVA model for comparisons of each tanezumab dose with placebo. </w:t>
      </w:r>
      <w:r>
        <w:rPr>
          <w:rFonts w:ascii="Arial" w:hAnsi="Arial" w:cs="Arial"/>
          <w:i/>
          <w:sz w:val="24"/>
          <w:szCs w:val="24"/>
          <w:lang w:val="en-GB" w:eastAsia="en-GB"/>
        </w:rPr>
        <w:t>P</w:t>
      </w:r>
      <w:r>
        <w:rPr>
          <w:rFonts w:ascii="Arial" w:hAnsi="Arial" w:cs="Arial"/>
          <w:sz w:val="24"/>
          <w:szCs w:val="24"/>
          <w:lang w:val="en-GB" w:eastAsia="en-GB"/>
        </w:rPr>
        <w:t xml:space="preserve">-values were reported adjusted using Dunnett’s correction for multiple treatment comparisons and unadjusted for multiple comparisons as appropriate for studies with exploratory analyses for efficacy. The number of patients requiring rescue medication and patients who stopped using rescue medication were </w:t>
      </w:r>
      <w:proofErr w:type="spellStart"/>
      <w:r>
        <w:rPr>
          <w:rFonts w:ascii="Arial" w:hAnsi="Arial" w:cs="Arial"/>
          <w:sz w:val="24"/>
          <w:szCs w:val="24"/>
          <w:lang w:val="en-GB" w:eastAsia="en-GB"/>
        </w:rPr>
        <w:t>analyzed</w:t>
      </w:r>
      <w:proofErr w:type="spellEnd"/>
      <w:r>
        <w:rPr>
          <w:rFonts w:ascii="Arial" w:hAnsi="Arial" w:cs="Arial"/>
          <w:sz w:val="24"/>
          <w:szCs w:val="24"/>
          <w:lang w:val="en-GB" w:eastAsia="en-GB"/>
        </w:rPr>
        <w:t xml:space="preserve"> using a 2-sided Fisher’s exact test. The time to first use of rescue medication was </w:t>
      </w:r>
      <w:proofErr w:type="spellStart"/>
      <w:r>
        <w:rPr>
          <w:rFonts w:ascii="Arial" w:hAnsi="Arial" w:cs="Arial"/>
          <w:sz w:val="24"/>
          <w:szCs w:val="24"/>
          <w:lang w:val="en-GB" w:eastAsia="en-GB"/>
        </w:rPr>
        <w:t>analyzed</w:t>
      </w:r>
      <w:proofErr w:type="spellEnd"/>
      <w:r>
        <w:rPr>
          <w:rFonts w:ascii="Arial" w:hAnsi="Arial" w:cs="Arial"/>
          <w:sz w:val="24"/>
          <w:szCs w:val="24"/>
          <w:lang w:val="en-GB" w:eastAsia="en-GB"/>
        </w:rPr>
        <w:t xml:space="preserve"> using the log-rank test. Analysis of number of days without rescue medication was carried out using ANOVA with unadjusted </w:t>
      </w:r>
      <w:r>
        <w:rPr>
          <w:rFonts w:ascii="Arial" w:hAnsi="Arial" w:cs="Arial"/>
          <w:i/>
          <w:sz w:val="24"/>
          <w:szCs w:val="24"/>
          <w:lang w:val="en-GB" w:eastAsia="en-GB"/>
        </w:rPr>
        <w:t>P</w:t>
      </w:r>
      <w:r>
        <w:rPr>
          <w:rFonts w:ascii="Arial" w:hAnsi="Arial" w:cs="Arial"/>
          <w:sz w:val="24"/>
          <w:szCs w:val="24"/>
          <w:lang w:val="en-GB" w:eastAsia="en-GB"/>
        </w:rPr>
        <w:t xml:space="preserve">-values. PGE was </w:t>
      </w:r>
      <w:proofErr w:type="spellStart"/>
      <w:r>
        <w:rPr>
          <w:rFonts w:ascii="Arial" w:hAnsi="Arial" w:cs="Arial"/>
          <w:sz w:val="24"/>
          <w:szCs w:val="24"/>
          <w:lang w:val="en-GB" w:eastAsia="en-GB"/>
        </w:rPr>
        <w:t>analyzed</w:t>
      </w:r>
      <w:proofErr w:type="spellEnd"/>
      <w:r>
        <w:rPr>
          <w:rFonts w:ascii="Arial" w:hAnsi="Arial" w:cs="Arial"/>
          <w:sz w:val="24"/>
          <w:szCs w:val="24"/>
          <w:lang w:val="en-GB" w:eastAsia="en-GB"/>
        </w:rPr>
        <w:t xml:space="preserve"> using Fisher’s exact test for categorical response, and a mixed-model, repeated-measures analysis with model terms for treatment group, study day, and treatment-by-day interaction.</w:t>
      </w:r>
    </w:p>
    <w:p w:rsidR="00040D73" w:rsidRDefault="00040D73" w:rsidP="00040D73"/>
    <w:p w:rsidR="00040D73" w:rsidRDefault="00040D73">
      <w:pPr>
        <w:spacing w:after="160" w:line="259" w:lineRule="auto"/>
      </w:pPr>
      <w:r>
        <w:br w:type="page"/>
      </w:r>
    </w:p>
    <w:p w:rsidR="00040D73" w:rsidRDefault="00040D73" w:rsidP="00040D73">
      <w:pPr>
        <w:spacing w:after="0" w:line="480" w:lineRule="auto"/>
        <w:rPr>
          <w:rFonts w:ascii="Arial" w:hAnsi="Arial" w:cs="Arial"/>
          <w:sz w:val="24"/>
          <w:szCs w:val="24"/>
        </w:rPr>
      </w:pPr>
      <w:r>
        <w:rPr>
          <w:rFonts w:ascii="Arial" w:hAnsi="Arial" w:cs="Arial"/>
          <w:b/>
          <w:sz w:val="24"/>
          <w:szCs w:val="24"/>
        </w:rPr>
        <w:lastRenderedPageBreak/>
        <w:t>Appendix Text 7.</w:t>
      </w:r>
      <w:r>
        <w:rPr>
          <w:rFonts w:ascii="Arial" w:hAnsi="Arial" w:cs="Arial"/>
          <w:sz w:val="24"/>
          <w:szCs w:val="24"/>
        </w:rPr>
        <w:t xml:space="preserve"> </w:t>
      </w:r>
      <w:r>
        <w:t xml:space="preserve"> </w:t>
      </w:r>
      <w:r>
        <w:rPr>
          <w:rFonts w:ascii="Arial" w:hAnsi="Arial" w:cs="Arial"/>
          <w:sz w:val="24"/>
          <w:szCs w:val="24"/>
        </w:rPr>
        <w:t xml:space="preserve">The patient who was reported to have </w:t>
      </w:r>
      <w:proofErr w:type="spellStart"/>
      <w:r>
        <w:rPr>
          <w:rFonts w:ascii="Arial" w:hAnsi="Arial" w:cs="Arial"/>
          <w:sz w:val="24"/>
          <w:szCs w:val="24"/>
        </w:rPr>
        <w:t>pseudoseizures</w:t>
      </w:r>
      <w:proofErr w:type="spellEnd"/>
      <w:r>
        <w:rPr>
          <w:rFonts w:ascii="Arial" w:hAnsi="Arial" w:cs="Arial"/>
          <w:sz w:val="24"/>
          <w:szCs w:val="24"/>
        </w:rPr>
        <w:t xml:space="preserve"> was a 24-year-old female with a history of </w:t>
      </w:r>
      <w:proofErr w:type="spellStart"/>
      <w:r>
        <w:rPr>
          <w:rFonts w:ascii="Arial" w:hAnsi="Arial" w:cs="Arial"/>
          <w:sz w:val="24"/>
          <w:szCs w:val="24"/>
        </w:rPr>
        <w:t>pseudoseizure</w:t>
      </w:r>
      <w:proofErr w:type="spellEnd"/>
      <w:r>
        <w:rPr>
          <w:rFonts w:ascii="Arial" w:hAnsi="Arial" w:cs="Arial"/>
          <w:sz w:val="24"/>
          <w:szCs w:val="24"/>
        </w:rPr>
        <w:t xml:space="preserve"> and head injury who exhibited 2 serious adverse events of seizure-like activity reported on study Days 113 and 127. On both occasions, the patient was hospitalized after presenting with seizure-like activity which persisted despite treatment with anticonvulsants in the emergency room. Inpatient work-up included computed tomography and magnetic resonance imaging scans following the first event, which were normal, and laboratory tests that were generally normal. An electroencephalogram (EEG) revealed a normal, mostly asleep, EEG and no epileptiform activity was seen. During the hospitalization, the patient was evaluated by psychiatric and neurologic staff. Continuous video EEG monitoring, which is the gold standard for diagnosis of </w:t>
      </w:r>
      <w:proofErr w:type="spellStart"/>
      <w:r>
        <w:rPr>
          <w:rFonts w:ascii="Arial" w:hAnsi="Arial" w:cs="Arial"/>
          <w:sz w:val="24"/>
          <w:szCs w:val="24"/>
        </w:rPr>
        <w:t>pseudoseizure</w:t>
      </w:r>
      <w:proofErr w:type="spellEnd"/>
      <w:r>
        <w:rPr>
          <w:rFonts w:ascii="Arial" w:hAnsi="Arial" w:cs="Arial"/>
          <w:sz w:val="24"/>
          <w:szCs w:val="24"/>
        </w:rPr>
        <w:t xml:space="preserve">, was not performed. However, following review of the information in the case, the investigator considered the patient to have </w:t>
      </w:r>
      <w:proofErr w:type="spellStart"/>
      <w:r>
        <w:rPr>
          <w:rFonts w:ascii="Arial" w:hAnsi="Arial" w:cs="Arial"/>
          <w:sz w:val="24"/>
          <w:szCs w:val="24"/>
        </w:rPr>
        <w:t>pseudoseizures</w:t>
      </w:r>
      <w:proofErr w:type="spellEnd"/>
      <w:r>
        <w:rPr>
          <w:rFonts w:ascii="Arial" w:hAnsi="Arial" w:cs="Arial"/>
          <w:sz w:val="24"/>
          <w:szCs w:val="24"/>
        </w:rPr>
        <w:t xml:space="preserve"> rather than a seizure disorder.</w:t>
      </w:r>
    </w:p>
    <w:p w:rsidR="00040D73" w:rsidRDefault="00040D73" w:rsidP="00040D73">
      <w:pPr>
        <w:spacing w:after="0" w:line="480" w:lineRule="auto"/>
        <w:ind w:firstLine="720"/>
        <w:rPr>
          <w:rFonts w:ascii="Arial" w:hAnsi="Arial" w:cs="Arial"/>
          <w:sz w:val="24"/>
          <w:szCs w:val="24"/>
        </w:rPr>
      </w:pPr>
      <w:r>
        <w:rPr>
          <w:rFonts w:ascii="Arial" w:hAnsi="Arial" w:cs="Arial"/>
          <w:sz w:val="24"/>
          <w:szCs w:val="24"/>
        </w:rPr>
        <w:t>There were no deaths. No clinically significant changes in vital signs or ECG parameters were noted between tanezumab and placebo-treated patients in either study. HVLT-R showed no notable mean changes from baseline in any treatment group and no notable differences between the tanezumab and placebo.</w:t>
      </w:r>
    </w:p>
    <w:p w:rsidR="00040D73" w:rsidRDefault="00040D73" w:rsidP="00040D73">
      <w:pPr>
        <w:spacing w:after="0" w:line="480" w:lineRule="auto"/>
        <w:rPr>
          <w:rFonts w:ascii="Arial" w:hAnsi="Arial" w:cs="Arial"/>
          <w:sz w:val="24"/>
          <w:szCs w:val="24"/>
        </w:rPr>
      </w:pPr>
    </w:p>
    <w:p w:rsidR="00040D73" w:rsidRDefault="00040D73">
      <w:pPr>
        <w:spacing w:after="160" w:line="259" w:lineRule="auto"/>
      </w:pPr>
      <w:r>
        <w:br w:type="page"/>
      </w:r>
    </w:p>
    <w:p w:rsidR="00040D73" w:rsidRDefault="00040D73" w:rsidP="00040D73">
      <w:pPr>
        <w:spacing w:after="0" w:line="480" w:lineRule="auto"/>
        <w:contextualSpacing/>
        <w:rPr>
          <w:rFonts w:ascii="Arial" w:hAnsi="Arial" w:cs="Arial"/>
          <w:sz w:val="24"/>
          <w:szCs w:val="24"/>
        </w:rPr>
      </w:pPr>
      <w:r>
        <w:rPr>
          <w:rFonts w:ascii="Arial" w:hAnsi="Arial" w:cs="Arial"/>
          <w:b/>
          <w:sz w:val="24"/>
          <w:szCs w:val="24"/>
        </w:rPr>
        <w:lastRenderedPageBreak/>
        <w:t>Appendix Text 8.</w:t>
      </w:r>
      <w:r>
        <w:rPr>
          <w:rFonts w:ascii="Arial" w:hAnsi="Arial" w:cs="Arial"/>
          <w:sz w:val="24"/>
          <w:szCs w:val="24"/>
        </w:rPr>
        <w:t xml:space="preserve"> Occurrence of adverse events of abnormal peripheral sensation appeared to be dose-dependent since none of these adverse events were reported by any patients receiving the lowest tanezumab doses (≤30 µg/kg) and were more frequently seen with the 2 highest doses (≥300 µg/kg). Most adverse events of abnormal peripheral sensation were initially reported within the first 2 weeks of the IV infusion, resolved by 4 weeks, and generally were mild or moderate in severity. None of the patients who reported adverse events of abnormal peripheral sensation had objective evidence of sensory loss on neurological examination. In Study CL001, 3 patients in the tanezumab 300-μg/kg group and 1 patient in the placebo group reported peripheral neuropathy; only 1 patient (from the tanezumab 300-μg/kg group) was documented as experiencing an adverse event of peripheral neuropathy (</w:t>
      </w:r>
      <w:r>
        <w:rPr>
          <w:rFonts w:ascii="Arial" w:hAnsi="Arial" w:cs="Arial"/>
          <w:b/>
          <w:sz w:val="24"/>
          <w:szCs w:val="24"/>
        </w:rPr>
        <w:t>Appendix Table 2</w:t>
      </w:r>
      <w:r>
        <w:rPr>
          <w:rFonts w:ascii="Arial" w:hAnsi="Arial" w:cs="Arial"/>
          <w:sz w:val="24"/>
          <w:szCs w:val="24"/>
        </w:rPr>
        <w:t>). At study day 91, the investigator noted that this patient had “decreased pinprick discrimination in L-4/L-5 distribution, missed approximately 40% of sharp/dull discriminant, decreased pinprick to left hand missed approximately 50% of sharp/dull discriminants”; this abnormality was noted to be Grade 1 according to the National Cancer Institute common terminology criteria for adverse events (NCI CTCAE). This case was documented as a mild-intensity adverse event, which was considered related to the study drug, and from which the patient recovered. Subsequent neurological examinations noted no abnormalities. The 2 other patients from the tanezumab 300-μg/kg group had “decreased sensation of right lateral foot, grade 1 and mild weakness of right peroneal muscles” (in 1 patient) and “right foot sensation (sharp/dull) below baseline.” The investigator reported</w:t>
      </w:r>
      <w:r>
        <w:rPr>
          <w:rFonts w:ascii="Arial" w:hAnsi="Arial" w:cs="Arial"/>
          <w:color w:val="000000"/>
          <w:sz w:val="24"/>
          <w:szCs w:val="24"/>
        </w:rPr>
        <w:t xml:space="preserve"> “</w:t>
      </w:r>
      <w:r>
        <w:rPr>
          <w:rFonts w:ascii="Arial" w:hAnsi="Arial" w:cs="Arial"/>
          <w:sz w:val="24"/>
          <w:szCs w:val="24"/>
        </w:rPr>
        <w:t xml:space="preserve">vibratory and sharp/dull sensation below baseline” </w:t>
      </w:r>
      <w:r>
        <w:rPr>
          <w:rFonts w:ascii="Arial" w:hAnsi="Arial" w:cs="Arial"/>
          <w:sz w:val="24"/>
          <w:szCs w:val="24"/>
        </w:rPr>
        <w:lastRenderedPageBreak/>
        <w:t>in the placebo patient. The abnormalities in these 3 patients were noted to be NCI CTCAE Grade 1 and all subsequent neurological examinations were normal.</w:t>
      </w:r>
    </w:p>
    <w:p w:rsidR="00040D73" w:rsidRDefault="00040D73" w:rsidP="00040D73">
      <w:pPr>
        <w:spacing w:after="0" w:line="480" w:lineRule="auto"/>
        <w:ind w:firstLine="720"/>
        <w:contextualSpacing/>
        <w:rPr>
          <w:rFonts w:ascii="Arial" w:hAnsi="Arial" w:cs="Arial"/>
          <w:sz w:val="24"/>
          <w:szCs w:val="24"/>
        </w:rPr>
      </w:pPr>
      <w:r>
        <w:rPr>
          <w:rFonts w:ascii="Arial" w:hAnsi="Arial" w:cs="Arial"/>
          <w:sz w:val="24"/>
          <w:szCs w:val="24"/>
        </w:rPr>
        <w:t>In Study CL002, 4 patients in the tanezumab 30-μg/kg, 100-μg/kg, and 1000-μg/kg groups had abnormal findings in their neurological examinations conducted at study visits. However, only 1 patient in the tanezumab 1000-μg/kg group developed persistent symptoms suggestive of peripheral neuropathy; no case was documented as an adverse event (</w:t>
      </w:r>
      <w:r>
        <w:rPr>
          <w:rFonts w:ascii="Arial" w:hAnsi="Arial" w:cs="Arial"/>
          <w:b/>
          <w:sz w:val="24"/>
          <w:szCs w:val="24"/>
        </w:rPr>
        <w:t>Appendix Table 3</w:t>
      </w:r>
      <w:r>
        <w:rPr>
          <w:rFonts w:ascii="Arial" w:hAnsi="Arial" w:cs="Arial"/>
          <w:sz w:val="24"/>
          <w:szCs w:val="24"/>
        </w:rPr>
        <w:t xml:space="preserve">). </w:t>
      </w:r>
    </w:p>
    <w:p w:rsidR="00040D73" w:rsidRDefault="00040D73" w:rsidP="00040D73">
      <w:pPr>
        <w:spacing w:after="0" w:line="480" w:lineRule="auto"/>
        <w:ind w:firstLine="720"/>
        <w:contextualSpacing/>
        <w:rPr>
          <w:rFonts w:ascii="Arial" w:hAnsi="Arial" w:cs="Arial"/>
          <w:sz w:val="24"/>
          <w:szCs w:val="24"/>
        </w:rPr>
      </w:pPr>
      <w:r>
        <w:rPr>
          <w:rFonts w:ascii="Arial" w:hAnsi="Arial" w:cs="Arial"/>
          <w:sz w:val="24"/>
          <w:szCs w:val="24"/>
        </w:rPr>
        <w:t>Among patients who received tanezumab 1000 µg/kg, 2 of 6 patients in Study CL001 and 5 of 8 patients in Study CL002 reported a dysesthesia-like adverse event. In addition, 1 patient receiving tanezumab 100 µg/kg in Study CL001 reported dysesthesia. All cases were judged related to study drug by the investigators, and no patients receiving placebo reported any dysesthesia-like adverse event at that time. No patients in Study CL001 had objective evidence of sensory loss on neurological examination, and the investigators stated that peripheral neuropathy had not been present in these or any other patients. However, it was considered that these subjective sensations could have been interpreted as neuropathic in quality. Therefore, a decision was made to halt the dose escalation at 1000 µg/kg and remove a planned tanezumab 2000-µg/kg tanezumab cohort in CL001.</w:t>
      </w:r>
    </w:p>
    <w:p w:rsidR="00040D73" w:rsidRDefault="00040D73" w:rsidP="00040D73">
      <w:pPr>
        <w:spacing w:after="0" w:line="480" w:lineRule="auto"/>
        <w:ind w:firstLine="720"/>
        <w:contextualSpacing/>
      </w:pPr>
      <w:r>
        <w:rPr>
          <w:rFonts w:ascii="Arial" w:hAnsi="Arial" w:cs="Arial"/>
          <w:sz w:val="24"/>
          <w:szCs w:val="24"/>
        </w:rPr>
        <w:t xml:space="preserve">In Study CL002, wound healing following bunionectomy surgery was evaluated by a podiatrist using a wound-healing scale on Day 12 and a postoperative radiograph of the affected foot on Day 49 ± 7 days; all patients healed normally. Two patients treated with tanezumab (1 who received tanezumab 30 </w:t>
      </w:r>
      <w:proofErr w:type="spellStart"/>
      <w:r>
        <w:rPr>
          <w:rFonts w:ascii="Arial" w:hAnsi="Arial" w:cs="Arial"/>
          <w:sz w:val="24"/>
          <w:szCs w:val="24"/>
        </w:rPr>
        <w:t>μg</w:t>
      </w:r>
      <w:proofErr w:type="spellEnd"/>
      <w:r>
        <w:rPr>
          <w:rFonts w:ascii="Arial" w:hAnsi="Arial" w:cs="Arial"/>
          <w:sz w:val="24"/>
          <w:szCs w:val="24"/>
        </w:rPr>
        <w:t xml:space="preserve">/kg and 1 in the tanezumab </w:t>
      </w:r>
      <w:r>
        <w:rPr>
          <w:rFonts w:ascii="Arial" w:hAnsi="Arial" w:cs="Arial"/>
          <w:sz w:val="24"/>
          <w:szCs w:val="24"/>
        </w:rPr>
        <w:lastRenderedPageBreak/>
        <w:t>300-μg/kg group) had serosanguinous discharge at Day 12. Although the sample size is small, these results suggest that tanezumab did not affect wound healing after surgery.</w:t>
      </w:r>
    </w:p>
    <w:p w:rsidR="00040D73" w:rsidRDefault="00040D73">
      <w:pPr>
        <w:spacing w:after="160" w:line="259" w:lineRule="auto"/>
      </w:pPr>
      <w:r>
        <w:br w:type="page"/>
      </w:r>
    </w:p>
    <w:p w:rsidR="0064605E" w:rsidRDefault="0064605E" w:rsidP="0064605E">
      <w:pPr>
        <w:spacing w:after="0" w:line="480" w:lineRule="auto"/>
        <w:contextualSpacing/>
        <w:rPr>
          <w:rFonts w:ascii="Arial" w:hAnsi="Arial" w:cs="Arial"/>
          <w:b/>
          <w:sz w:val="24"/>
          <w:szCs w:val="24"/>
        </w:rPr>
        <w:sectPr w:rsidR="0064605E">
          <w:pgSz w:w="12240" w:h="15840"/>
          <w:pgMar w:top="1440" w:right="1440" w:bottom="1440" w:left="1440" w:header="720" w:footer="720" w:gutter="0"/>
          <w:cols w:space="720"/>
          <w:docGrid w:linePitch="360"/>
        </w:sectPr>
      </w:pPr>
    </w:p>
    <w:p w:rsidR="0064605E" w:rsidRPr="007D67EF" w:rsidRDefault="0064605E" w:rsidP="0064605E">
      <w:pPr>
        <w:spacing w:after="0" w:line="480" w:lineRule="auto"/>
        <w:contextualSpacing/>
        <w:rPr>
          <w:rFonts w:ascii="Arial" w:hAnsi="Arial" w:cs="Arial"/>
          <w:b/>
        </w:rPr>
      </w:pPr>
      <w:r w:rsidRPr="00755A1E">
        <w:rPr>
          <w:rFonts w:ascii="Arial" w:hAnsi="Arial" w:cs="Arial"/>
          <w:b/>
          <w:sz w:val="24"/>
          <w:szCs w:val="24"/>
        </w:rPr>
        <w:lastRenderedPageBreak/>
        <w:t>Supplementa</w:t>
      </w:r>
      <w:r>
        <w:rPr>
          <w:rFonts w:ascii="Arial" w:hAnsi="Arial" w:cs="Arial"/>
          <w:b/>
          <w:sz w:val="24"/>
          <w:szCs w:val="24"/>
        </w:rPr>
        <w:t>ry</w:t>
      </w:r>
      <w:r w:rsidRPr="00C524DE">
        <w:rPr>
          <w:rFonts w:ascii="Arial" w:hAnsi="Arial" w:cs="Arial"/>
          <w:b/>
          <w:sz w:val="24"/>
          <w:szCs w:val="24"/>
        </w:rPr>
        <w:t xml:space="preserve"> </w:t>
      </w:r>
      <w:r>
        <w:rPr>
          <w:rFonts w:ascii="Arial" w:hAnsi="Arial" w:cs="Arial"/>
          <w:b/>
          <w:sz w:val="24"/>
          <w:szCs w:val="24"/>
        </w:rPr>
        <w:t>Table</w:t>
      </w:r>
      <w:r w:rsidRPr="0037645F">
        <w:rPr>
          <w:rFonts w:ascii="Arial" w:hAnsi="Arial" w:cs="Arial"/>
          <w:b/>
          <w:sz w:val="24"/>
          <w:szCs w:val="24"/>
        </w:rPr>
        <w:t xml:space="preserve"> </w:t>
      </w:r>
      <w:r w:rsidRPr="007D67EF">
        <w:rPr>
          <w:rFonts w:ascii="Arial" w:hAnsi="Arial" w:cs="Arial"/>
          <w:b/>
          <w:sz w:val="24"/>
          <w:szCs w:val="24"/>
        </w:rPr>
        <w:t>1.</w:t>
      </w:r>
      <w:r w:rsidRPr="007D67EF">
        <w:rPr>
          <w:rFonts w:ascii="Arial" w:hAnsi="Arial" w:cs="Arial"/>
          <w:b/>
        </w:rPr>
        <w:t xml:space="preserve"> </w:t>
      </w:r>
      <w:r w:rsidRPr="001611CB">
        <w:rPr>
          <w:rFonts w:ascii="Arial" w:hAnsi="Arial" w:cs="Arial"/>
          <w:sz w:val="24"/>
          <w:szCs w:val="24"/>
        </w:rPr>
        <w:t>Treatment-emergent a</w:t>
      </w:r>
      <w:r w:rsidRPr="00755A1E">
        <w:rPr>
          <w:rFonts w:ascii="Arial" w:hAnsi="Arial" w:cs="Arial"/>
          <w:sz w:val="24"/>
          <w:szCs w:val="24"/>
        </w:rPr>
        <w:t>dverse events in Study CL001, Part 1, following administration of a single dose of tanezumab.</w:t>
      </w:r>
    </w:p>
    <w:tbl>
      <w:tblPr>
        <w:tblW w:w="1441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08"/>
        <w:gridCol w:w="1568"/>
        <w:gridCol w:w="1569"/>
        <w:gridCol w:w="1568"/>
        <w:gridCol w:w="1569"/>
        <w:gridCol w:w="1568"/>
        <w:gridCol w:w="1569"/>
        <w:gridCol w:w="1299"/>
      </w:tblGrid>
      <w:tr w:rsidR="0064605E" w:rsidRPr="007D67EF" w:rsidTr="0064605E">
        <w:tc>
          <w:tcPr>
            <w:tcW w:w="3708" w:type="dxa"/>
            <w:tcBorders>
              <w:bottom w:val="single" w:sz="4" w:space="0" w:color="auto"/>
              <w:right w:val="nil"/>
            </w:tcBorders>
            <w:shd w:val="clear" w:color="auto" w:fill="D9D9D9"/>
          </w:tcPr>
          <w:p w:rsidR="0064605E" w:rsidRPr="001611CB" w:rsidRDefault="0064605E" w:rsidP="0064605E">
            <w:pPr>
              <w:spacing w:after="0" w:line="240" w:lineRule="auto"/>
              <w:rPr>
                <w:rFonts w:ascii="Arial" w:hAnsi="Arial" w:cs="Arial"/>
              </w:rPr>
            </w:pPr>
          </w:p>
        </w:tc>
        <w:tc>
          <w:tcPr>
            <w:tcW w:w="1568" w:type="dxa"/>
            <w:tcBorders>
              <w:left w:val="nil"/>
              <w:bottom w:val="single" w:sz="4" w:space="0" w:color="auto"/>
              <w:right w:val="nil"/>
            </w:tcBorders>
            <w:shd w:val="clear" w:color="auto" w:fill="D9D9D9"/>
          </w:tcPr>
          <w:p w:rsidR="0064605E" w:rsidRPr="00755A1E" w:rsidRDefault="0064605E" w:rsidP="0064605E">
            <w:pPr>
              <w:spacing w:after="0" w:line="240" w:lineRule="auto"/>
              <w:jc w:val="center"/>
              <w:rPr>
                <w:rFonts w:ascii="Arial" w:hAnsi="Arial" w:cs="Arial"/>
              </w:rPr>
            </w:pPr>
            <w:r w:rsidRPr="00755A1E">
              <w:rPr>
                <w:rFonts w:ascii="Arial" w:eastAsia="Times New Roman" w:hAnsi="Arial" w:cs="Arial"/>
                <w:sz w:val="20"/>
                <w:szCs w:val="20"/>
              </w:rPr>
              <w:t>Tanezumab</w:t>
            </w:r>
            <w:bookmarkStart w:id="2" w:name="_GoBack"/>
            <w:bookmarkEnd w:id="2"/>
          </w:p>
          <w:p w:rsidR="0064605E" w:rsidRPr="00C524DE" w:rsidRDefault="0064605E" w:rsidP="0064605E">
            <w:pPr>
              <w:spacing w:after="0" w:line="240" w:lineRule="auto"/>
              <w:jc w:val="center"/>
              <w:rPr>
                <w:rFonts w:ascii="Arial" w:hAnsi="Arial" w:cs="Arial"/>
              </w:rPr>
            </w:pPr>
            <w:r w:rsidRPr="00C524DE">
              <w:rPr>
                <w:rFonts w:ascii="Arial" w:eastAsia="Times New Roman" w:hAnsi="Arial" w:cs="Arial"/>
                <w:sz w:val="20"/>
                <w:szCs w:val="20"/>
              </w:rPr>
              <w:t>3 µg/kg</w:t>
            </w:r>
          </w:p>
          <w:p w:rsidR="0064605E" w:rsidRPr="00DA17D9" w:rsidRDefault="0064605E" w:rsidP="0064605E">
            <w:pPr>
              <w:spacing w:after="0" w:line="240" w:lineRule="auto"/>
              <w:jc w:val="center"/>
              <w:rPr>
                <w:rFonts w:ascii="Arial" w:hAnsi="Arial" w:cs="Arial"/>
              </w:rPr>
            </w:pPr>
            <w:r w:rsidRPr="0037645F">
              <w:rPr>
                <w:rFonts w:ascii="Arial" w:eastAsia="Times New Roman" w:hAnsi="Arial" w:cs="Arial"/>
                <w:sz w:val="20"/>
                <w:szCs w:val="20"/>
              </w:rPr>
              <w:t>(</w:t>
            </w:r>
            <w:r w:rsidRPr="00582627">
              <w:rPr>
                <w:rFonts w:ascii="Arial" w:eastAsia="Times New Roman" w:hAnsi="Arial" w:cs="Arial"/>
                <w:i/>
                <w:sz w:val="20"/>
                <w:szCs w:val="20"/>
              </w:rPr>
              <w:t>n</w:t>
            </w:r>
            <w:r w:rsidRPr="00B37757">
              <w:rPr>
                <w:rFonts w:ascii="Arial" w:eastAsia="Times New Roman" w:hAnsi="Arial" w:cs="Arial"/>
                <w:sz w:val="20"/>
                <w:szCs w:val="20"/>
              </w:rPr>
              <w:t xml:space="preserve"> = </w:t>
            </w:r>
            <w:r w:rsidRPr="00DA17D9">
              <w:rPr>
                <w:rFonts w:ascii="Arial" w:eastAsia="Times New Roman" w:hAnsi="Arial" w:cs="Arial"/>
                <w:sz w:val="20"/>
                <w:szCs w:val="20"/>
              </w:rPr>
              <w:t>4)</w:t>
            </w:r>
          </w:p>
        </w:tc>
        <w:tc>
          <w:tcPr>
            <w:tcW w:w="1569" w:type="dxa"/>
            <w:tcBorders>
              <w:left w:val="nil"/>
              <w:bottom w:val="single" w:sz="4" w:space="0" w:color="auto"/>
              <w:right w:val="nil"/>
            </w:tcBorders>
            <w:shd w:val="clear" w:color="auto" w:fill="D9D9D9"/>
          </w:tcPr>
          <w:p w:rsidR="0064605E" w:rsidRPr="00B07342" w:rsidRDefault="0064605E" w:rsidP="0064605E">
            <w:pPr>
              <w:spacing w:after="0" w:line="240" w:lineRule="auto"/>
              <w:jc w:val="center"/>
              <w:rPr>
                <w:rFonts w:ascii="Arial" w:hAnsi="Arial" w:cs="Arial"/>
              </w:rPr>
            </w:pPr>
            <w:r w:rsidRPr="00B926E7">
              <w:rPr>
                <w:rFonts w:ascii="Arial" w:eastAsia="Times New Roman" w:hAnsi="Arial" w:cs="Arial"/>
                <w:sz w:val="20"/>
                <w:szCs w:val="20"/>
              </w:rPr>
              <w:t>Tanezumab</w:t>
            </w:r>
          </w:p>
          <w:p w:rsidR="0064605E" w:rsidRPr="00B07342" w:rsidRDefault="0064605E" w:rsidP="0064605E">
            <w:pPr>
              <w:spacing w:after="0" w:line="240" w:lineRule="auto"/>
              <w:jc w:val="center"/>
              <w:rPr>
                <w:rFonts w:ascii="Arial" w:hAnsi="Arial" w:cs="Arial"/>
              </w:rPr>
            </w:pPr>
            <w:r w:rsidRPr="00B07342">
              <w:rPr>
                <w:rFonts w:ascii="Arial" w:eastAsia="Times New Roman" w:hAnsi="Arial" w:cs="Arial"/>
                <w:sz w:val="20"/>
                <w:szCs w:val="20"/>
              </w:rPr>
              <w:t>10 µg/kg</w:t>
            </w:r>
          </w:p>
          <w:p w:rsidR="0064605E" w:rsidRPr="00DE51B9" w:rsidRDefault="0064605E" w:rsidP="0064605E">
            <w:pPr>
              <w:spacing w:after="0" w:line="240" w:lineRule="auto"/>
              <w:jc w:val="center"/>
              <w:rPr>
                <w:rFonts w:ascii="Arial" w:hAnsi="Arial" w:cs="Arial"/>
              </w:rPr>
            </w:pPr>
            <w:r w:rsidRPr="00250B92">
              <w:rPr>
                <w:rFonts w:ascii="Arial" w:eastAsia="Times New Roman" w:hAnsi="Arial" w:cs="Arial"/>
                <w:sz w:val="20"/>
                <w:szCs w:val="20"/>
              </w:rPr>
              <w:t>(</w:t>
            </w:r>
            <w:r w:rsidRPr="00250B92">
              <w:rPr>
                <w:rFonts w:ascii="Arial" w:eastAsia="Times New Roman" w:hAnsi="Arial" w:cs="Arial"/>
                <w:i/>
                <w:sz w:val="20"/>
                <w:szCs w:val="20"/>
              </w:rPr>
              <w:t>n</w:t>
            </w:r>
            <w:r w:rsidRPr="00F14600">
              <w:rPr>
                <w:rFonts w:ascii="Arial" w:eastAsia="Times New Roman" w:hAnsi="Arial" w:cs="Arial"/>
                <w:sz w:val="20"/>
                <w:szCs w:val="20"/>
              </w:rPr>
              <w:t xml:space="preserve"> </w:t>
            </w:r>
            <w:r w:rsidRPr="0014738F">
              <w:rPr>
                <w:rFonts w:ascii="Arial" w:eastAsia="Times New Roman" w:hAnsi="Arial" w:cs="Arial"/>
                <w:sz w:val="20"/>
                <w:szCs w:val="20"/>
              </w:rPr>
              <w:t xml:space="preserve">= </w:t>
            </w:r>
            <w:r w:rsidRPr="00F80C3B">
              <w:rPr>
                <w:rFonts w:ascii="Arial" w:eastAsia="Times New Roman" w:hAnsi="Arial" w:cs="Arial"/>
                <w:sz w:val="20"/>
                <w:szCs w:val="20"/>
              </w:rPr>
              <w:t>4)</w:t>
            </w:r>
          </w:p>
        </w:tc>
        <w:tc>
          <w:tcPr>
            <w:tcW w:w="1568" w:type="dxa"/>
            <w:tcBorders>
              <w:left w:val="nil"/>
              <w:bottom w:val="single" w:sz="4" w:space="0" w:color="auto"/>
              <w:right w:val="nil"/>
            </w:tcBorders>
            <w:shd w:val="clear" w:color="auto" w:fill="D9D9D9"/>
          </w:tcPr>
          <w:p w:rsidR="0064605E" w:rsidRPr="000B1FE2" w:rsidRDefault="0064605E" w:rsidP="0064605E">
            <w:pPr>
              <w:spacing w:after="0" w:line="240" w:lineRule="auto"/>
              <w:jc w:val="center"/>
              <w:rPr>
                <w:rFonts w:ascii="Arial" w:hAnsi="Arial" w:cs="Arial"/>
              </w:rPr>
            </w:pPr>
            <w:r w:rsidRPr="000B1FE2">
              <w:rPr>
                <w:rFonts w:ascii="Arial" w:eastAsia="Times New Roman" w:hAnsi="Arial" w:cs="Arial"/>
                <w:sz w:val="20"/>
                <w:szCs w:val="20"/>
              </w:rPr>
              <w:t>Tanezumab</w:t>
            </w:r>
          </w:p>
          <w:p w:rsidR="0064605E" w:rsidRPr="00F12FEE" w:rsidRDefault="0064605E" w:rsidP="0064605E">
            <w:pPr>
              <w:spacing w:after="0" w:line="240" w:lineRule="auto"/>
              <w:jc w:val="center"/>
              <w:rPr>
                <w:rFonts w:ascii="Arial" w:hAnsi="Arial" w:cs="Arial"/>
              </w:rPr>
            </w:pPr>
            <w:r w:rsidRPr="00F12FEE">
              <w:rPr>
                <w:rFonts w:ascii="Arial" w:eastAsia="Times New Roman" w:hAnsi="Arial" w:cs="Arial"/>
                <w:sz w:val="20"/>
                <w:szCs w:val="20"/>
              </w:rPr>
              <w:t>30 µg/kg</w:t>
            </w:r>
          </w:p>
          <w:p w:rsidR="0064605E" w:rsidRPr="001A5951" w:rsidRDefault="0064605E" w:rsidP="0064605E">
            <w:pPr>
              <w:spacing w:after="0" w:line="240" w:lineRule="auto"/>
              <w:jc w:val="center"/>
              <w:rPr>
                <w:rFonts w:ascii="Arial" w:hAnsi="Arial" w:cs="Arial"/>
              </w:rPr>
            </w:pPr>
            <w:r w:rsidRPr="00F12FEE">
              <w:rPr>
                <w:rFonts w:ascii="Arial" w:eastAsia="Times New Roman" w:hAnsi="Arial" w:cs="Arial"/>
                <w:sz w:val="20"/>
                <w:szCs w:val="20"/>
              </w:rPr>
              <w:t>(</w:t>
            </w:r>
            <w:r w:rsidRPr="00F12FEE">
              <w:rPr>
                <w:rFonts w:ascii="Arial" w:eastAsia="Times New Roman" w:hAnsi="Arial" w:cs="Arial"/>
                <w:i/>
                <w:sz w:val="20"/>
                <w:szCs w:val="20"/>
              </w:rPr>
              <w:t>n</w:t>
            </w:r>
            <w:r w:rsidRPr="00F12FEE">
              <w:rPr>
                <w:rFonts w:ascii="Arial" w:eastAsia="Times New Roman" w:hAnsi="Arial" w:cs="Arial"/>
                <w:sz w:val="20"/>
                <w:szCs w:val="20"/>
              </w:rPr>
              <w:t xml:space="preserve"> </w:t>
            </w:r>
            <w:r w:rsidRPr="00836A51">
              <w:rPr>
                <w:rFonts w:ascii="Arial" w:eastAsia="Times New Roman" w:hAnsi="Arial" w:cs="Arial"/>
                <w:sz w:val="20"/>
                <w:szCs w:val="20"/>
              </w:rPr>
              <w:t xml:space="preserve">= </w:t>
            </w:r>
            <w:r w:rsidRPr="001A5951">
              <w:rPr>
                <w:rFonts w:ascii="Arial" w:eastAsia="Times New Roman" w:hAnsi="Arial" w:cs="Arial"/>
                <w:sz w:val="20"/>
                <w:szCs w:val="20"/>
              </w:rPr>
              <w:t>4)</w:t>
            </w:r>
          </w:p>
        </w:tc>
        <w:tc>
          <w:tcPr>
            <w:tcW w:w="1569" w:type="dxa"/>
            <w:tcBorders>
              <w:left w:val="nil"/>
              <w:bottom w:val="single" w:sz="4" w:space="0" w:color="auto"/>
              <w:right w:val="nil"/>
            </w:tcBorders>
            <w:shd w:val="clear" w:color="auto" w:fill="D9D9D9"/>
          </w:tcPr>
          <w:p w:rsidR="0064605E" w:rsidRPr="001A5951" w:rsidRDefault="0064605E" w:rsidP="0064605E">
            <w:pPr>
              <w:spacing w:after="0" w:line="240" w:lineRule="auto"/>
              <w:jc w:val="center"/>
              <w:rPr>
                <w:rFonts w:ascii="Arial" w:hAnsi="Arial" w:cs="Arial"/>
              </w:rPr>
            </w:pPr>
            <w:r w:rsidRPr="001A5951">
              <w:rPr>
                <w:rFonts w:ascii="Arial" w:eastAsia="Times New Roman" w:hAnsi="Arial" w:cs="Arial"/>
                <w:sz w:val="20"/>
                <w:szCs w:val="20"/>
              </w:rPr>
              <w:t>Tanezumab</w:t>
            </w:r>
          </w:p>
          <w:p w:rsidR="0064605E" w:rsidRPr="009F38DC" w:rsidRDefault="0064605E" w:rsidP="0064605E">
            <w:pPr>
              <w:spacing w:after="0" w:line="240" w:lineRule="auto"/>
              <w:jc w:val="center"/>
              <w:rPr>
                <w:rFonts w:ascii="Arial" w:hAnsi="Arial" w:cs="Arial"/>
              </w:rPr>
            </w:pPr>
            <w:r w:rsidRPr="009F38DC">
              <w:rPr>
                <w:rFonts w:ascii="Arial" w:eastAsia="Times New Roman" w:hAnsi="Arial" w:cs="Arial"/>
                <w:sz w:val="20"/>
                <w:szCs w:val="20"/>
              </w:rPr>
              <w:t>100 µg/kg</w:t>
            </w:r>
          </w:p>
          <w:p w:rsidR="0064605E" w:rsidRPr="00D14B30" w:rsidRDefault="0064605E" w:rsidP="0064605E">
            <w:pPr>
              <w:spacing w:after="0" w:line="240" w:lineRule="auto"/>
              <w:jc w:val="center"/>
              <w:rPr>
                <w:rFonts w:ascii="Arial" w:hAnsi="Arial" w:cs="Arial"/>
              </w:rPr>
            </w:pPr>
            <w:r w:rsidRPr="00E20964">
              <w:rPr>
                <w:rFonts w:ascii="Arial" w:eastAsia="Times New Roman" w:hAnsi="Arial" w:cs="Arial"/>
                <w:sz w:val="20"/>
                <w:szCs w:val="20"/>
              </w:rPr>
              <w:t>(</w:t>
            </w:r>
            <w:r w:rsidRPr="00E20964">
              <w:rPr>
                <w:rFonts w:ascii="Arial" w:eastAsia="Times New Roman" w:hAnsi="Arial" w:cs="Arial"/>
                <w:i/>
                <w:sz w:val="20"/>
                <w:szCs w:val="20"/>
              </w:rPr>
              <w:t>n</w:t>
            </w:r>
            <w:r w:rsidRPr="00E20964">
              <w:rPr>
                <w:rFonts w:ascii="Arial" w:eastAsia="Times New Roman" w:hAnsi="Arial" w:cs="Arial"/>
                <w:sz w:val="20"/>
                <w:szCs w:val="20"/>
              </w:rPr>
              <w:t xml:space="preserve"> </w:t>
            </w:r>
            <w:r w:rsidRPr="00824CB0">
              <w:rPr>
                <w:rFonts w:ascii="Arial" w:eastAsia="Times New Roman" w:hAnsi="Arial" w:cs="Arial"/>
                <w:sz w:val="20"/>
                <w:szCs w:val="20"/>
              </w:rPr>
              <w:t>=</w:t>
            </w:r>
            <w:r w:rsidRPr="009D788C">
              <w:rPr>
                <w:rFonts w:ascii="Arial" w:eastAsia="Times New Roman" w:hAnsi="Arial" w:cs="Arial"/>
                <w:sz w:val="20"/>
                <w:szCs w:val="20"/>
              </w:rPr>
              <w:t xml:space="preserve"> </w:t>
            </w:r>
            <w:r w:rsidRPr="00D14B30">
              <w:rPr>
                <w:rFonts w:ascii="Arial" w:eastAsia="Times New Roman" w:hAnsi="Arial" w:cs="Arial"/>
                <w:sz w:val="20"/>
                <w:szCs w:val="20"/>
              </w:rPr>
              <w:t>6)</w:t>
            </w:r>
          </w:p>
        </w:tc>
        <w:tc>
          <w:tcPr>
            <w:tcW w:w="1568" w:type="dxa"/>
            <w:tcBorders>
              <w:left w:val="nil"/>
              <w:bottom w:val="single" w:sz="4" w:space="0" w:color="auto"/>
              <w:right w:val="nil"/>
            </w:tcBorders>
            <w:shd w:val="clear" w:color="auto" w:fill="D9D9D9"/>
          </w:tcPr>
          <w:p w:rsidR="0064605E" w:rsidRPr="007E05C6" w:rsidRDefault="0064605E" w:rsidP="0064605E">
            <w:pPr>
              <w:spacing w:after="0" w:line="240" w:lineRule="auto"/>
              <w:jc w:val="center"/>
              <w:rPr>
                <w:rFonts w:ascii="Arial" w:hAnsi="Arial" w:cs="Arial"/>
              </w:rPr>
            </w:pPr>
            <w:r w:rsidRPr="00D14B30">
              <w:rPr>
                <w:rFonts w:ascii="Arial" w:eastAsia="Times New Roman" w:hAnsi="Arial" w:cs="Arial"/>
                <w:sz w:val="20"/>
                <w:szCs w:val="20"/>
              </w:rPr>
              <w:t>Tanezumab</w:t>
            </w:r>
          </w:p>
          <w:p w:rsidR="0064605E" w:rsidRPr="007E05C6" w:rsidRDefault="0064605E" w:rsidP="0064605E">
            <w:pPr>
              <w:spacing w:after="0" w:line="240" w:lineRule="auto"/>
              <w:jc w:val="center"/>
              <w:rPr>
                <w:rFonts w:ascii="Arial" w:hAnsi="Arial" w:cs="Arial"/>
              </w:rPr>
            </w:pPr>
            <w:r w:rsidRPr="007E05C6">
              <w:rPr>
                <w:rFonts w:ascii="Arial" w:eastAsia="Times New Roman" w:hAnsi="Arial" w:cs="Arial"/>
                <w:sz w:val="20"/>
                <w:szCs w:val="20"/>
              </w:rPr>
              <w:t>300 µg/kg</w:t>
            </w:r>
          </w:p>
          <w:p w:rsidR="0064605E" w:rsidRPr="006057DA" w:rsidRDefault="0064605E" w:rsidP="0064605E">
            <w:pPr>
              <w:spacing w:after="0" w:line="240" w:lineRule="auto"/>
              <w:jc w:val="center"/>
              <w:rPr>
                <w:rFonts w:ascii="Arial" w:hAnsi="Arial" w:cs="Arial"/>
              </w:rPr>
            </w:pPr>
            <w:r w:rsidRPr="007E19B0">
              <w:rPr>
                <w:rFonts w:ascii="Arial" w:eastAsia="Times New Roman" w:hAnsi="Arial" w:cs="Arial"/>
                <w:sz w:val="20"/>
                <w:szCs w:val="20"/>
              </w:rPr>
              <w:t>(</w:t>
            </w:r>
            <w:r w:rsidRPr="007E19B0">
              <w:rPr>
                <w:rFonts w:ascii="Arial" w:eastAsia="Times New Roman" w:hAnsi="Arial" w:cs="Arial"/>
                <w:i/>
                <w:sz w:val="20"/>
                <w:szCs w:val="20"/>
              </w:rPr>
              <w:t>n</w:t>
            </w:r>
            <w:r w:rsidRPr="006057DA">
              <w:rPr>
                <w:rFonts w:ascii="Arial" w:eastAsia="Times New Roman" w:hAnsi="Arial" w:cs="Arial"/>
                <w:sz w:val="20"/>
                <w:szCs w:val="20"/>
              </w:rPr>
              <w:t xml:space="preserve"> = 6)</w:t>
            </w:r>
          </w:p>
        </w:tc>
        <w:tc>
          <w:tcPr>
            <w:tcW w:w="1569" w:type="dxa"/>
            <w:tcBorders>
              <w:left w:val="nil"/>
              <w:bottom w:val="single" w:sz="4" w:space="0" w:color="auto"/>
              <w:right w:val="nil"/>
            </w:tcBorders>
            <w:shd w:val="clear" w:color="auto" w:fill="D9D9D9"/>
          </w:tcPr>
          <w:p w:rsidR="0064605E" w:rsidRPr="006057DA" w:rsidRDefault="0064605E" w:rsidP="0064605E">
            <w:pPr>
              <w:spacing w:after="0" w:line="240" w:lineRule="auto"/>
              <w:jc w:val="center"/>
              <w:rPr>
                <w:rFonts w:ascii="Arial" w:hAnsi="Arial" w:cs="Arial"/>
              </w:rPr>
            </w:pPr>
            <w:r w:rsidRPr="006057DA">
              <w:rPr>
                <w:rFonts w:ascii="Arial" w:eastAsia="Times New Roman" w:hAnsi="Arial" w:cs="Arial"/>
                <w:sz w:val="20"/>
                <w:szCs w:val="20"/>
              </w:rPr>
              <w:t>Tanezumab</w:t>
            </w:r>
          </w:p>
          <w:p w:rsidR="0064605E" w:rsidRPr="002E4A85" w:rsidRDefault="0064605E" w:rsidP="0064605E">
            <w:pPr>
              <w:spacing w:after="0" w:line="240" w:lineRule="auto"/>
              <w:jc w:val="center"/>
              <w:rPr>
                <w:rFonts w:ascii="Arial" w:hAnsi="Arial" w:cs="Arial"/>
              </w:rPr>
            </w:pPr>
            <w:r w:rsidRPr="00D17825">
              <w:rPr>
                <w:rFonts w:ascii="Arial" w:eastAsia="Times New Roman" w:hAnsi="Arial" w:cs="Arial"/>
                <w:sz w:val="20"/>
                <w:szCs w:val="20"/>
              </w:rPr>
              <w:t>1000 µg/kg</w:t>
            </w:r>
          </w:p>
          <w:p w:rsidR="0064605E" w:rsidRPr="00A66BAF" w:rsidRDefault="0064605E" w:rsidP="0064605E">
            <w:pPr>
              <w:spacing w:after="0" w:line="240" w:lineRule="auto"/>
              <w:jc w:val="center"/>
              <w:rPr>
                <w:rFonts w:ascii="Arial" w:hAnsi="Arial" w:cs="Arial"/>
              </w:rPr>
            </w:pPr>
            <w:r w:rsidRPr="00A66BAF">
              <w:rPr>
                <w:rFonts w:ascii="Arial" w:eastAsia="Times New Roman" w:hAnsi="Arial" w:cs="Arial"/>
                <w:sz w:val="20"/>
                <w:szCs w:val="20"/>
              </w:rPr>
              <w:t>(</w:t>
            </w:r>
            <w:r w:rsidRPr="00A66BAF">
              <w:rPr>
                <w:rFonts w:ascii="Arial" w:eastAsia="Times New Roman" w:hAnsi="Arial" w:cs="Arial"/>
                <w:i/>
                <w:sz w:val="20"/>
                <w:szCs w:val="20"/>
              </w:rPr>
              <w:t>n</w:t>
            </w:r>
            <w:r w:rsidRPr="00A66BAF">
              <w:rPr>
                <w:rFonts w:ascii="Arial" w:eastAsia="Times New Roman" w:hAnsi="Arial" w:cs="Arial"/>
                <w:sz w:val="20"/>
                <w:szCs w:val="20"/>
              </w:rPr>
              <w:t xml:space="preserve"> = 6)</w:t>
            </w:r>
          </w:p>
        </w:tc>
        <w:tc>
          <w:tcPr>
            <w:tcW w:w="1299" w:type="dxa"/>
            <w:tcBorders>
              <w:left w:val="nil"/>
              <w:bottom w:val="single" w:sz="4" w:space="0" w:color="auto"/>
              <w:right w:val="nil"/>
            </w:tcBorders>
            <w:shd w:val="clear" w:color="auto" w:fill="D9D9D9"/>
          </w:tcPr>
          <w:p w:rsidR="0064605E" w:rsidRPr="00A66BAF" w:rsidRDefault="0064605E" w:rsidP="0064605E">
            <w:pPr>
              <w:spacing w:after="0" w:line="240" w:lineRule="auto"/>
              <w:jc w:val="center"/>
              <w:rPr>
                <w:rFonts w:ascii="Arial" w:eastAsia="Times New Roman" w:hAnsi="Arial" w:cs="Arial"/>
                <w:sz w:val="20"/>
                <w:szCs w:val="20"/>
              </w:rPr>
            </w:pPr>
            <w:r w:rsidRPr="00A66BAF">
              <w:rPr>
                <w:rFonts w:ascii="Arial" w:eastAsia="Times New Roman" w:hAnsi="Arial" w:cs="Arial"/>
                <w:sz w:val="20"/>
                <w:szCs w:val="20"/>
              </w:rPr>
              <w:t>Placebo</w:t>
            </w:r>
          </w:p>
          <w:p w:rsidR="0064605E" w:rsidRPr="00A66BAF" w:rsidRDefault="0064605E" w:rsidP="0064605E">
            <w:pPr>
              <w:spacing w:after="0" w:line="240" w:lineRule="auto"/>
              <w:jc w:val="center"/>
              <w:rPr>
                <w:rFonts w:ascii="Arial" w:hAnsi="Arial" w:cs="Arial"/>
              </w:rPr>
            </w:pPr>
          </w:p>
          <w:p w:rsidR="0064605E" w:rsidRPr="007D67EF" w:rsidRDefault="0064605E" w:rsidP="0064605E">
            <w:pPr>
              <w:spacing w:after="0" w:line="240" w:lineRule="auto"/>
              <w:jc w:val="center"/>
              <w:rPr>
                <w:rFonts w:ascii="Arial" w:hAnsi="Arial" w:cs="Arial"/>
              </w:rPr>
            </w:pPr>
            <w:r w:rsidRPr="00A66BAF">
              <w:rPr>
                <w:rFonts w:ascii="Arial" w:eastAsia="Times New Roman" w:hAnsi="Arial" w:cs="Arial"/>
                <w:sz w:val="20"/>
                <w:szCs w:val="20"/>
              </w:rPr>
              <w:t>(</w:t>
            </w:r>
            <w:r w:rsidRPr="00A66BAF">
              <w:rPr>
                <w:rFonts w:ascii="Arial" w:eastAsia="Times New Roman" w:hAnsi="Arial" w:cs="Arial"/>
                <w:i/>
                <w:sz w:val="20"/>
                <w:szCs w:val="20"/>
              </w:rPr>
              <w:t>n</w:t>
            </w:r>
            <w:r w:rsidRPr="00D32E98">
              <w:rPr>
                <w:rFonts w:ascii="Arial" w:eastAsia="Times New Roman" w:hAnsi="Arial" w:cs="Arial"/>
                <w:sz w:val="20"/>
                <w:szCs w:val="20"/>
              </w:rPr>
              <w:t xml:space="preserve"> =</w:t>
            </w:r>
            <w:r w:rsidRPr="00F853CA">
              <w:rPr>
                <w:rFonts w:ascii="Arial" w:eastAsia="Times New Roman" w:hAnsi="Arial" w:cs="Arial"/>
                <w:sz w:val="20"/>
                <w:szCs w:val="20"/>
              </w:rPr>
              <w:t xml:space="preserve"> </w:t>
            </w:r>
            <w:r w:rsidRPr="006270C2">
              <w:rPr>
                <w:rFonts w:ascii="Arial" w:eastAsia="Times New Roman" w:hAnsi="Arial" w:cs="Arial"/>
                <w:sz w:val="20"/>
                <w:szCs w:val="20"/>
              </w:rPr>
              <w:t>12)</w:t>
            </w:r>
          </w:p>
        </w:tc>
      </w:tr>
      <w:tr w:rsidR="0064605E" w:rsidRPr="007D67EF" w:rsidTr="0064605E">
        <w:tc>
          <w:tcPr>
            <w:tcW w:w="3708" w:type="dxa"/>
            <w:tcBorders>
              <w:bottom w:val="nil"/>
              <w:right w:val="nil"/>
            </w:tcBorders>
          </w:tcPr>
          <w:p w:rsidR="0064605E" w:rsidRPr="001611CB" w:rsidRDefault="0064605E" w:rsidP="0064605E">
            <w:pPr>
              <w:spacing w:after="0" w:line="240" w:lineRule="auto"/>
              <w:rPr>
                <w:rFonts w:ascii="Arial" w:eastAsia="Times New Roman" w:hAnsi="Arial" w:cs="Arial"/>
                <w:sz w:val="20"/>
                <w:szCs w:val="20"/>
              </w:rPr>
            </w:pPr>
            <w:r w:rsidRPr="001611CB">
              <w:rPr>
                <w:rFonts w:ascii="Arial" w:eastAsia="Times New Roman" w:hAnsi="Arial" w:cs="Arial"/>
                <w:sz w:val="20"/>
                <w:szCs w:val="20"/>
              </w:rPr>
              <w:t>Patients reporting:</w:t>
            </w:r>
          </w:p>
        </w:tc>
        <w:tc>
          <w:tcPr>
            <w:tcW w:w="1568" w:type="dxa"/>
            <w:tcBorders>
              <w:left w:val="nil"/>
              <w:bottom w:val="nil"/>
              <w:right w:val="nil"/>
            </w:tcBorders>
          </w:tcPr>
          <w:p w:rsidR="0064605E" w:rsidRPr="00755A1E" w:rsidRDefault="0064605E" w:rsidP="0064605E">
            <w:pPr>
              <w:spacing w:after="0" w:line="240" w:lineRule="auto"/>
              <w:jc w:val="center"/>
              <w:rPr>
                <w:rFonts w:ascii="Arial" w:eastAsia="Times New Roman" w:hAnsi="Arial" w:cs="Arial"/>
                <w:sz w:val="20"/>
                <w:szCs w:val="20"/>
              </w:rPr>
            </w:pPr>
          </w:p>
        </w:tc>
        <w:tc>
          <w:tcPr>
            <w:tcW w:w="1569" w:type="dxa"/>
            <w:tcBorders>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p>
        </w:tc>
        <w:tc>
          <w:tcPr>
            <w:tcW w:w="1568" w:type="dxa"/>
            <w:tcBorders>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p>
        </w:tc>
        <w:tc>
          <w:tcPr>
            <w:tcW w:w="1569" w:type="dxa"/>
            <w:tcBorders>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p>
        </w:tc>
        <w:tc>
          <w:tcPr>
            <w:tcW w:w="1568" w:type="dxa"/>
            <w:tcBorders>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p>
        </w:tc>
        <w:tc>
          <w:tcPr>
            <w:tcW w:w="1569" w:type="dxa"/>
            <w:tcBorders>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p>
        </w:tc>
        <w:tc>
          <w:tcPr>
            <w:tcW w:w="1299" w:type="dxa"/>
            <w:tcBorders>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rPr>
                <w:rFonts w:ascii="Arial" w:eastAsia="Times New Roman" w:hAnsi="Arial" w:cs="Arial"/>
                <w:sz w:val="20"/>
                <w:szCs w:val="20"/>
              </w:rPr>
            </w:pPr>
            <w:r w:rsidRPr="001611CB">
              <w:rPr>
                <w:rFonts w:ascii="Arial" w:eastAsia="Times New Roman" w:hAnsi="Arial" w:cs="Arial"/>
                <w:sz w:val="20"/>
                <w:szCs w:val="20"/>
              </w:rPr>
              <w:t xml:space="preserve">Any adverse </w:t>
            </w:r>
            <w:r w:rsidRPr="00755A1E">
              <w:rPr>
                <w:rFonts w:ascii="Arial" w:eastAsia="Times New Roman" w:hAnsi="Arial" w:cs="Arial"/>
                <w:sz w:val="20"/>
                <w:szCs w:val="20"/>
              </w:rPr>
              <w:t xml:space="preserve">events, </w:t>
            </w:r>
            <w:r w:rsidRPr="00755A1E">
              <w:rPr>
                <w:rFonts w:ascii="Arial" w:eastAsia="Times New Roman" w:hAnsi="Arial" w:cs="Arial"/>
                <w:i/>
                <w:sz w:val="20"/>
                <w:szCs w:val="20"/>
              </w:rPr>
              <w:t>n</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3</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2</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4</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6</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4</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5</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10</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rPr>
                <w:rFonts w:ascii="Arial" w:eastAsia="Times New Roman" w:hAnsi="Arial" w:cs="Arial"/>
                <w:sz w:val="20"/>
                <w:szCs w:val="20"/>
              </w:rPr>
            </w:pPr>
            <w:r w:rsidRPr="001611CB">
              <w:rPr>
                <w:rFonts w:ascii="Arial" w:eastAsia="Times New Roman" w:hAnsi="Arial" w:cs="Arial"/>
                <w:sz w:val="20"/>
                <w:szCs w:val="20"/>
              </w:rPr>
              <w:t xml:space="preserve">Serious adverse events, </w:t>
            </w:r>
            <w:r w:rsidRPr="00755A1E">
              <w:rPr>
                <w:rFonts w:ascii="Arial" w:eastAsia="Times New Roman" w:hAnsi="Arial" w:cs="Arial"/>
                <w:i/>
                <w:sz w:val="20"/>
                <w:szCs w:val="20"/>
              </w:rPr>
              <w:t>n</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0</w:t>
            </w:r>
          </w:p>
        </w:tc>
      </w:tr>
      <w:tr w:rsidR="0064605E" w:rsidRPr="007D67EF" w:rsidTr="0064605E">
        <w:tc>
          <w:tcPr>
            <w:tcW w:w="3708" w:type="dxa"/>
            <w:tcBorders>
              <w:top w:val="nil"/>
              <w:bottom w:val="single" w:sz="4" w:space="0" w:color="auto"/>
              <w:right w:val="nil"/>
            </w:tcBorders>
          </w:tcPr>
          <w:p w:rsidR="0064605E" w:rsidRPr="00755A1E" w:rsidRDefault="0064605E" w:rsidP="0064605E">
            <w:pPr>
              <w:spacing w:after="0" w:line="240" w:lineRule="auto"/>
              <w:rPr>
                <w:rFonts w:ascii="Arial" w:eastAsia="Times New Roman" w:hAnsi="Arial" w:cs="Arial"/>
                <w:sz w:val="20"/>
                <w:szCs w:val="20"/>
              </w:rPr>
            </w:pPr>
            <w:r w:rsidRPr="001611CB">
              <w:rPr>
                <w:rFonts w:ascii="Arial" w:eastAsia="Times New Roman" w:hAnsi="Arial" w:cs="Arial"/>
                <w:sz w:val="20"/>
                <w:szCs w:val="20"/>
              </w:rPr>
              <w:t xml:space="preserve">Discontinued due to adverse events, </w:t>
            </w:r>
            <w:r w:rsidRPr="00755A1E">
              <w:rPr>
                <w:rFonts w:ascii="Arial" w:eastAsia="Times New Roman" w:hAnsi="Arial" w:cs="Arial"/>
                <w:i/>
                <w:sz w:val="20"/>
                <w:szCs w:val="20"/>
              </w:rPr>
              <w:t>n</w:t>
            </w:r>
          </w:p>
        </w:tc>
        <w:tc>
          <w:tcPr>
            <w:tcW w:w="1568" w:type="dxa"/>
            <w:tcBorders>
              <w:top w:val="nil"/>
              <w:left w:val="nil"/>
              <w:bottom w:val="single" w:sz="4" w:space="0" w:color="auto"/>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single" w:sz="4" w:space="0" w:color="auto"/>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single" w:sz="4" w:space="0" w:color="auto"/>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0</w:t>
            </w:r>
          </w:p>
        </w:tc>
        <w:tc>
          <w:tcPr>
            <w:tcW w:w="1569" w:type="dxa"/>
            <w:tcBorders>
              <w:top w:val="nil"/>
              <w:left w:val="nil"/>
              <w:bottom w:val="single" w:sz="4" w:space="0" w:color="auto"/>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8" w:type="dxa"/>
            <w:tcBorders>
              <w:top w:val="nil"/>
              <w:left w:val="nil"/>
              <w:bottom w:val="single" w:sz="4" w:space="0" w:color="auto"/>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9" w:type="dxa"/>
            <w:tcBorders>
              <w:top w:val="nil"/>
              <w:left w:val="nil"/>
              <w:bottom w:val="single" w:sz="4" w:space="0" w:color="auto"/>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299" w:type="dxa"/>
            <w:tcBorders>
              <w:top w:val="nil"/>
              <w:left w:val="nil"/>
              <w:bottom w:val="single" w:sz="4" w:space="0" w:color="auto"/>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0</w:t>
            </w:r>
          </w:p>
        </w:tc>
      </w:tr>
      <w:tr w:rsidR="0064605E" w:rsidRPr="007D67EF" w:rsidTr="0064605E">
        <w:tc>
          <w:tcPr>
            <w:tcW w:w="14418" w:type="dxa"/>
            <w:gridSpan w:val="8"/>
            <w:tcBorders>
              <w:top w:val="single" w:sz="4" w:space="0" w:color="auto"/>
              <w:bottom w:val="nil"/>
              <w:right w:val="nil"/>
            </w:tcBorders>
          </w:tcPr>
          <w:p w:rsidR="0064605E" w:rsidRPr="001611CB" w:rsidRDefault="0064605E" w:rsidP="0064605E">
            <w:pPr>
              <w:spacing w:after="0" w:line="240" w:lineRule="auto"/>
              <w:rPr>
                <w:rFonts w:ascii="Arial" w:eastAsia="Times New Roman" w:hAnsi="Arial" w:cs="Arial"/>
                <w:sz w:val="20"/>
                <w:szCs w:val="20"/>
              </w:rPr>
            </w:pPr>
            <w:r w:rsidRPr="001611CB">
              <w:rPr>
                <w:rFonts w:ascii="Arial" w:eastAsia="Times New Roman" w:hAnsi="Arial" w:cs="Arial"/>
                <w:sz w:val="20"/>
                <w:szCs w:val="20"/>
              </w:rPr>
              <w:t>Adverse events reported by ≥2</w:t>
            </w:r>
            <w:r w:rsidRPr="00755A1E">
              <w:rPr>
                <w:rFonts w:ascii="Arial" w:eastAsia="Times New Roman" w:hAnsi="Arial" w:cs="Arial"/>
                <w:sz w:val="20"/>
                <w:szCs w:val="20"/>
              </w:rPr>
              <w:t xml:space="preserve"> tanezumab- or placebo-treated patients</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Areflexia</w:t>
            </w:r>
            <w:r w:rsidRPr="00755A1E">
              <w:rPr>
                <w:rFonts w:ascii="Arial" w:eastAsia="Times New Roman" w:hAnsi="Arial" w:cs="Arial"/>
                <w:sz w:val="20"/>
                <w:szCs w:val="20"/>
              </w:rPr>
              <w:t xml:space="preserve">, </w:t>
            </w:r>
            <w:r w:rsidRPr="00755A1E">
              <w:rPr>
                <w:rFonts w:ascii="Arial" w:eastAsia="Times New Roman" w:hAnsi="Arial" w:cs="Arial"/>
                <w:i/>
                <w:sz w:val="20"/>
                <w:szCs w:val="20"/>
              </w:rPr>
              <w:t>n</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1</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3</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Chest pain,</w:t>
            </w:r>
            <w:r w:rsidRPr="00755A1E">
              <w:rPr>
                <w:rFonts w:ascii="Arial" w:eastAsia="Times New Roman" w:hAnsi="Arial" w:cs="Arial"/>
                <w:sz w:val="20"/>
                <w:szCs w:val="20"/>
              </w:rPr>
              <w:t xml:space="preserve"> </w:t>
            </w:r>
            <w:r w:rsidRPr="00755A1E">
              <w:rPr>
                <w:rFonts w:ascii="Arial" w:eastAsia="Times New Roman" w:hAnsi="Arial" w:cs="Arial"/>
                <w:i/>
                <w:sz w:val="20"/>
                <w:szCs w:val="20"/>
              </w:rPr>
              <w:t>n</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2</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 xml:space="preserve">Cough, </w:t>
            </w:r>
            <w:r w:rsidRPr="00755A1E">
              <w:rPr>
                <w:rFonts w:ascii="Arial" w:eastAsia="Times New Roman" w:hAnsi="Arial" w:cs="Arial"/>
                <w:i/>
                <w:sz w:val="20"/>
                <w:szCs w:val="20"/>
              </w:rPr>
              <w:t>n</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1</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2</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 xml:space="preserve">Diarrhea, </w:t>
            </w:r>
            <w:r w:rsidRPr="00755A1E">
              <w:rPr>
                <w:rFonts w:ascii="Arial" w:eastAsia="Times New Roman" w:hAnsi="Arial" w:cs="Arial"/>
                <w:i/>
                <w:sz w:val="20"/>
                <w:szCs w:val="20"/>
              </w:rPr>
              <w:t>n</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1</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2</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0</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 xml:space="preserve">Dizziness, </w:t>
            </w:r>
            <w:r w:rsidRPr="00755A1E">
              <w:rPr>
                <w:rFonts w:ascii="Arial" w:eastAsia="Times New Roman" w:hAnsi="Arial" w:cs="Arial"/>
                <w:i/>
                <w:sz w:val="20"/>
                <w:szCs w:val="20"/>
              </w:rPr>
              <w:t>n</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1</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2</w:t>
            </w:r>
          </w:p>
        </w:tc>
      </w:tr>
      <w:tr w:rsidR="0064605E" w:rsidRPr="007D67EF" w:rsidTr="0064605E">
        <w:tc>
          <w:tcPr>
            <w:tcW w:w="3708" w:type="dxa"/>
            <w:tcBorders>
              <w:top w:val="nil"/>
              <w:bottom w:val="nil"/>
              <w:right w:val="nil"/>
            </w:tcBorders>
          </w:tcPr>
          <w:p w:rsidR="0064605E" w:rsidRPr="00E16656" w:rsidRDefault="0064605E" w:rsidP="0064605E">
            <w:pPr>
              <w:spacing w:after="0" w:line="240" w:lineRule="auto"/>
              <w:ind w:left="144"/>
              <w:rPr>
                <w:rFonts w:ascii="Arial" w:eastAsia="Times New Roman" w:hAnsi="Arial" w:cs="Arial"/>
                <w:sz w:val="20"/>
                <w:szCs w:val="20"/>
              </w:rPr>
            </w:pPr>
            <w:proofErr w:type="spellStart"/>
            <w:r w:rsidRPr="001611CB">
              <w:rPr>
                <w:rFonts w:ascii="Arial" w:eastAsia="Times New Roman" w:hAnsi="Arial" w:cs="Arial"/>
                <w:sz w:val="20"/>
                <w:szCs w:val="20"/>
              </w:rPr>
              <w:t>Dysethesia</w:t>
            </w:r>
            <w:proofErr w:type="spellEnd"/>
            <w:r>
              <w:rPr>
                <w:rFonts w:ascii="Arial" w:eastAsia="Times New Roman" w:hAnsi="Arial" w:cs="Arial"/>
                <w:sz w:val="20"/>
                <w:szCs w:val="20"/>
              </w:rPr>
              <w:t xml:space="preserve">, </w:t>
            </w:r>
            <w:r>
              <w:rPr>
                <w:rFonts w:ascii="Arial" w:eastAsia="Times New Roman" w:hAnsi="Arial" w:cs="Arial"/>
                <w:i/>
                <w:sz w:val="20"/>
                <w:szCs w:val="20"/>
              </w:rPr>
              <w:t>n</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69"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68"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69" w:type="dxa"/>
            <w:tcBorders>
              <w:top w:val="nil"/>
              <w:left w:val="nil"/>
              <w:bottom w:val="nil"/>
              <w:right w:val="nil"/>
            </w:tcBorders>
          </w:tcPr>
          <w:p w:rsidR="0064605E" w:rsidRPr="00B926E7" w:rsidRDefault="0064605E" w:rsidP="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299" w:type="dxa"/>
            <w:tcBorders>
              <w:top w:val="nil"/>
              <w:left w:val="nil"/>
              <w:bottom w:val="nil"/>
              <w:right w:val="nil"/>
            </w:tcBorders>
          </w:tcPr>
          <w:p w:rsidR="0064605E" w:rsidRPr="00B07342" w:rsidRDefault="0064605E" w:rsidP="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 xml:space="preserve">Headache, </w:t>
            </w:r>
            <w:r w:rsidRPr="00755A1E">
              <w:rPr>
                <w:rFonts w:ascii="Arial" w:eastAsia="Times New Roman" w:hAnsi="Arial" w:cs="Arial"/>
                <w:i/>
                <w:sz w:val="20"/>
                <w:szCs w:val="20"/>
              </w:rPr>
              <w:t>n</w:t>
            </w:r>
            <w:r w:rsidRPr="00755A1E">
              <w:rPr>
                <w:rFonts w:ascii="Arial" w:eastAsia="Times New Roman" w:hAnsi="Arial" w:cs="Arial"/>
                <w:sz w:val="20"/>
                <w:szCs w:val="20"/>
              </w:rPr>
              <w:t xml:space="preserve"> </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1</w:t>
            </w:r>
          </w:p>
        </w:tc>
        <w:tc>
          <w:tcPr>
            <w:tcW w:w="1569"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2</w:t>
            </w:r>
            <w:r w:rsidRPr="0037645F">
              <w:rPr>
                <w:rFonts w:ascii="Arial" w:eastAsia="Times New Roman" w:hAnsi="Arial" w:cs="Arial"/>
                <w:sz w:val="20"/>
                <w:szCs w:val="20"/>
                <w:vertAlign w:val="superscript"/>
              </w:rPr>
              <w:t>a</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56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2</w:t>
            </w:r>
            <w:r w:rsidRPr="00B37757">
              <w:rPr>
                <w:rFonts w:ascii="Arial" w:eastAsia="Times New Roman" w:hAnsi="Arial" w:cs="Arial"/>
                <w:sz w:val="20"/>
                <w:szCs w:val="20"/>
                <w:vertAlign w:val="superscript"/>
              </w:rPr>
              <w:t>a</w:t>
            </w:r>
          </w:p>
        </w:tc>
        <w:tc>
          <w:tcPr>
            <w:tcW w:w="1568"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1</w:t>
            </w:r>
          </w:p>
        </w:tc>
        <w:tc>
          <w:tcPr>
            <w:tcW w:w="1569" w:type="dxa"/>
            <w:tcBorders>
              <w:top w:val="nil"/>
              <w:left w:val="nil"/>
              <w:bottom w:val="nil"/>
              <w:right w:val="nil"/>
            </w:tcBorders>
          </w:tcPr>
          <w:p w:rsidR="0064605E" w:rsidRPr="00B07342" w:rsidRDefault="0064605E" w:rsidP="0064605E">
            <w:pPr>
              <w:spacing w:after="0" w:line="240" w:lineRule="auto"/>
              <w:jc w:val="center"/>
              <w:rPr>
                <w:rFonts w:ascii="Arial" w:eastAsia="Times New Roman" w:hAnsi="Arial" w:cs="Arial"/>
                <w:sz w:val="20"/>
                <w:szCs w:val="20"/>
              </w:rPr>
            </w:pPr>
            <w:r w:rsidRPr="00B926E7">
              <w:rPr>
                <w:rFonts w:ascii="Arial" w:eastAsia="Times New Roman" w:hAnsi="Arial" w:cs="Arial"/>
                <w:sz w:val="20"/>
                <w:szCs w:val="20"/>
              </w:rPr>
              <w:t>1</w:t>
            </w:r>
            <w:r w:rsidRPr="00B07342">
              <w:rPr>
                <w:rFonts w:ascii="Arial" w:eastAsia="Times New Roman" w:hAnsi="Arial" w:cs="Arial"/>
                <w:sz w:val="20"/>
                <w:szCs w:val="20"/>
                <w:vertAlign w:val="superscript"/>
              </w:rPr>
              <w:t>a</w:t>
            </w:r>
          </w:p>
        </w:tc>
        <w:tc>
          <w:tcPr>
            <w:tcW w:w="1299" w:type="dxa"/>
            <w:tcBorders>
              <w:top w:val="nil"/>
              <w:left w:val="nil"/>
              <w:bottom w:val="nil"/>
              <w:right w:val="nil"/>
            </w:tcBorders>
          </w:tcPr>
          <w:p w:rsidR="0064605E" w:rsidRPr="00B07342" w:rsidRDefault="0064605E" w:rsidP="0064605E">
            <w:pPr>
              <w:spacing w:after="0" w:line="240" w:lineRule="auto"/>
              <w:jc w:val="center"/>
              <w:rPr>
                <w:rFonts w:ascii="Arial" w:eastAsia="Times New Roman" w:hAnsi="Arial" w:cs="Arial"/>
                <w:sz w:val="20"/>
                <w:szCs w:val="20"/>
              </w:rPr>
            </w:pPr>
            <w:r w:rsidRPr="00B07342">
              <w:rPr>
                <w:rFonts w:ascii="Arial" w:eastAsia="Times New Roman" w:hAnsi="Arial" w:cs="Arial"/>
                <w:sz w:val="20"/>
                <w:szCs w:val="20"/>
              </w:rPr>
              <w:t>2</w:t>
            </w:r>
          </w:p>
        </w:tc>
      </w:tr>
      <w:tr w:rsidR="0064605E" w:rsidRPr="007D67EF" w:rsidTr="0064605E">
        <w:tc>
          <w:tcPr>
            <w:tcW w:w="14418" w:type="dxa"/>
            <w:gridSpan w:val="8"/>
            <w:tcBorders>
              <w:top w:val="single" w:sz="4" w:space="0" w:color="auto"/>
              <w:left w:val="nil"/>
              <w:bottom w:val="nil"/>
              <w:right w:val="nil"/>
            </w:tcBorders>
          </w:tcPr>
          <w:p w:rsidR="0064605E" w:rsidRPr="001611CB" w:rsidRDefault="0064605E" w:rsidP="0064605E">
            <w:pPr>
              <w:spacing w:after="0" w:line="240" w:lineRule="auto"/>
              <w:rPr>
                <w:rFonts w:ascii="Arial" w:eastAsia="Times New Roman" w:hAnsi="Arial" w:cs="Arial"/>
                <w:sz w:val="20"/>
                <w:szCs w:val="20"/>
              </w:rPr>
            </w:pPr>
            <w:r w:rsidRPr="001611CB">
              <w:rPr>
                <w:rFonts w:ascii="Arial" w:eastAsia="Times New Roman" w:hAnsi="Arial" w:cs="Arial"/>
                <w:sz w:val="20"/>
                <w:szCs w:val="20"/>
              </w:rPr>
              <w:t>Adverse event</w:t>
            </w:r>
            <w:r w:rsidRPr="00755A1E">
              <w:rPr>
                <w:rFonts w:ascii="Arial" w:eastAsia="Times New Roman" w:hAnsi="Arial" w:cs="Arial"/>
                <w:sz w:val="20"/>
                <w:szCs w:val="20"/>
              </w:rPr>
              <w:t>s of abnormal peripheral sensation</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 xml:space="preserve">Burning sensation, </w:t>
            </w:r>
            <w:r w:rsidRPr="00755A1E">
              <w:rPr>
                <w:rFonts w:ascii="Arial" w:eastAsia="Times New Roman" w:hAnsi="Arial" w:cs="Arial"/>
                <w:i/>
                <w:sz w:val="20"/>
                <w:szCs w:val="20"/>
              </w:rPr>
              <w:t>n</w:t>
            </w:r>
            <w:r w:rsidRPr="00755A1E">
              <w:rPr>
                <w:rFonts w:ascii="Arial" w:eastAsia="Times New Roman" w:hAnsi="Arial" w:cs="Arial"/>
                <w:sz w:val="20"/>
                <w:szCs w:val="20"/>
              </w:rPr>
              <w:t xml:space="preserve"> </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0</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proofErr w:type="spellStart"/>
            <w:r w:rsidRPr="001611CB">
              <w:rPr>
                <w:rFonts w:ascii="Arial" w:eastAsia="Times New Roman" w:hAnsi="Arial" w:cs="Arial"/>
                <w:sz w:val="20"/>
                <w:szCs w:val="20"/>
              </w:rPr>
              <w:t>Dysethesia</w:t>
            </w:r>
            <w:proofErr w:type="spellEnd"/>
            <w:r w:rsidRPr="001611CB">
              <w:rPr>
                <w:rFonts w:ascii="Arial" w:eastAsia="Times New Roman" w:hAnsi="Arial" w:cs="Arial"/>
                <w:sz w:val="20"/>
                <w:szCs w:val="20"/>
              </w:rPr>
              <w:t xml:space="preserve">, </w:t>
            </w:r>
            <w:r w:rsidRPr="00755A1E">
              <w:rPr>
                <w:rFonts w:ascii="Arial" w:eastAsia="Times New Roman" w:hAnsi="Arial" w:cs="Arial"/>
                <w:i/>
                <w:sz w:val="20"/>
                <w:szCs w:val="20"/>
              </w:rPr>
              <w:t>n</w:t>
            </w:r>
            <w:r w:rsidRPr="00755A1E">
              <w:rPr>
                <w:rFonts w:ascii="Arial" w:eastAsia="Times New Roman" w:hAnsi="Arial" w:cs="Arial"/>
                <w:sz w:val="20"/>
                <w:szCs w:val="20"/>
              </w:rPr>
              <w:t xml:space="preserve"> </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r w:rsidRPr="00B37757">
              <w:rPr>
                <w:rFonts w:ascii="Arial" w:eastAsia="Times New Roman" w:hAnsi="Arial" w:cs="Arial"/>
                <w:sz w:val="20"/>
                <w:szCs w:val="20"/>
                <w:vertAlign w:val="superscript"/>
              </w:rPr>
              <w:t>a</w:t>
            </w:r>
          </w:p>
        </w:tc>
        <w:tc>
          <w:tcPr>
            <w:tcW w:w="1568"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0</w:t>
            </w:r>
          </w:p>
        </w:tc>
        <w:tc>
          <w:tcPr>
            <w:tcW w:w="1569" w:type="dxa"/>
            <w:tcBorders>
              <w:top w:val="nil"/>
              <w:left w:val="nil"/>
              <w:bottom w:val="nil"/>
              <w:right w:val="nil"/>
            </w:tcBorders>
          </w:tcPr>
          <w:p w:rsidR="0064605E" w:rsidRPr="00B07342"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2</w:t>
            </w:r>
            <w:r w:rsidRPr="00B926E7">
              <w:rPr>
                <w:rFonts w:ascii="Arial" w:eastAsia="Times New Roman" w:hAnsi="Arial" w:cs="Arial"/>
                <w:sz w:val="20"/>
                <w:szCs w:val="20"/>
                <w:vertAlign w:val="superscript"/>
              </w:rPr>
              <w:t>a</w:t>
            </w:r>
          </w:p>
        </w:tc>
        <w:tc>
          <w:tcPr>
            <w:tcW w:w="1299" w:type="dxa"/>
            <w:tcBorders>
              <w:top w:val="nil"/>
              <w:left w:val="nil"/>
              <w:bottom w:val="nil"/>
              <w:right w:val="nil"/>
            </w:tcBorders>
          </w:tcPr>
          <w:p w:rsidR="0064605E" w:rsidRPr="00B07342" w:rsidRDefault="0064605E" w:rsidP="0064605E">
            <w:pPr>
              <w:spacing w:after="0" w:line="240" w:lineRule="auto"/>
              <w:jc w:val="center"/>
              <w:rPr>
                <w:rFonts w:ascii="Arial" w:eastAsia="Times New Roman" w:hAnsi="Arial" w:cs="Arial"/>
                <w:sz w:val="20"/>
                <w:szCs w:val="20"/>
              </w:rPr>
            </w:pPr>
            <w:r w:rsidRPr="00B07342">
              <w:rPr>
                <w:rFonts w:ascii="Arial" w:eastAsia="Times New Roman" w:hAnsi="Arial" w:cs="Arial"/>
                <w:sz w:val="20"/>
                <w:szCs w:val="20"/>
              </w:rPr>
              <w:t>0</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 xml:space="preserve">Hyperesthesia, </w:t>
            </w:r>
            <w:r w:rsidRPr="00755A1E">
              <w:rPr>
                <w:rFonts w:ascii="Arial" w:eastAsia="Times New Roman" w:hAnsi="Arial" w:cs="Arial"/>
                <w:i/>
                <w:sz w:val="20"/>
                <w:szCs w:val="20"/>
              </w:rPr>
              <w:t>n</w:t>
            </w:r>
            <w:r w:rsidRPr="00755A1E">
              <w:rPr>
                <w:rFonts w:ascii="Arial" w:eastAsia="Times New Roman" w:hAnsi="Arial" w:cs="Arial"/>
                <w:sz w:val="20"/>
                <w:szCs w:val="20"/>
              </w:rPr>
              <w:t xml:space="preserve"> </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0</w:t>
            </w:r>
          </w:p>
        </w:tc>
      </w:tr>
      <w:tr w:rsidR="0064605E" w:rsidRPr="007D67EF" w:rsidTr="0064605E">
        <w:tc>
          <w:tcPr>
            <w:tcW w:w="3708" w:type="dxa"/>
            <w:tcBorders>
              <w:top w:val="nil"/>
              <w:bottom w:val="nil"/>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 xml:space="preserve">Hypoesthesia, </w:t>
            </w:r>
            <w:r w:rsidRPr="00755A1E">
              <w:rPr>
                <w:rFonts w:ascii="Arial" w:eastAsia="Times New Roman" w:hAnsi="Arial" w:cs="Arial"/>
                <w:i/>
                <w:sz w:val="20"/>
                <w:szCs w:val="20"/>
              </w:rPr>
              <w:t>n</w:t>
            </w:r>
            <w:r w:rsidRPr="00755A1E">
              <w:rPr>
                <w:rFonts w:ascii="Arial" w:eastAsia="Times New Roman" w:hAnsi="Arial" w:cs="Arial"/>
                <w:sz w:val="20"/>
                <w:szCs w:val="20"/>
              </w:rPr>
              <w:t xml:space="preserve"> </w:t>
            </w:r>
          </w:p>
        </w:tc>
        <w:tc>
          <w:tcPr>
            <w:tcW w:w="1568" w:type="dxa"/>
            <w:tcBorders>
              <w:top w:val="nil"/>
              <w:left w:val="nil"/>
              <w:bottom w:val="nil"/>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nil"/>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nil"/>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0</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8"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569" w:type="dxa"/>
            <w:tcBorders>
              <w:top w:val="nil"/>
              <w:left w:val="nil"/>
              <w:bottom w:val="nil"/>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299" w:type="dxa"/>
            <w:tcBorders>
              <w:top w:val="nil"/>
              <w:left w:val="nil"/>
              <w:bottom w:val="nil"/>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0</w:t>
            </w:r>
          </w:p>
        </w:tc>
      </w:tr>
      <w:tr w:rsidR="0064605E" w:rsidRPr="007D67EF" w:rsidTr="0064605E">
        <w:tc>
          <w:tcPr>
            <w:tcW w:w="3708" w:type="dxa"/>
            <w:tcBorders>
              <w:top w:val="nil"/>
              <w:bottom w:val="single" w:sz="4" w:space="0" w:color="auto"/>
              <w:right w:val="nil"/>
            </w:tcBorders>
          </w:tcPr>
          <w:p w:rsidR="0064605E" w:rsidRPr="00755A1E" w:rsidRDefault="0064605E" w:rsidP="0064605E">
            <w:pPr>
              <w:spacing w:after="0" w:line="240" w:lineRule="auto"/>
              <w:ind w:left="144"/>
              <w:rPr>
                <w:rFonts w:ascii="Arial" w:eastAsia="Times New Roman" w:hAnsi="Arial" w:cs="Arial"/>
                <w:sz w:val="20"/>
                <w:szCs w:val="20"/>
              </w:rPr>
            </w:pPr>
            <w:r w:rsidRPr="001611CB">
              <w:rPr>
                <w:rFonts w:ascii="Arial" w:eastAsia="Times New Roman" w:hAnsi="Arial" w:cs="Arial"/>
                <w:sz w:val="20"/>
                <w:szCs w:val="20"/>
              </w:rPr>
              <w:t xml:space="preserve">Paresthesia, </w:t>
            </w:r>
            <w:r w:rsidRPr="00755A1E">
              <w:rPr>
                <w:rFonts w:ascii="Arial" w:eastAsia="Times New Roman" w:hAnsi="Arial" w:cs="Arial"/>
                <w:i/>
                <w:sz w:val="20"/>
                <w:szCs w:val="20"/>
              </w:rPr>
              <w:t>n</w:t>
            </w:r>
            <w:r w:rsidRPr="00755A1E">
              <w:rPr>
                <w:rFonts w:ascii="Arial" w:eastAsia="Times New Roman" w:hAnsi="Arial" w:cs="Arial"/>
                <w:sz w:val="20"/>
                <w:szCs w:val="20"/>
              </w:rPr>
              <w:t xml:space="preserve"> </w:t>
            </w:r>
          </w:p>
        </w:tc>
        <w:tc>
          <w:tcPr>
            <w:tcW w:w="1568" w:type="dxa"/>
            <w:tcBorders>
              <w:top w:val="nil"/>
              <w:left w:val="nil"/>
              <w:bottom w:val="single" w:sz="4" w:space="0" w:color="auto"/>
              <w:right w:val="nil"/>
            </w:tcBorders>
          </w:tcPr>
          <w:p w:rsidR="0064605E" w:rsidRPr="00C524DE"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9" w:type="dxa"/>
            <w:tcBorders>
              <w:top w:val="nil"/>
              <w:left w:val="nil"/>
              <w:bottom w:val="single" w:sz="4" w:space="0" w:color="auto"/>
              <w:right w:val="nil"/>
            </w:tcBorders>
          </w:tcPr>
          <w:p w:rsidR="0064605E" w:rsidRPr="0037645F" w:rsidRDefault="0064605E" w:rsidP="0064605E">
            <w:pPr>
              <w:spacing w:after="0" w:line="240" w:lineRule="auto"/>
              <w:jc w:val="center"/>
              <w:rPr>
                <w:rFonts w:ascii="Arial" w:eastAsia="Times New Roman" w:hAnsi="Arial" w:cs="Arial"/>
                <w:sz w:val="20"/>
                <w:szCs w:val="20"/>
              </w:rPr>
            </w:pPr>
            <w:r w:rsidRPr="00C524DE">
              <w:rPr>
                <w:rFonts w:ascii="Arial" w:eastAsia="Times New Roman" w:hAnsi="Arial" w:cs="Arial"/>
                <w:sz w:val="20"/>
                <w:szCs w:val="20"/>
              </w:rPr>
              <w:t>0</w:t>
            </w:r>
          </w:p>
        </w:tc>
        <w:tc>
          <w:tcPr>
            <w:tcW w:w="1568" w:type="dxa"/>
            <w:tcBorders>
              <w:top w:val="nil"/>
              <w:left w:val="nil"/>
              <w:bottom w:val="single" w:sz="4" w:space="0" w:color="auto"/>
              <w:right w:val="nil"/>
            </w:tcBorders>
          </w:tcPr>
          <w:p w:rsidR="0064605E" w:rsidRPr="00582627" w:rsidRDefault="0064605E" w:rsidP="0064605E">
            <w:pPr>
              <w:spacing w:after="0" w:line="240" w:lineRule="auto"/>
              <w:jc w:val="center"/>
              <w:rPr>
                <w:rFonts w:ascii="Arial" w:eastAsia="Times New Roman" w:hAnsi="Arial" w:cs="Arial"/>
                <w:sz w:val="20"/>
                <w:szCs w:val="20"/>
              </w:rPr>
            </w:pPr>
            <w:r w:rsidRPr="00582627">
              <w:rPr>
                <w:rFonts w:ascii="Arial" w:eastAsia="Times New Roman" w:hAnsi="Arial" w:cs="Arial"/>
                <w:sz w:val="20"/>
                <w:szCs w:val="20"/>
              </w:rPr>
              <w:t>0</w:t>
            </w:r>
          </w:p>
        </w:tc>
        <w:tc>
          <w:tcPr>
            <w:tcW w:w="1569" w:type="dxa"/>
            <w:tcBorders>
              <w:top w:val="nil"/>
              <w:left w:val="nil"/>
              <w:bottom w:val="single" w:sz="4" w:space="0" w:color="auto"/>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8" w:type="dxa"/>
            <w:tcBorders>
              <w:top w:val="nil"/>
              <w:left w:val="nil"/>
              <w:bottom w:val="single" w:sz="4" w:space="0" w:color="auto"/>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0</w:t>
            </w:r>
          </w:p>
        </w:tc>
        <w:tc>
          <w:tcPr>
            <w:tcW w:w="1569" w:type="dxa"/>
            <w:tcBorders>
              <w:top w:val="nil"/>
              <w:left w:val="nil"/>
              <w:bottom w:val="single" w:sz="4" w:space="0" w:color="auto"/>
              <w:right w:val="nil"/>
            </w:tcBorders>
          </w:tcPr>
          <w:p w:rsidR="0064605E" w:rsidRPr="00B37757" w:rsidRDefault="0064605E" w:rsidP="0064605E">
            <w:pPr>
              <w:spacing w:after="0" w:line="240" w:lineRule="auto"/>
              <w:jc w:val="center"/>
              <w:rPr>
                <w:rFonts w:ascii="Arial" w:eastAsia="Times New Roman" w:hAnsi="Arial" w:cs="Arial"/>
                <w:sz w:val="20"/>
                <w:szCs w:val="20"/>
              </w:rPr>
            </w:pPr>
            <w:r w:rsidRPr="00B37757">
              <w:rPr>
                <w:rFonts w:ascii="Arial" w:eastAsia="Times New Roman" w:hAnsi="Arial" w:cs="Arial"/>
                <w:sz w:val="20"/>
                <w:szCs w:val="20"/>
              </w:rPr>
              <w:t>1</w:t>
            </w:r>
          </w:p>
        </w:tc>
        <w:tc>
          <w:tcPr>
            <w:tcW w:w="1299" w:type="dxa"/>
            <w:tcBorders>
              <w:top w:val="nil"/>
              <w:left w:val="nil"/>
              <w:bottom w:val="single" w:sz="4" w:space="0" w:color="auto"/>
              <w:right w:val="nil"/>
            </w:tcBorders>
          </w:tcPr>
          <w:p w:rsidR="0064605E" w:rsidRPr="00DA17D9" w:rsidRDefault="0064605E" w:rsidP="0064605E">
            <w:pPr>
              <w:spacing w:after="0" w:line="240" w:lineRule="auto"/>
              <w:jc w:val="center"/>
              <w:rPr>
                <w:rFonts w:ascii="Arial" w:eastAsia="Times New Roman" w:hAnsi="Arial" w:cs="Arial"/>
                <w:sz w:val="20"/>
                <w:szCs w:val="20"/>
              </w:rPr>
            </w:pPr>
            <w:r w:rsidRPr="00DA17D9">
              <w:rPr>
                <w:rFonts w:ascii="Arial" w:eastAsia="Times New Roman" w:hAnsi="Arial" w:cs="Arial"/>
                <w:sz w:val="20"/>
                <w:szCs w:val="20"/>
              </w:rPr>
              <w:t>0</w:t>
            </w:r>
          </w:p>
        </w:tc>
      </w:tr>
    </w:tbl>
    <w:p w:rsidR="0064605E" w:rsidRDefault="0064605E" w:rsidP="0064605E">
      <w:pPr>
        <w:spacing w:after="0" w:line="480" w:lineRule="auto"/>
        <w:contextualSpacing/>
        <w:rPr>
          <w:rFonts w:ascii="Arial" w:hAnsi="Arial" w:cs="Arial"/>
          <w:sz w:val="24"/>
          <w:szCs w:val="24"/>
        </w:rPr>
      </w:pPr>
      <w:r w:rsidRPr="001611CB">
        <w:rPr>
          <w:rFonts w:ascii="Arial" w:hAnsi="Arial" w:cs="Arial"/>
          <w:sz w:val="24"/>
          <w:szCs w:val="24"/>
          <w:vertAlign w:val="superscript"/>
        </w:rPr>
        <w:t>a</w:t>
      </w:r>
      <w:r w:rsidRPr="00755A1E">
        <w:rPr>
          <w:rFonts w:ascii="Arial" w:hAnsi="Arial" w:cs="Arial"/>
          <w:sz w:val="24"/>
          <w:szCs w:val="24"/>
        </w:rPr>
        <w:t xml:space="preserve"> Judged by the investigator as treatment-related. </w:t>
      </w:r>
    </w:p>
    <w:p w:rsidR="0064605E" w:rsidRDefault="0064605E" w:rsidP="0064605E"/>
    <w:p w:rsidR="0064605E" w:rsidRDefault="0064605E">
      <w:pPr>
        <w:spacing w:after="160" w:line="259" w:lineRule="auto"/>
      </w:pPr>
      <w:r>
        <w:br w:type="page"/>
      </w:r>
    </w:p>
    <w:p w:rsidR="0064605E" w:rsidRDefault="0064605E" w:rsidP="0064605E">
      <w:pPr>
        <w:spacing w:after="0" w:line="480" w:lineRule="auto"/>
        <w:contextualSpacing/>
        <w:rPr>
          <w:rFonts w:ascii="Arial" w:hAnsi="Arial" w:cs="Arial"/>
          <w:sz w:val="24"/>
          <w:szCs w:val="24"/>
        </w:rPr>
      </w:pPr>
      <w:r>
        <w:rPr>
          <w:rFonts w:ascii="Arial" w:hAnsi="Arial" w:cs="Arial"/>
          <w:b/>
          <w:sz w:val="24"/>
          <w:szCs w:val="24"/>
        </w:rPr>
        <w:lastRenderedPageBreak/>
        <w:t xml:space="preserve">Supplementary Table 2. </w:t>
      </w:r>
      <w:r>
        <w:rPr>
          <w:rFonts w:ascii="Arial" w:hAnsi="Arial" w:cs="Arial"/>
          <w:sz w:val="24"/>
          <w:szCs w:val="24"/>
        </w:rPr>
        <w:t xml:space="preserve">Treatment-emergent adverse events in Study CL001, Part 2, following administration of a single dose of tanezumab. </w:t>
      </w:r>
    </w:p>
    <w:tbl>
      <w:tblPr>
        <w:tblW w:w="1371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035"/>
        <w:gridCol w:w="2890"/>
        <w:gridCol w:w="2890"/>
        <w:gridCol w:w="2895"/>
      </w:tblGrid>
      <w:tr w:rsidR="0064605E" w:rsidTr="0064605E">
        <w:trPr>
          <w:trHeight w:val="366"/>
        </w:trPr>
        <w:tc>
          <w:tcPr>
            <w:tcW w:w="5038" w:type="dxa"/>
            <w:tcBorders>
              <w:top w:val="single" w:sz="4" w:space="0" w:color="auto"/>
              <w:left w:val="nil"/>
              <w:bottom w:val="single" w:sz="4" w:space="0" w:color="auto"/>
              <w:right w:val="nil"/>
            </w:tcBorders>
            <w:shd w:val="clear" w:color="auto" w:fill="D9D9D9"/>
          </w:tcPr>
          <w:p w:rsidR="0064605E" w:rsidRDefault="0064605E">
            <w:pPr>
              <w:spacing w:after="0" w:line="240" w:lineRule="auto"/>
              <w:rPr>
                <w:rFonts w:ascii="Arial" w:hAnsi="Arial" w:cs="Arial"/>
              </w:rPr>
            </w:pPr>
          </w:p>
        </w:tc>
        <w:tc>
          <w:tcPr>
            <w:tcW w:w="2891" w:type="dxa"/>
            <w:tcBorders>
              <w:top w:val="single" w:sz="4" w:space="0" w:color="auto"/>
              <w:left w:val="nil"/>
              <w:bottom w:val="single" w:sz="4" w:space="0" w:color="auto"/>
              <w:right w:val="nil"/>
            </w:tcBorders>
            <w:shd w:val="clear" w:color="auto" w:fill="D9D9D9"/>
            <w:hideMark/>
          </w:tcPr>
          <w:p w:rsidR="0064605E" w:rsidRDefault="0064605E">
            <w:pPr>
              <w:spacing w:after="0" w:line="240" w:lineRule="auto"/>
              <w:jc w:val="center"/>
              <w:rPr>
                <w:rFonts w:ascii="Arial" w:hAnsi="Arial" w:cs="Arial"/>
              </w:rPr>
            </w:pPr>
            <w:r>
              <w:rPr>
                <w:rFonts w:ascii="Arial" w:eastAsia="Times New Roman" w:hAnsi="Arial" w:cs="Arial"/>
                <w:sz w:val="20"/>
                <w:szCs w:val="20"/>
              </w:rPr>
              <w:t>Tanezumab</w:t>
            </w:r>
          </w:p>
          <w:p w:rsidR="0064605E" w:rsidRDefault="0064605E">
            <w:pPr>
              <w:spacing w:after="0" w:line="240" w:lineRule="auto"/>
              <w:jc w:val="center"/>
              <w:rPr>
                <w:rFonts w:ascii="Arial" w:hAnsi="Arial" w:cs="Arial"/>
              </w:rPr>
            </w:pPr>
            <w:r>
              <w:rPr>
                <w:rFonts w:ascii="Arial" w:eastAsia="Times New Roman" w:hAnsi="Arial" w:cs="Arial"/>
                <w:sz w:val="20"/>
                <w:szCs w:val="20"/>
              </w:rPr>
              <w:t>100 µg/kg</w:t>
            </w:r>
          </w:p>
          <w:p w:rsidR="0064605E" w:rsidRDefault="0064605E">
            <w:pPr>
              <w:spacing w:after="0" w:line="240" w:lineRule="auto"/>
              <w:jc w:val="center"/>
              <w:rPr>
                <w:rFonts w:ascii="Arial" w:hAnsi="Arial" w:cs="Arial"/>
              </w:rPr>
            </w:pPr>
            <w:r>
              <w:rPr>
                <w:rFonts w:ascii="Arial" w:eastAsia="Times New Roman" w:hAnsi="Arial" w:cs="Arial"/>
                <w:sz w:val="20"/>
                <w:szCs w:val="20"/>
              </w:rPr>
              <w:t>(</w:t>
            </w:r>
            <w:r>
              <w:rPr>
                <w:rFonts w:ascii="Arial" w:eastAsia="Times New Roman" w:hAnsi="Arial" w:cs="Arial"/>
                <w:i/>
                <w:sz w:val="20"/>
                <w:szCs w:val="20"/>
              </w:rPr>
              <w:t>n</w:t>
            </w:r>
            <w:r>
              <w:rPr>
                <w:rFonts w:ascii="Arial" w:eastAsia="Times New Roman" w:hAnsi="Arial" w:cs="Arial"/>
                <w:sz w:val="20"/>
                <w:szCs w:val="20"/>
              </w:rPr>
              <w:t xml:space="preserve"> = 27)</w:t>
            </w:r>
          </w:p>
        </w:tc>
        <w:tc>
          <w:tcPr>
            <w:tcW w:w="2891" w:type="dxa"/>
            <w:tcBorders>
              <w:top w:val="single" w:sz="4" w:space="0" w:color="auto"/>
              <w:left w:val="nil"/>
              <w:bottom w:val="single" w:sz="4" w:space="0" w:color="auto"/>
              <w:right w:val="nil"/>
            </w:tcBorders>
            <w:shd w:val="clear" w:color="auto" w:fill="D9D9D9"/>
            <w:hideMark/>
          </w:tcPr>
          <w:p w:rsidR="0064605E" w:rsidRDefault="0064605E">
            <w:pPr>
              <w:spacing w:after="0" w:line="240" w:lineRule="auto"/>
              <w:jc w:val="center"/>
              <w:rPr>
                <w:rFonts w:ascii="Arial" w:hAnsi="Arial" w:cs="Arial"/>
              </w:rPr>
            </w:pPr>
            <w:r>
              <w:rPr>
                <w:rFonts w:ascii="Arial" w:eastAsia="Times New Roman" w:hAnsi="Arial" w:cs="Arial"/>
                <w:sz w:val="20"/>
                <w:szCs w:val="20"/>
              </w:rPr>
              <w:t>Tanezumab</w:t>
            </w:r>
          </w:p>
          <w:p w:rsidR="0064605E" w:rsidRDefault="0064605E">
            <w:pPr>
              <w:spacing w:after="0" w:line="240" w:lineRule="auto"/>
              <w:jc w:val="center"/>
              <w:rPr>
                <w:rFonts w:ascii="Arial" w:hAnsi="Arial" w:cs="Arial"/>
              </w:rPr>
            </w:pPr>
            <w:r>
              <w:rPr>
                <w:rFonts w:ascii="Arial" w:eastAsia="Times New Roman" w:hAnsi="Arial" w:cs="Arial"/>
                <w:sz w:val="20"/>
                <w:szCs w:val="20"/>
              </w:rPr>
              <w:t>300 µg/kg</w:t>
            </w:r>
          </w:p>
          <w:p w:rsidR="0064605E" w:rsidRDefault="0064605E">
            <w:pPr>
              <w:spacing w:after="0" w:line="240" w:lineRule="auto"/>
              <w:jc w:val="center"/>
              <w:rPr>
                <w:rFonts w:ascii="Arial" w:hAnsi="Arial" w:cs="Arial"/>
              </w:rPr>
            </w:pPr>
            <w:r>
              <w:rPr>
                <w:rFonts w:ascii="Arial" w:eastAsia="Times New Roman" w:hAnsi="Arial" w:cs="Arial"/>
                <w:sz w:val="20"/>
                <w:szCs w:val="20"/>
              </w:rPr>
              <w:t>(</w:t>
            </w:r>
            <w:r>
              <w:rPr>
                <w:rFonts w:ascii="Arial" w:eastAsia="Times New Roman" w:hAnsi="Arial" w:cs="Arial"/>
                <w:i/>
                <w:sz w:val="20"/>
                <w:szCs w:val="20"/>
              </w:rPr>
              <w:t>n</w:t>
            </w:r>
            <w:r>
              <w:rPr>
                <w:rFonts w:ascii="Arial" w:eastAsia="Times New Roman" w:hAnsi="Arial" w:cs="Arial"/>
                <w:sz w:val="20"/>
                <w:szCs w:val="20"/>
              </w:rPr>
              <w:t xml:space="preserve"> = 26)</w:t>
            </w:r>
          </w:p>
        </w:tc>
        <w:tc>
          <w:tcPr>
            <w:tcW w:w="2896" w:type="dxa"/>
            <w:tcBorders>
              <w:top w:val="single" w:sz="4" w:space="0" w:color="auto"/>
              <w:left w:val="nil"/>
              <w:bottom w:val="single" w:sz="4" w:space="0" w:color="auto"/>
              <w:right w:val="nil"/>
            </w:tcBorders>
            <w:shd w:val="clear" w:color="auto" w:fill="D9D9D9"/>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Placebo</w:t>
            </w:r>
          </w:p>
          <w:p w:rsidR="0064605E" w:rsidRDefault="0064605E">
            <w:pPr>
              <w:spacing w:after="0" w:line="240" w:lineRule="auto"/>
              <w:jc w:val="center"/>
              <w:rPr>
                <w:rFonts w:ascii="Arial" w:hAnsi="Arial" w:cs="Arial"/>
              </w:rPr>
            </w:pPr>
          </w:p>
          <w:p w:rsidR="0064605E" w:rsidRDefault="0064605E">
            <w:pPr>
              <w:spacing w:after="0" w:line="240" w:lineRule="auto"/>
              <w:jc w:val="center"/>
              <w:rPr>
                <w:rFonts w:ascii="Arial" w:hAnsi="Arial" w:cs="Arial"/>
              </w:rPr>
            </w:pPr>
            <w:r>
              <w:rPr>
                <w:rFonts w:ascii="Arial" w:eastAsia="Times New Roman" w:hAnsi="Arial" w:cs="Arial"/>
                <w:sz w:val="20"/>
                <w:szCs w:val="20"/>
              </w:rPr>
              <w:t>(</w:t>
            </w:r>
            <w:r>
              <w:rPr>
                <w:rFonts w:ascii="Arial" w:eastAsia="Times New Roman" w:hAnsi="Arial" w:cs="Arial"/>
                <w:i/>
                <w:sz w:val="20"/>
                <w:szCs w:val="20"/>
              </w:rPr>
              <w:t>n</w:t>
            </w:r>
            <w:r>
              <w:rPr>
                <w:rFonts w:ascii="Arial" w:eastAsia="Times New Roman" w:hAnsi="Arial" w:cs="Arial"/>
                <w:sz w:val="20"/>
                <w:szCs w:val="20"/>
              </w:rPr>
              <w:t xml:space="preserve"> = 26)</w:t>
            </w:r>
          </w:p>
        </w:tc>
      </w:tr>
      <w:tr w:rsidR="0064605E" w:rsidTr="0064605E">
        <w:tc>
          <w:tcPr>
            <w:tcW w:w="5038" w:type="dxa"/>
            <w:tcBorders>
              <w:top w:val="single" w:sz="4" w:space="0" w:color="auto"/>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Patients reporting:</w:t>
            </w:r>
          </w:p>
        </w:tc>
        <w:tc>
          <w:tcPr>
            <w:tcW w:w="2891"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2891"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2896"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r>
      <w:tr w:rsidR="0064605E" w:rsidTr="0064605E">
        <w:tc>
          <w:tcPr>
            <w:tcW w:w="5038" w:type="dxa"/>
            <w:tcBorders>
              <w:top w:val="nil"/>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 xml:space="preserve">Any adverse events,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25 (92.6)</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23 (88.5)</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18 (69.2)</w:t>
            </w:r>
          </w:p>
        </w:tc>
      </w:tr>
      <w:tr w:rsidR="0064605E" w:rsidTr="0064605E">
        <w:tc>
          <w:tcPr>
            <w:tcW w:w="5038" w:type="dxa"/>
            <w:tcBorders>
              <w:top w:val="nil"/>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 xml:space="preserve">Serious adverse events,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single" w:sz="4" w:space="0" w:color="auto"/>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 xml:space="preserve">Discontinued due to adverse events,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6"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13716" w:type="dxa"/>
            <w:gridSpan w:val="4"/>
            <w:tcBorders>
              <w:top w:val="single" w:sz="4" w:space="0" w:color="auto"/>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Adverse events reported by ≥5% of tanezumab-treated patients</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Abdominal distension</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Arthralgia</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4 (14.8)</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4 (15.4)</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(11.5)</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Back pain</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(3.7)</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Cough</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Diarrhea</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4 (14.8)</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7 (26.9)</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Dizziness</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(11.1)</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Dysesthesia</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Dyspepsia</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Gamma-</w:t>
            </w:r>
            <w:proofErr w:type="spellStart"/>
            <w:r>
              <w:rPr>
                <w:rFonts w:ascii="Arial" w:eastAsia="Times New Roman" w:hAnsi="Arial" w:cs="Arial"/>
                <w:sz w:val="20"/>
                <w:szCs w:val="20"/>
              </w:rPr>
              <w:t>glutamyltransferase</w:t>
            </w:r>
            <w:proofErr w:type="spellEnd"/>
            <w:r>
              <w:rPr>
                <w:rFonts w:ascii="Arial" w:eastAsia="Times New Roman" w:hAnsi="Arial" w:cs="Arial"/>
                <w:sz w:val="20"/>
                <w:szCs w:val="20"/>
              </w:rPr>
              <w:t xml:space="preserve"> increased</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Headache</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7 (25.9)</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8 (30.8)</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7 (26.9)</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Joint swelling</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(11.5)</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Muscle tightness</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Musculoskeletal pain</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Nasopharyngitis</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Nausea</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(3.7)</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(11.5)</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Pain in extremity</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(11.1)</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6 (23.1)</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Peripheral edema</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(11.1)</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Rhinitis</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Wheezing</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13716" w:type="dxa"/>
            <w:gridSpan w:val="4"/>
            <w:tcBorders>
              <w:top w:val="single" w:sz="4" w:space="0" w:color="auto"/>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Adverse events of abnormal peripheral sensation</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Allodynia, </w:t>
            </w:r>
            <w:r>
              <w:rPr>
                <w:rFonts w:ascii="Arial" w:eastAsia="Times New Roman" w:hAnsi="Arial" w:cs="Arial"/>
                <w:i/>
                <w:sz w:val="20"/>
                <w:szCs w:val="20"/>
              </w:rPr>
              <w:t>n</w:t>
            </w:r>
            <w:r>
              <w:rPr>
                <w:rFonts w:ascii="Arial" w:eastAsia="Times New Roman" w:hAnsi="Arial" w:cs="Arial"/>
                <w:sz w:val="20"/>
                <w:szCs w:val="20"/>
              </w:rPr>
              <w:t xml:space="preserve"> (%) </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proofErr w:type="spellStart"/>
            <w:r>
              <w:rPr>
                <w:rFonts w:ascii="Arial" w:eastAsia="Times New Roman" w:hAnsi="Arial" w:cs="Arial"/>
                <w:sz w:val="20"/>
                <w:szCs w:val="20"/>
              </w:rPr>
              <w:t>Dysethesia</w:t>
            </w:r>
            <w:proofErr w:type="spellEnd"/>
            <w:r>
              <w:rPr>
                <w:rFonts w:ascii="Arial" w:eastAsia="Times New Roman" w:hAnsi="Arial" w:cs="Arial"/>
                <w:sz w:val="20"/>
                <w:szCs w:val="20"/>
              </w:rPr>
              <w:t xml:space="preserve">,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(7.7)</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Hyperesthesia,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Hypoesthesia,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(7.4)</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`Paresthesia,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4 (14.8)</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6 (23.1)</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Hyperpathia,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Neuralgia,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c>
          <w:tcPr>
            <w:tcW w:w="289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5038" w:type="dxa"/>
            <w:tcBorders>
              <w:top w:val="nil"/>
              <w:left w:val="nil"/>
              <w:bottom w:val="single" w:sz="4" w:space="0" w:color="auto"/>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lastRenderedPageBreak/>
              <w:t xml:space="preserve">Peripheral sensory neuropathy, </w:t>
            </w:r>
            <w:r>
              <w:rPr>
                <w:rFonts w:ascii="Arial" w:eastAsia="Times New Roman" w:hAnsi="Arial" w:cs="Arial"/>
                <w:i/>
                <w:sz w:val="20"/>
                <w:szCs w:val="20"/>
              </w:rPr>
              <w:t>n</w:t>
            </w:r>
            <w:r>
              <w:rPr>
                <w:rFonts w:ascii="Arial" w:eastAsia="Times New Roman" w:hAnsi="Arial" w:cs="Arial"/>
                <w:sz w:val="20"/>
                <w:szCs w:val="20"/>
              </w:rPr>
              <w:t xml:space="preserve"> (%)</w:t>
            </w:r>
          </w:p>
        </w:tc>
        <w:tc>
          <w:tcPr>
            <w:tcW w:w="28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8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(3.8)</w:t>
            </w:r>
          </w:p>
        </w:tc>
        <w:tc>
          <w:tcPr>
            <w:tcW w:w="2896"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bl>
    <w:p w:rsidR="0064605E" w:rsidRDefault="0064605E" w:rsidP="0064605E"/>
    <w:p w:rsidR="0064605E" w:rsidRDefault="0064605E">
      <w:pPr>
        <w:spacing w:after="160" w:line="259" w:lineRule="auto"/>
      </w:pPr>
      <w:r>
        <w:br w:type="page"/>
      </w:r>
    </w:p>
    <w:p w:rsidR="0064605E" w:rsidRDefault="0064605E" w:rsidP="0064605E">
      <w:pPr>
        <w:spacing w:after="0" w:line="480" w:lineRule="auto"/>
        <w:contextualSpacing/>
        <w:rPr>
          <w:rFonts w:ascii="Arial" w:hAnsi="Arial" w:cs="Arial"/>
          <w:sz w:val="24"/>
          <w:szCs w:val="24"/>
        </w:rPr>
      </w:pPr>
      <w:r>
        <w:rPr>
          <w:rFonts w:ascii="Arial" w:hAnsi="Arial" w:cs="Arial"/>
          <w:b/>
          <w:sz w:val="24"/>
          <w:szCs w:val="24"/>
        </w:rPr>
        <w:lastRenderedPageBreak/>
        <w:t xml:space="preserve">Supplementary Table 3. </w:t>
      </w:r>
      <w:r>
        <w:rPr>
          <w:rFonts w:ascii="Arial" w:hAnsi="Arial" w:cs="Arial"/>
          <w:sz w:val="24"/>
          <w:szCs w:val="24"/>
        </w:rPr>
        <w:t>Treatment-emergent adverse events in Study CL002 following administration of a single dose of tanezumab.</w:t>
      </w:r>
    </w:p>
    <w:tbl>
      <w:tblPr>
        <w:tblW w:w="1441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06"/>
        <w:gridCol w:w="359"/>
        <w:gridCol w:w="1666"/>
        <w:gridCol w:w="1791"/>
        <w:gridCol w:w="1791"/>
        <w:gridCol w:w="1790"/>
        <w:gridCol w:w="1791"/>
        <w:gridCol w:w="1521"/>
      </w:tblGrid>
      <w:tr w:rsidR="0064605E" w:rsidTr="0064605E">
        <w:tc>
          <w:tcPr>
            <w:tcW w:w="3708" w:type="dxa"/>
            <w:tcBorders>
              <w:top w:val="single" w:sz="4" w:space="0" w:color="auto"/>
              <w:left w:val="nil"/>
              <w:bottom w:val="single" w:sz="4" w:space="0" w:color="auto"/>
              <w:right w:val="nil"/>
            </w:tcBorders>
            <w:shd w:val="clear" w:color="auto" w:fill="D9D9D9"/>
          </w:tcPr>
          <w:p w:rsidR="0064605E" w:rsidRDefault="0064605E">
            <w:pPr>
              <w:spacing w:after="0" w:line="240" w:lineRule="auto"/>
              <w:rPr>
                <w:rFonts w:ascii="Arial" w:hAnsi="Arial" w:cs="Arial"/>
              </w:rPr>
            </w:pPr>
          </w:p>
        </w:tc>
        <w:tc>
          <w:tcPr>
            <w:tcW w:w="360" w:type="dxa"/>
            <w:tcBorders>
              <w:top w:val="single" w:sz="4" w:space="0" w:color="auto"/>
              <w:left w:val="nil"/>
              <w:bottom w:val="single" w:sz="4" w:space="0" w:color="auto"/>
              <w:right w:val="nil"/>
            </w:tcBorders>
            <w:shd w:val="clear" w:color="auto" w:fill="D9D9D9"/>
          </w:tcPr>
          <w:p w:rsidR="0064605E" w:rsidRDefault="0064605E">
            <w:pPr>
              <w:spacing w:after="0" w:line="240" w:lineRule="auto"/>
              <w:jc w:val="center"/>
              <w:rPr>
                <w:rFonts w:ascii="Arial" w:hAnsi="Arial" w:cs="Arial"/>
              </w:rPr>
            </w:pPr>
          </w:p>
        </w:tc>
        <w:tc>
          <w:tcPr>
            <w:tcW w:w="1666" w:type="dxa"/>
            <w:tcBorders>
              <w:top w:val="single" w:sz="4" w:space="0" w:color="auto"/>
              <w:left w:val="nil"/>
              <w:bottom w:val="single" w:sz="4" w:space="0" w:color="auto"/>
              <w:right w:val="nil"/>
            </w:tcBorders>
            <w:shd w:val="clear" w:color="auto" w:fill="D9D9D9"/>
            <w:hideMark/>
          </w:tcPr>
          <w:p w:rsidR="0064605E" w:rsidRDefault="0064605E">
            <w:pPr>
              <w:spacing w:after="0" w:line="240" w:lineRule="auto"/>
              <w:jc w:val="center"/>
              <w:rPr>
                <w:rFonts w:ascii="Arial" w:hAnsi="Arial" w:cs="Arial"/>
              </w:rPr>
            </w:pPr>
            <w:r>
              <w:rPr>
                <w:rFonts w:ascii="Arial" w:eastAsia="Times New Roman" w:hAnsi="Arial" w:cs="Arial"/>
                <w:sz w:val="20"/>
                <w:szCs w:val="20"/>
              </w:rPr>
              <w:t>Tanezumab</w:t>
            </w:r>
          </w:p>
          <w:p w:rsidR="0064605E" w:rsidRDefault="0064605E">
            <w:pPr>
              <w:spacing w:after="0" w:line="240" w:lineRule="auto"/>
              <w:jc w:val="center"/>
              <w:rPr>
                <w:rFonts w:ascii="Arial" w:hAnsi="Arial" w:cs="Arial"/>
              </w:rPr>
            </w:pPr>
            <w:r>
              <w:rPr>
                <w:rFonts w:ascii="Arial" w:eastAsia="Times New Roman" w:hAnsi="Arial" w:cs="Arial"/>
                <w:sz w:val="20"/>
                <w:szCs w:val="20"/>
              </w:rPr>
              <w:t>10 µg/kg</w:t>
            </w:r>
          </w:p>
          <w:p w:rsidR="0064605E" w:rsidRDefault="0064605E">
            <w:pPr>
              <w:spacing w:after="0" w:line="240" w:lineRule="auto"/>
              <w:jc w:val="center"/>
              <w:rPr>
                <w:rFonts w:ascii="Arial" w:hAnsi="Arial" w:cs="Arial"/>
              </w:rPr>
            </w:pPr>
            <w:r>
              <w:rPr>
                <w:rFonts w:ascii="Arial" w:eastAsia="Times New Roman" w:hAnsi="Arial" w:cs="Arial"/>
                <w:sz w:val="20"/>
                <w:szCs w:val="20"/>
              </w:rPr>
              <w:t>(</w:t>
            </w:r>
            <w:r>
              <w:rPr>
                <w:rFonts w:ascii="Arial" w:eastAsia="Times New Roman" w:hAnsi="Arial" w:cs="Arial"/>
                <w:i/>
                <w:sz w:val="20"/>
                <w:szCs w:val="20"/>
              </w:rPr>
              <w:t>n</w:t>
            </w:r>
            <w:r>
              <w:rPr>
                <w:rFonts w:ascii="Arial" w:eastAsia="Times New Roman" w:hAnsi="Arial" w:cs="Arial"/>
                <w:sz w:val="20"/>
                <w:szCs w:val="20"/>
              </w:rPr>
              <w:t xml:space="preserve"> = 8)</w:t>
            </w:r>
          </w:p>
        </w:tc>
        <w:tc>
          <w:tcPr>
            <w:tcW w:w="1791" w:type="dxa"/>
            <w:tcBorders>
              <w:top w:val="single" w:sz="4" w:space="0" w:color="auto"/>
              <w:left w:val="nil"/>
              <w:bottom w:val="single" w:sz="4" w:space="0" w:color="auto"/>
              <w:right w:val="nil"/>
            </w:tcBorders>
            <w:shd w:val="clear" w:color="auto" w:fill="D9D9D9"/>
            <w:hideMark/>
          </w:tcPr>
          <w:p w:rsidR="0064605E" w:rsidRDefault="0064605E">
            <w:pPr>
              <w:spacing w:after="0" w:line="240" w:lineRule="auto"/>
              <w:jc w:val="center"/>
              <w:rPr>
                <w:rFonts w:ascii="Arial" w:hAnsi="Arial" w:cs="Arial"/>
              </w:rPr>
            </w:pPr>
            <w:r>
              <w:rPr>
                <w:rFonts w:ascii="Arial" w:eastAsia="Times New Roman" w:hAnsi="Arial" w:cs="Arial"/>
                <w:sz w:val="20"/>
                <w:szCs w:val="20"/>
              </w:rPr>
              <w:t>Tanezumab</w:t>
            </w:r>
          </w:p>
          <w:p w:rsidR="0064605E" w:rsidRDefault="0064605E">
            <w:pPr>
              <w:spacing w:after="0" w:line="240" w:lineRule="auto"/>
              <w:jc w:val="center"/>
              <w:rPr>
                <w:rFonts w:ascii="Arial" w:hAnsi="Arial" w:cs="Arial"/>
              </w:rPr>
            </w:pPr>
            <w:r>
              <w:rPr>
                <w:rFonts w:ascii="Arial" w:eastAsia="Times New Roman" w:hAnsi="Arial" w:cs="Arial"/>
                <w:sz w:val="20"/>
                <w:szCs w:val="20"/>
              </w:rPr>
              <w:t>30 µg/kg</w:t>
            </w:r>
          </w:p>
          <w:p w:rsidR="0064605E" w:rsidRDefault="0064605E">
            <w:pPr>
              <w:spacing w:after="0" w:line="240" w:lineRule="auto"/>
              <w:jc w:val="center"/>
              <w:rPr>
                <w:rFonts w:ascii="Arial" w:hAnsi="Arial" w:cs="Arial"/>
              </w:rPr>
            </w:pPr>
            <w:r>
              <w:rPr>
                <w:rFonts w:ascii="Arial" w:eastAsia="Times New Roman" w:hAnsi="Arial" w:cs="Arial"/>
                <w:sz w:val="20"/>
                <w:szCs w:val="20"/>
              </w:rPr>
              <w:t>(</w:t>
            </w:r>
            <w:r>
              <w:rPr>
                <w:rFonts w:ascii="Arial" w:eastAsia="Times New Roman" w:hAnsi="Arial" w:cs="Arial"/>
                <w:i/>
                <w:sz w:val="20"/>
                <w:szCs w:val="20"/>
              </w:rPr>
              <w:t>n</w:t>
            </w:r>
            <w:r>
              <w:rPr>
                <w:rFonts w:ascii="Arial" w:eastAsia="Times New Roman" w:hAnsi="Arial" w:cs="Arial"/>
                <w:sz w:val="20"/>
                <w:szCs w:val="20"/>
              </w:rPr>
              <w:t xml:space="preserve"> = 8)</w:t>
            </w:r>
          </w:p>
        </w:tc>
        <w:tc>
          <w:tcPr>
            <w:tcW w:w="1791" w:type="dxa"/>
            <w:tcBorders>
              <w:top w:val="single" w:sz="4" w:space="0" w:color="auto"/>
              <w:left w:val="nil"/>
              <w:bottom w:val="single" w:sz="4" w:space="0" w:color="auto"/>
              <w:right w:val="nil"/>
            </w:tcBorders>
            <w:shd w:val="clear" w:color="auto" w:fill="D9D9D9"/>
            <w:hideMark/>
          </w:tcPr>
          <w:p w:rsidR="0064605E" w:rsidRDefault="0064605E">
            <w:pPr>
              <w:spacing w:after="0" w:line="240" w:lineRule="auto"/>
              <w:jc w:val="center"/>
              <w:rPr>
                <w:rFonts w:ascii="Arial" w:hAnsi="Arial" w:cs="Arial"/>
              </w:rPr>
            </w:pPr>
            <w:r>
              <w:rPr>
                <w:rFonts w:ascii="Arial" w:eastAsia="Times New Roman" w:hAnsi="Arial" w:cs="Arial"/>
                <w:sz w:val="20"/>
                <w:szCs w:val="20"/>
              </w:rPr>
              <w:t>Tanezumab</w:t>
            </w:r>
          </w:p>
          <w:p w:rsidR="0064605E" w:rsidRDefault="0064605E">
            <w:pPr>
              <w:spacing w:after="0" w:line="240" w:lineRule="auto"/>
              <w:jc w:val="center"/>
              <w:rPr>
                <w:rFonts w:ascii="Arial" w:hAnsi="Arial" w:cs="Arial"/>
              </w:rPr>
            </w:pPr>
            <w:r>
              <w:rPr>
                <w:rFonts w:ascii="Arial" w:eastAsia="Times New Roman" w:hAnsi="Arial" w:cs="Arial"/>
                <w:sz w:val="20"/>
                <w:szCs w:val="20"/>
              </w:rPr>
              <w:t>100 µg/kg</w:t>
            </w:r>
          </w:p>
          <w:p w:rsidR="0064605E" w:rsidRDefault="0064605E">
            <w:pPr>
              <w:spacing w:after="0" w:line="240" w:lineRule="auto"/>
              <w:jc w:val="center"/>
              <w:rPr>
                <w:rFonts w:ascii="Arial" w:hAnsi="Arial" w:cs="Arial"/>
              </w:rPr>
            </w:pPr>
            <w:r>
              <w:rPr>
                <w:rFonts w:ascii="Arial" w:eastAsia="Times New Roman" w:hAnsi="Arial" w:cs="Arial"/>
                <w:sz w:val="20"/>
                <w:szCs w:val="20"/>
              </w:rPr>
              <w:t>(</w:t>
            </w:r>
            <w:r>
              <w:rPr>
                <w:rFonts w:ascii="Arial" w:eastAsia="Times New Roman" w:hAnsi="Arial" w:cs="Arial"/>
                <w:i/>
                <w:sz w:val="20"/>
                <w:szCs w:val="20"/>
              </w:rPr>
              <w:t xml:space="preserve">n </w:t>
            </w:r>
            <w:r>
              <w:rPr>
                <w:rFonts w:ascii="Arial" w:eastAsia="Times New Roman" w:hAnsi="Arial" w:cs="Arial"/>
                <w:sz w:val="20"/>
                <w:szCs w:val="20"/>
              </w:rPr>
              <w:t>= 8)</w:t>
            </w:r>
          </w:p>
        </w:tc>
        <w:tc>
          <w:tcPr>
            <w:tcW w:w="1790" w:type="dxa"/>
            <w:tcBorders>
              <w:top w:val="single" w:sz="4" w:space="0" w:color="auto"/>
              <w:left w:val="nil"/>
              <w:bottom w:val="single" w:sz="4" w:space="0" w:color="auto"/>
              <w:right w:val="nil"/>
            </w:tcBorders>
            <w:shd w:val="clear" w:color="auto" w:fill="D9D9D9"/>
            <w:hideMark/>
          </w:tcPr>
          <w:p w:rsidR="0064605E" w:rsidRDefault="0064605E">
            <w:pPr>
              <w:spacing w:after="0" w:line="240" w:lineRule="auto"/>
              <w:jc w:val="center"/>
              <w:rPr>
                <w:rFonts w:ascii="Arial" w:hAnsi="Arial" w:cs="Arial"/>
              </w:rPr>
            </w:pPr>
            <w:r>
              <w:rPr>
                <w:rFonts w:ascii="Arial" w:eastAsia="Times New Roman" w:hAnsi="Arial" w:cs="Arial"/>
                <w:sz w:val="20"/>
                <w:szCs w:val="20"/>
              </w:rPr>
              <w:t>Tanezumab</w:t>
            </w:r>
          </w:p>
          <w:p w:rsidR="0064605E" w:rsidRDefault="0064605E">
            <w:pPr>
              <w:spacing w:after="0" w:line="240" w:lineRule="auto"/>
              <w:jc w:val="center"/>
              <w:rPr>
                <w:rFonts w:ascii="Arial" w:hAnsi="Arial" w:cs="Arial"/>
              </w:rPr>
            </w:pPr>
            <w:r>
              <w:rPr>
                <w:rFonts w:ascii="Arial" w:eastAsia="Times New Roman" w:hAnsi="Arial" w:cs="Arial"/>
                <w:sz w:val="20"/>
                <w:szCs w:val="20"/>
              </w:rPr>
              <w:t>300 µg/kg</w:t>
            </w:r>
          </w:p>
          <w:p w:rsidR="0064605E" w:rsidRDefault="0064605E">
            <w:pPr>
              <w:spacing w:after="0" w:line="240" w:lineRule="auto"/>
              <w:jc w:val="center"/>
              <w:rPr>
                <w:rFonts w:ascii="Arial" w:hAnsi="Arial" w:cs="Arial"/>
              </w:rPr>
            </w:pPr>
            <w:r>
              <w:rPr>
                <w:rFonts w:ascii="Arial" w:eastAsia="Times New Roman" w:hAnsi="Arial" w:cs="Arial"/>
                <w:sz w:val="20"/>
                <w:szCs w:val="20"/>
              </w:rPr>
              <w:t>(</w:t>
            </w:r>
            <w:r>
              <w:rPr>
                <w:rFonts w:ascii="Arial" w:eastAsia="Times New Roman" w:hAnsi="Arial" w:cs="Arial"/>
                <w:i/>
                <w:sz w:val="20"/>
                <w:szCs w:val="20"/>
              </w:rPr>
              <w:t>n</w:t>
            </w:r>
            <w:r>
              <w:rPr>
                <w:rFonts w:ascii="Arial" w:eastAsia="Times New Roman" w:hAnsi="Arial" w:cs="Arial"/>
                <w:sz w:val="20"/>
                <w:szCs w:val="20"/>
              </w:rPr>
              <w:t xml:space="preserve"> = 8)</w:t>
            </w:r>
          </w:p>
        </w:tc>
        <w:tc>
          <w:tcPr>
            <w:tcW w:w="1791" w:type="dxa"/>
            <w:tcBorders>
              <w:top w:val="single" w:sz="4" w:space="0" w:color="auto"/>
              <w:left w:val="nil"/>
              <w:bottom w:val="single" w:sz="4" w:space="0" w:color="auto"/>
              <w:right w:val="nil"/>
            </w:tcBorders>
            <w:shd w:val="clear" w:color="auto" w:fill="D9D9D9"/>
            <w:hideMark/>
          </w:tcPr>
          <w:p w:rsidR="0064605E" w:rsidRDefault="0064605E">
            <w:pPr>
              <w:spacing w:after="0" w:line="240" w:lineRule="auto"/>
              <w:jc w:val="center"/>
              <w:rPr>
                <w:rFonts w:ascii="Arial" w:hAnsi="Arial" w:cs="Arial"/>
              </w:rPr>
            </w:pPr>
            <w:r>
              <w:rPr>
                <w:rFonts w:ascii="Arial" w:eastAsia="Times New Roman" w:hAnsi="Arial" w:cs="Arial"/>
                <w:sz w:val="20"/>
                <w:szCs w:val="20"/>
              </w:rPr>
              <w:t>Tanezumab</w:t>
            </w:r>
          </w:p>
          <w:p w:rsidR="0064605E" w:rsidRDefault="0064605E">
            <w:pPr>
              <w:spacing w:after="0" w:line="240" w:lineRule="auto"/>
              <w:jc w:val="center"/>
              <w:rPr>
                <w:rFonts w:ascii="Arial" w:hAnsi="Arial" w:cs="Arial"/>
              </w:rPr>
            </w:pPr>
            <w:r>
              <w:rPr>
                <w:rFonts w:ascii="Arial" w:eastAsia="Times New Roman" w:hAnsi="Arial" w:cs="Arial"/>
                <w:sz w:val="20"/>
                <w:szCs w:val="20"/>
              </w:rPr>
              <w:t>1000 µg/kg</w:t>
            </w:r>
          </w:p>
          <w:p w:rsidR="0064605E" w:rsidRDefault="0064605E">
            <w:pPr>
              <w:spacing w:after="0" w:line="240" w:lineRule="auto"/>
              <w:jc w:val="center"/>
              <w:rPr>
                <w:rFonts w:ascii="Arial" w:hAnsi="Arial" w:cs="Arial"/>
              </w:rPr>
            </w:pPr>
            <w:r>
              <w:rPr>
                <w:rFonts w:ascii="Arial" w:eastAsia="Times New Roman" w:hAnsi="Arial" w:cs="Arial"/>
                <w:sz w:val="20"/>
                <w:szCs w:val="20"/>
              </w:rPr>
              <w:t>(</w:t>
            </w:r>
            <w:r>
              <w:rPr>
                <w:rFonts w:ascii="Arial" w:eastAsia="Times New Roman" w:hAnsi="Arial" w:cs="Arial"/>
                <w:i/>
                <w:sz w:val="20"/>
                <w:szCs w:val="20"/>
              </w:rPr>
              <w:t>n</w:t>
            </w:r>
            <w:r>
              <w:rPr>
                <w:rFonts w:ascii="Arial" w:eastAsia="Times New Roman" w:hAnsi="Arial" w:cs="Arial"/>
                <w:sz w:val="20"/>
                <w:szCs w:val="20"/>
              </w:rPr>
              <w:t xml:space="preserve"> = 8)</w:t>
            </w:r>
          </w:p>
        </w:tc>
        <w:tc>
          <w:tcPr>
            <w:tcW w:w="1521" w:type="dxa"/>
            <w:tcBorders>
              <w:top w:val="single" w:sz="4" w:space="0" w:color="auto"/>
              <w:left w:val="nil"/>
              <w:bottom w:val="single" w:sz="4" w:space="0" w:color="auto"/>
              <w:right w:val="nil"/>
            </w:tcBorders>
            <w:shd w:val="clear" w:color="auto" w:fill="D9D9D9"/>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Placebo</w:t>
            </w:r>
          </w:p>
          <w:p w:rsidR="0064605E" w:rsidRDefault="0064605E">
            <w:pPr>
              <w:spacing w:after="0" w:line="240" w:lineRule="auto"/>
              <w:jc w:val="center"/>
              <w:rPr>
                <w:rFonts w:ascii="Arial" w:hAnsi="Arial" w:cs="Arial"/>
              </w:rPr>
            </w:pPr>
          </w:p>
          <w:p w:rsidR="0064605E" w:rsidRDefault="0064605E">
            <w:pPr>
              <w:spacing w:after="0" w:line="240" w:lineRule="auto"/>
              <w:jc w:val="center"/>
              <w:rPr>
                <w:rFonts w:ascii="Arial" w:hAnsi="Arial" w:cs="Arial"/>
              </w:rPr>
            </w:pPr>
            <w:r>
              <w:rPr>
                <w:rFonts w:ascii="Arial" w:eastAsia="Times New Roman" w:hAnsi="Arial" w:cs="Arial"/>
                <w:sz w:val="20"/>
                <w:szCs w:val="20"/>
              </w:rPr>
              <w:t>(</w:t>
            </w:r>
            <w:r>
              <w:rPr>
                <w:rFonts w:ascii="Arial" w:eastAsia="Times New Roman" w:hAnsi="Arial" w:cs="Arial"/>
                <w:i/>
                <w:sz w:val="20"/>
                <w:szCs w:val="20"/>
              </w:rPr>
              <w:t>n</w:t>
            </w:r>
            <w:r>
              <w:rPr>
                <w:rFonts w:ascii="Arial" w:eastAsia="Times New Roman" w:hAnsi="Arial" w:cs="Arial"/>
                <w:sz w:val="20"/>
                <w:szCs w:val="20"/>
              </w:rPr>
              <w:t xml:space="preserve"> = 10)</w:t>
            </w:r>
          </w:p>
        </w:tc>
      </w:tr>
      <w:tr w:rsidR="0064605E" w:rsidTr="0064605E">
        <w:tc>
          <w:tcPr>
            <w:tcW w:w="3708" w:type="dxa"/>
            <w:tcBorders>
              <w:top w:val="single" w:sz="4" w:space="0" w:color="auto"/>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Patients reporting:</w:t>
            </w:r>
          </w:p>
        </w:tc>
        <w:tc>
          <w:tcPr>
            <w:tcW w:w="360"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791"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791"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790"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791"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521" w:type="dxa"/>
            <w:tcBorders>
              <w:top w:val="single" w:sz="4" w:space="0" w:color="auto"/>
              <w:left w:val="nil"/>
              <w:bottom w:val="nil"/>
              <w:right w:val="nil"/>
            </w:tcBorders>
          </w:tcPr>
          <w:p w:rsidR="0064605E" w:rsidRDefault="0064605E">
            <w:pPr>
              <w:spacing w:after="0" w:line="240" w:lineRule="auto"/>
              <w:jc w:val="center"/>
              <w:rPr>
                <w:rFonts w:ascii="Arial" w:eastAsia="Times New Roman" w:hAnsi="Arial" w:cs="Arial"/>
                <w:sz w:val="20"/>
                <w:szCs w:val="20"/>
              </w:rPr>
            </w:pPr>
          </w:p>
        </w:tc>
      </w:tr>
      <w:tr w:rsidR="0064605E" w:rsidTr="0064605E">
        <w:tc>
          <w:tcPr>
            <w:tcW w:w="3708" w:type="dxa"/>
            <w:tcBorders>
              <w:top w:val="nil"/>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 xml:space="preserve">Any adverse events,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7 (87.5)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8 (100.0)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6 (75.0)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8 (100.0)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8 (100.0)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8 (80.0)</w:t>
            </w:r>
          </w:p>
        </w:tc>
      </w:tr>
      <w:tr w:rsidR="0064605E" w:rsidTr="0064605E">
        <w:tc>
          <w:tcPr>
            <w:tcW w:w="3708" w:type="dxa"/>
            <w:tcBorders>
              <w:top w:val="nil"/>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 xml:space="preserve">Serious adverse events,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w:t>
            </w:r>
            <w:proofErr w:type="gramStart"/>
            <w:r>
              <w:rPr>
                <w:rFonts w:ascii="Arial" w:eastAsia="Times New Roman" w:hAnsi="Arial" w:cs="Arial"/>
                <w:sz w:val="20"/>
                <w:szCs w:val="20"/>
              </w:rPr>
              <w:t>25.0)</w:t>
            </w:r>
            <w:r>
              <w:rPr>
                <w:rFonts w:ascii="Arial" w:eastAsia="Times New Roman" w:hAnsi="Arial" w:cs="Arial"/>
                <w:sz w:val="20"/>
                <w:szCs w:val="20"/>
                <w:vertAlign w:val="superscript"/>
              </w:rPr>
              <w:t>a</w:t>
            </w:r>
            <w:proofErr w:type="gramEnd"/>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w:t>
            </w:r>
            <w:proofErr w:type="gramStart"/>
            <w:r>
              <w:rPr>
                <w:rFonts w:ascii="Arial" w:eastAsia="Times New Roman" w:hAnsi="Arial" w:cs="Arial"/>
                <w:sz w:val="20"/>
                <w:szCs w:val="20"/>
              </w:rPr>
              <w:t>12.5)</w:t>
            </w:r>
            <w:r>
              <w:rPr>
                <w:rFonts w:ascii="Arial" w:eastAsia="Times New Roman" w:hAnsi="Arial" w:cs="Arial"/>
                <w:sz w:val="20"/>
                <w:szCs w:val="20"/>
                <w:vertAlign w:val="superscript"/>
              </w:rPr>
              <w:t>a</w:t>
            </w:r>
            <w:proofErr w:type="gramEnd"/>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4068" w:type="dxa"/>
            <w:gridSpan w:val="2"/>
            <w:tcBorders>
              <w:top w:val="nil"/>
              <w:left w:val="nil"/>
              <w:bottom w:val="single" w:sz="4" w:space="0" w:color="auto"/>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 xml:space="preserve">Discontinued due to adverse events, </w:t>
            </w:r>
            <w:r>
              <w:rPr>
                <w:rFonts w:ascii="Arial" w:eastAsia="Times New Roman" w:hAnsi="Arial" w:cs="Arial"/>
                <w:i/>
                <w:sz w:val="20"/>
                <w:szCs w:val="20"/>
              </w:rPr>
              <w:t>n</w:t>
            </w:r>
            <w:r>
              <w:rPr>
                <w:rFonts w:ascii="Arial" w:eastAsia="Times New Roman" w:hAnsi="Arial" w:cs="Arial"/>
                <w:sz w:val="20"/>
                <w:szCs w:val="20"/>
              </w:rPr>
              <w:t xml:space="preserve"> (%)</w:t>
            </w:r>
          </w:p>
        </w:tc>
        <w:tc>
          <w:tcPr>
            <w:tcW w:w="1666"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2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14418" w:type="dxa"/>
            <w:gridSpan w:val="8"/>
            <w:tcBorders>
              <w:top w:val="single" w:sz="4" w:space="0" w:color="auto"/>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Adverse events reported by ≥2 of tanezumab- or placebo-treated patients, or combined</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i/>
                <w:sz w:val="20"/>
                <w:szCs w:val="20"/>
              </w:rPr>
            </w:pPr>
            <w:r>
              <w:rPr>
                <w:rFonts w:ascii="Arial" w:eastAsia="Times New Roman" w:hAnsi="Arial" w:cs="Arial"/>
                <w:sz w:val="20"/>
                <w:szCs w:val="20"/>
              </w:rPr>
              <w:t xml:space="preserve">Allodynia, </w:t>
            </w:r>
            <w:r>
              <w:rPr>
                <w:rFonts w:ascii="Arial" w:eastAsia="Times New Roman" w:hAnsi="Arial" w:cs="Arial"/>
                <w:i/>
                <w:sz w:val="20"/>
                <w:szCs w:val="20"/>
              </w:rPr>
              <w:t>n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4 (50)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Arthralgia, </w:t>
            </w:r>
            <w:r>
              <w:rPr>
                <w:rFonts w:ascii="Arial" w:eastAsia="Times New Roman" w:hAnsi="Arial" w:cs="Arial"/>
                <w:i/>
                <w:sz w:val="20"/>
                <w:szCs w:val="20"/>
              </w:rPr>
              <w:t xml:space="preserve">n </w:t>
            </w:r>
            <w:r>
              <w:rPr>
                <w:rFonts w:ascii="Arial" w:eastAsia="Times New Roman" w:hAnsi="Arial" w:cs="Arial"/>
                <w:sz w:val="20"/>
                <w:szCs w:val="20"/>
              </w:rPr>
              <w:t>(%)</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Convulsion,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Cough,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Diarrhea,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Dizziness,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4 (50.0)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(37.5)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(37.5)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(30.0)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proofErr w:type="spellStart"/>
            <w:r>
              <w:rPr>
                <w:rFonts w:ascii="Arial" w:eastAsia="Times New Roman" w:hAnsi="Arial" w:cs="Arial"/>
                <w:sz w:val="20"/>
                <w:szCs w:val="20"/>
              </w:rPr>
              <w:t>Dysethesia</w:t>
            </w:r>
            <w:proofErr w:type="spellEnd"/>
            <w:r>
              <w:rPr>
                <w:rFonts w:ascii="Arial" w:eastAsia="Times New Roman" w:hAnsi="Arial" w:cs="Arial"/>
                <w:sz w:val="20"/>
                <w:szCs w:val="20"/>
              </w:rPr>
              <w:t xml:space="preserve">,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Headache, </w:t>
            </w:r>
            <w:r>
              <w:rPr>
                <w:rFonts w:ascii="Arial" w:eastAsia="Times New Roman" w:hAnsi="Arial" w:cs="Arial"/>
                <w:i/>
                <w:sz w:val="20"/>
                <w:szCs w:val="20"/>
              </w:rPr>
              <w:t xml:space="preserve">n </w:t>
            </w:r>
            <w:r>
              <w:rPr>
                <w:rFonts w:ascii="Arial" w:eastAsia="Times New Roman" w:hAnsi="Arial" w:cs="Arial"/>
                <w:sz w:val="20"/>
                <w:szCs w:val="20"/>
              </w:rPr>
              <w:t>(%)</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5 (62.5)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Hematuria,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Menorrhagia,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Muscle spasms</w:t>
            </w:r>
            <w:r>
              <w:rPr>
                <w:rFonts w:ascii="Arial" w:eastAsia="Times New Roman" w:hAnsi="Arial" w:cs="Arial"/>
                <w:i/>
                <w:sz w:val="20"/>
                <w:szCs w:val="20"/>
              </w:rPr>
              <w:t>, 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Muscle twitching,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Musculoskeletal chest pain,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Myalgia, </w:t>
            </w:r>
            <w:r>
              <w:rPr>
                <w:rFonts w:ascii="Arial" w:eastAsia="Times New Roman" w:hAnsi="Arial" w:cs="Arial"/>
                <w:i/>
                <w:sz w:val="20"/>
                <w:szCs w:val="20"/>
              </w:rPr>
              <w:t xml:space="preserve">n </w:t>
            </w:r>
            <w:r>
              <w:rPr>
                <w:rFonts w:ascii="Arial" w:eastAsia="Times New Roman" w:hAnsi="Arial" w:cs="Arial"/>
                <w:sz w:val="20"/>
                <w:szCs w:val="20"/>
              </w:rPr>
              <w:t>(%)</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(10.0)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Nausea,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5 (62.5)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(37.5)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5 (50.0)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Nasopharyngitis,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4 (40.0)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Pain (General disorder / admin site)</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Pain in extremity,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Pharyngitis streptococcal, </w:t>
            </w:r>
            <w:r>
              <w:rPr>
                <w:rFonts w:ascii="Arial" w:eastAsia="Times New Roman" w:hAnsi="Arial" w:cs="Arial"/>
                <w:i/>
                <w:sz w:val="20"/>
                <w:szCs w:val="20"/>
              </w:rPr>
              <w:t xml:space="preserve">n </w:t>
            </w:r>
            <w:r>
              <w:rPr>
                <w:rFonts w:ascii="Arial" w:eastAsia="Times New Roman" w:hAnsi="Arial" w:cs="Arial"/>
                <w:sz w:val="20"/>
                <w:szCs w:val="20"/>
              </w:rPr>
              <w:t>(%)</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rPr>
          <w:trHeight w:val="81"/>
        </w:trPr>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Somnolence,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rPr>
          <w:trHeight w:val="81"/>
        </w:trPr>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Upper abdominal pain, </w:t>
            </w:r>
            <w:r>
              <w:rPr>
                <w:rFonts w:ascii="Arial" w:eastAsia="Times New Roman" w:hAnsi="Arial" w:cs="Arial"/>
                <w:i/>
                <w:sz w:val="20"/>
                <w:szCs w:val="20"/>
              </w:rPr>
              <w:t>n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(20.0)</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Vomiting,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2 (25.0)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3 (30.0)</w:t>
            </w:r>
          </w:p>
        </w:tc>
      </w:tr>
      <w:tr w:rsidR="0064605E" w:rsidTr="0064605E">
        <w:tc>
          <w:tcPr>
            <w:tcW w:w="14418" w:type="dxa"/>
            <w:gridSpan w:val="8"/>
            <w:tcBorders>
              <w:top w:val="single" w:sz="4" w:space="0" w:color="auto"/>
              <w:left w:val="nil"/>
              <w:bottom w:val="nil"/>
              <w:right w:val="nil"/>
            </w:tcBorders>
            <w:hideMark/>
          </w:tcPr>
          <w:p w:rsidR="0064605E" w:rsidRDefault="0064605E">
            <w:pPr>
              <w:spacing w:after="0" w:line="240" w:lineRule="auto"/>
              <w:rPr>
                <w:rFonts w:ascii="Arial" w:eastAsia="Times New Roman" w:hAnsi="Arial" w:cs="Arial"/>
                <w:sz w:val="20"/>
                <w:szCs w:val="20"/>
              </w:rPr>
            </w:pPr>
            <w:r>
              <w:rPr>
                <w:rFonts w:ascii="Arial" w:eastAsia="Times New Roman" w:hAnsi="Arial" w:cs="Arial"/>
                <w:sz w:val="20"/>
                <w:szCs w:val="20"/>
              </w:rPr>
              <w:t>Adverse events of abnormal peripheral sensation</w:t>
            </w:r>
          </w:p>
        </w:tc>
      </w:tr>
      <w:tr w:rsidR="0064605E" w:rsidTr="0064605E">
        <w:tc>
          <w:tcPr>
            <w:tcW w:w="3708" w:type="dxa"/>
            <w:tcBorders>
              <w:top w:val="nil"/>
              <w:left w:val="nil"/>
              <w:bottom w:val="nil"/>
              <w:right w:val="nil"/>
            </w:tcBorders>
            <w:hideMark/>
          </w:tcPr>
          <w:p w:rsidR="0064605E" w:rsidRDefault="0064605E">
            <w:pPr>
              <w:spacing w:after="0" w:line="240" w:lineRule="auto"/>
              <w:ind w:left="144"/>
              <w:rPr>
                <w:rFonts w:ascii="Arial" w:eastAsia="Times New Roman" w:hAnsi="Arial" w:cs="Arial"/>
                <w:sz w:val="20"/>
                <w:szCs w:val="20"/>
              </w:rPr>
            </w:pPr>
            <w:r>
              <w:rPr>
                <w:rFonts w:ascii="Arial" w:eastAsia="Times New Roman" w:hAnsi="Arial" w:cs="Arial"/>
                <w:sz w:val="20"/>
                <w:szCs w:val="20"/>
              </w:rPr>
              <w:t xml:space="preserve">Allodynia,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nil"/>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4 (50.0)</w:t>
            </w:r>
          </w:p>
        </w:tc>
        <w:tc>
          <w:tcPr>
            <w:tcW w:w="1521" w:type="dxa"/>
            <w:tcBorders>
              <w:top w:val="nil"/>
              <w:left w:val="nil"/>
              <w:bottom w:val="nil"/>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64605E" w:rsidTr="0064605E">
        <w:tc>
          <w:tcPr>
            <w:tcW w:w="3708" w:type="dxa"/>
            <w:tcBorders>
              <w:top w:val="nil"/>
              <w:left w:val="nil"/>
              <w:bottom w:val="single" w:sz="4" w:space="0" w:color="auto"/>
              <w:right w:val="nil"/>
            </w:tcBorders>
            <w:hideMark/>
          </w:tcPr>
          <w:p w:rsidR="0064605E" w:rsidRDefault="0064605E">
            <w:pPr>
              <w:spacing w:after="0" w:line="240" w:lineRule="auto"/>
              <w:ind w:left="144"/>
              <w:rPr>
                <w:rFonts w:ascii="Arial" w:eastAsia="Times New Roman" w:hAnsi="Arial" w:cs="Arial"/>
                <w:sz w:val="20"/>
                <w:szCs w:val="20"/>
              </w:rPr>
            </w:pPr>
            <w:proofErr w:type="spellStart"/>
            <w:r>
              <w:rPr>
                <w:rFonts w:ascii="Arial" w:eastAsia="Times New Roman" w:hAnsi="Arial" w:cs="Arial"/>
                <w:sz w:val="20"/>
                <w:szCs w:val="20"/>
              </w:rPr>
              <w:t>Dysethesia</w:t>
            </w:r>
            <w:proofErr w:type="spellEnd"/>
            <w:r>
              <w:rPr>
                <w:rFonts w:ascii="Arial" w:eastAsia="Times New Roman" w:hAnsi="Arial" w:cs="Arial"/>
                <w:sz w:val="20"/>
                <w:szCs w:val="20"/>
              </w:rPr>
              <w:t xml:space="preserve">, </w:t>
            </w:r>
            <w:r>
              <w:rPr>
                <w:rFonts w:ascii="Arial" w:eastAsia="Times New Roman" w:hAnsi="Arial" w:cs="Arial"/>
                <w:i/>
                <w:sz w:val="20"/>
                <w:szCs w:val="20"/>
              </w:rPr>
              <w:t>n</w:t>
            </w:r>
            <w:r>
              <w:rPr>
                <w:rFonts w:ascii="Arial" w:eastAsia="Times New Roman" w:hAnsi="Arial" w:cs="Arial"/>
                <w:sz w:val="20"/>
                <w:szCs w:val="20"/>
              </w:rPr>
              <w:t xml:space="preserve"> (%)</w:t>
            </w:r>
          </w:p>
        </w:tc>
        <w:tc>
          <w:tcPr>
            <w:tcW w:w="360" w:type="dxa"/>
            <w:tcBorders>
              <w:top w:val="nil"/>
              <w:left w:val="nil"/>
              <w:bottom w:val="single" w:sz="4" w:space="0" w:color="auto"/>
              <w:right w:val="nil"/>
            </w:tcBorders>
          </w:tcPr>
          <w:p w:rsidR="0064605E" w:rsidRDefault="0064605E">
            <w:pPr>
              <w:spacing w:after="0" w:line="240" w:lineRule="auto"/>
              <w:jc w:val="center"/>
              <w:rPr>
                <w:rFonts w:ascii="Arial" w:eastAsia="Times New Roman" w:hAnsi="Arial" w:cs="Arial"/>
                <w:sz w:val="20"/>
                <w:szCs w:val="20"/>
              </w:rPr>
            </w:pPr>
          </w:p>
        </w:tc>
        <w:tc>
          <w:tcPr>
            <w:tcW w:w="1666"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0"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9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1 (12.5)</w:t>
            </w:r>
          </w:p>
        </w:tc>
        <w:tc>
          <w:tcPr>
            <w:tcW w:w="1521" w:type="dxa"/>
            <w:tcBorders>
              <w:top w:val="nil"/>
              <w:left w:val="nil"/>
              <w:bottom w:val="single" w:sz="4" w:space="0" w:color="auto"/>
              <w:right w:val="nil"/>
            </w:tcBorders>
            <w:hideMark/>
          </w:tcPr>
          <w:p w:rsidR="0064605E" w:rsidRDefault="0064605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bl>
    <w:p w:rsidR="0064605E" w:rsidRDefault="0064605E" w:rsidP="0064605E">
      <w:pPr>
        <w:spacing w:after="0" w:line="480" w:lineRule="auto"/>
        <w:contextualSpacing/>
        <w:rPr>
          <w:rFonts w:ascii="Arial" w:hAnsi="Arial" w:cs="Arial"/>
          <w:sz w:val="24"/>
          <w:szCs w:val="24"/>
        </w:rPr>
      </w:pPr>
      <w:r>
        <w:rPr>
          <w:rFonts w:ascii="Arial" w:hAnsi="Arial" w:cs="Arial"/>
          <w:sz w:val="24"/>
          <w:szCs w:val="24"/>
          <w:vertAlign w:val="superscript"/>
        </w:rPr>
        <w:t>a</w:t>
      </w:r>
      <w:r>
        <w:rPr>
          <w:rFonts w:ascii="Arial" w:hAnsi="Arial" w:cs="Arial"/>
          <w:sz w:val="24"/>
          <w:szCs w:val="24"/>
        </w:rPr>
        <w:t xml:space="preserve"> Judged by the investigator as treatment-related.</w:t>
      </w:r>
    </w:p>
    <w:sectPr w:rsidR="0064605E" w:rsidSect="006460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a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ar0ws9ueszr6e0ts6xa2v2v5ep0xa2dpfe&quot;&gt;CL001 CL002&lt;record-ids&gt;&lt;item&gt;13&lt;/item&gt;&lt;/record-ids&gt;&lt;/item&gt;&lt;/Libraries&gt;"/>
  </w:docVars>
  <w:rsids>
    <w:rsidRoot w:val="00785B10"/>
    <w:rsid w:val="00040D73"/>
    <w:rsid w:val="00181460"/>
    <w:rsid w:val="0064605E"/>
    <w:rsid w:val="0075653A"/>
    <w:rsid w:val="00785B10"/>
    <w:rsid w:val="00CC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99850-EA3E-487D-AF9C-72F05FA3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B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02">
      <w:bodyDiv w:val="1"/>
      <w:marLeft w:val="0"/>
      <w:marRight w:val="0"/>
      <w:marTop w:val="0"/>
      <w:marBottom w:val="0"/>
      <w:divBdr>
        <w:top w:val="none" w:sz="0" w:space="0" w:color="auto"/>
        <w:left w:val="none" w:sz="0" w:space="0" w:color="auto"/>
        <w:bottom w:val="none" w:sz="0" w:space="0" w:color="auto"/>
        <w:right w:val="none" w:sz="0" w:space="0" w:color="auto"/>
      </w:divBdr>
    </w:div>
    <w:div w:id="116293350">
      <w:bodyDiv w:val="1"/>
      <w:marLeft w:val="0"/>
      <w:marRight w:val="0"/>
      <w:marTop w:val="0"/>
      <w:marBottom w:val="0"/>
      <w:divBdr>
        <w:top w:val="none" w:sz="0" w:space="0" w:color="auto"/>
        <w:left w:val="none" w:sz="0" w:space="0" w:color="auto"/>
        <w:bottom w:val="none" w:sz="0" w:space="0" w:color="auto"/>
        <w:right w:val="none" w:sz="0" w:space="0" w:color="auto"/>
      </w:divBdr>
    </w:div>
    <w:div w:id="182011295">
      <w:bodyDiv w:val="1"/>
      <w:marLeft w:val="0"/>
      <w:marRight w:val="0"/>
      <w:marTop w:val="0"/>
      <w:marBottom w:val="0"/>
      <w:divBdr>
        <w:top w:val="none" w:sz="0" w:space="0" w:color="auto"/>
        <w:left w:val="none" w:sz="0" w:space="0" w:color="auto"/>
        <w:bottom w:val="none" w:sz="0" w:space="0" w:color="auto"/>
        <w:right w:val="none" w:sz="0" w:space="0" w:color="auto"/>
      </w:divBdr>
    </w:div>
    <w:div w:id="307246842">
      <w:bodyDiv w:val="1"/>
      <w:marLeft w:val="0"/>
      <w:marRight w:val="0"/>
      <w:marTop w:val="0"/>
      <w:marBottom w:val="0"/>
      <w:divBdr>
        <w:top w:val="none" w:sz="0" w:space="0" w:color="auto"/>
        <w:left w:val="none" w:sz="0" w:space="0" w:color="auto"/>
        <w:bottom w:val="none" w:sz="0" w:space="0" w:color="auto"/>
        <w:right w:val="none" w:sz="0" w:space="0" w:color="auto"/>
      </w:divBdr>
    </w:div>
    <w:div w:id="1388844023">
      <w:bodyDiv w:val="1"/>
      <w:marLeft w:val="0"/>
      <w:marRight w:val="0"/>
      <w:marTop w:val="0"/>
      <w:marBottom w:val="0"/>
      <w:divBdr>
        <w:top w:val="none" w:sz="0" w:space="0" w:color="auto"/>
        <w:left w:val="none" w:sz="0" w:space="0" w:color="auto"/>
        <w:bottom w:val="none" w:sz="0" w:space="0" w:color="auto"/>
        <w:right w:val="none" w:sz="0" w:space="0" w:color="auto"/>
      </w:divBdr>
    </w:div>
    <w:div w:id="1567299982">
      <w:bodyDiv w:val="1"/>
      <w:marLeft w:val="0"/>
      <w:marRight w:val="0"/>
      <w:marTop w:val="0"/>
      <w:marBottom w:val="0"/>
      <w:divBdr>
        <w:top w:val="none" w:sz="0" w:space="0" w:color="auto"/>
        <w:left w:val="none" w:sz="0" w:space="0" w:color="auto"/>
        <w:bottom w:val="none" w:sz="0" w:space="0" w:color="auto"/>
        <w:right w:val="none" w:sz="0" w:space="0" w:color="auto"/>
      </w:divBdr>
    </w:div>
    <w:div w:id="1825848813">
      <w:bodyDiv w:val="1"/>
      <w:marLeft w:val="0"/>
      <w:marRight w:val="0"/>
      <w:marTop w:val="0"/>
      <w:marBottom w:val="0"/>
      <w:divBdr>
        <w:top w:val="none" w:sz="0" w:space="0" w:color="auto"/>
        <w:left w:val="none" w:sz="0" w:space="0" w:color="auto"/>
        <w:bottom w:val="none" w:sz="0" w:space="0" w:color="auto"/>
        <w:right w:val="none" w:sz="0" w:space="0" w:color="auto"/>
      </w:divBdr>
    </w:div>
    <w:div w:id="1900360031">
      <w:bodyDiv w:val="1"/>
      <w:marLeft w:val="0"/>
      <w:marRight w:val="0"/>
      <w:marTop w:val="0"/>
      <w:marBottom w:val="0"/>
      <w:divBdr>
        <w:top w:val="none" w:sz="0" w:space="0" w:color="auto"/>
        <w:left w:val="none" w:sz="0" w:space="0" w:color="auto"/>
        <w:bottom w:val="none" w:sz="0" w:space="0" w:color="auto"/>
        <w:right w:val="none" w:sz="0" w:space="0" w:color="auto"/>
      </w:divBdr>
    </w:div>
    <w:div w:id="19404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ENNIE~1.KIN\AppData\Local\Temp\Appendix%20Text%204.docx" TargetMode="External"/><Relationship Id="rId4" Type="http://schemas.openxmlformats.org/officeDocument/2006/relationships/hyperlink" Target="file:///C:\Users\JENNIE~1.KIN\AppData\Local\Temp\Appendix%20Text%2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Oleynek, Joseph</dc:creator>
  <cp:keywords/>
  <dc:description/>
  <cp:lastModifiedBy>Kiniry, Jennie</cp:lastModifiedBy>
  <cp:revision>4</cp:revision>
  <dcterms:created xsi:type="dcterms:W3CDTF">2018-03-16T16:15:00Z</dcterms:created>
  <dcterms:modified xsi:type="dcterms:W3CDTF">2018-03-16T16:22:00Z</dcterms:modified>
</cp:coreProperties>
</file>