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E1AB5" w:rsidRDefault="009A4F0E">
      <w:pPr>
        <w:shd w:val="clear" w:color="auto" w:fill="FFFFFF"/>
        <w:spacing w:line="480" w:lineRule="auto"/>
        <w:rPr>
          <w:b/>
        </w:rPr>
      </w:pPr>
      <w:r>
        <w:rPr>
          <w:b/>
        </w:rPr>
        <w:t>Appendix 1: Methods</w:t>
      </w:r>
    </w:p>
    <w:p w14:paraId="00000002" w14:textId="35CC4C9D" w:rsidR="008E1AB5" w:rsidRDefault="009A4F0E">
      <w:pPr>
        <w:shd w:val="clear" w:color="auto" w:fill="FFFFFF"/>
        <w:spacing w:line="480" w:lineRule="auto"/>
      </w:pPr>
      <w:r>
        <w:t>Whereas this is a narrative review, we used a systematic approach to identify the relevant literature. We performed two searches on PubMed from inception to September 2019 for terms related to radicular pain and chemotherapy</w:t>
      </w:r>
      <w:r w:rsidR="00112F0E">
        <w:t xml:space="preserve"> induced peripheral neuropathy.</w:t>
      </w:r>
    </w:p>
    <w:p w14:paraId="00000003" w14:textId="10D45E22" w:rsidR="008E1AB5" w:rsidRPr="00112F0E" w:rsidRDefault="009A4F0E">
      <w:pPr>
        <w:shd w:val="clear" w:color="auto" w:fill="FFFFFF"/>
        <w:spacing w:line="480" w:lineRule="auto"/>
        <w:rPr>
          <w:strike/>
          <w:color w:val="0078D4"/>
        </w:rPr>
      </w:pPr>
      <w:r>
        <w:t xml:space="preserve">The </w:t>
      </w:r>
      <w:r w:rsidRPr="009A4F0E">
        <w:t xml:space="preserve">search </w:t>
      </w:r>
      <w:r w:rsidRPr="009A4F0E">
        <w:rPr>
          <w:color w:val="000000" w:themeColor="text1"/>
        </w:rPr>
        <w:t xml:space="preserve">terms </w:t>
      </w:r>
      <w:r w:rsidRPr="009A4F0E">
        <w:rPr>
          <w:color w:val="000000" w:themeColor="text1"/>
        </w:rPr>
        <w:t>for radicular pain were</w:t>
      </w:r>
      <w:r w:rsidR="00112F0E" w:rsidRPr="009A4F0E">
        <w:rPr>
          <w:color w:val="000000" w:themeColor="text1"/>
        </w:rPr>
        <w:t xml:space="preserve"> </w:t>
      </w:r>
      <w:r w:rsidRPr="009A4F0E">
        <w:rPr>
          <w:color w:val="000000" w:themeColor="text1"/>
        </w:rPr>
        <w:t>(</w:t>
      </w:r>
      <w:proofErr w:type="spellStart"/>
      <w:r w:rsidRPr="009A4F0E">
        <w:rPr>
          <w:color w:val="000000" w:themeColor="text1"/>
        </w:rPr>
        <w:t>radicul</w:t>
      </w:r>
      <w:proofErr w:type="spellEnd"/>
      <w:r w:rsidRPr="009A4F0E">
        <w:rPr>
          <w:color w:val="000000" w:themeColor="text1"/>
        </w:rPr>
        <w:t>* OR nerve root pain OR sciatica) and for chemotherapy induced peripheral neuropathy the terms were (Che</w:t>
      </w:r>
      <w:r w:rsidRPr="009A4F0E">
        <w:rPr>
          <w:color w:val="000000" w:themeColor="text1"/>
        </w:rPr>
        <w:t>motherapy induced peripheral neuropathy OR chemotherapy induced neuropathy OR chemotherapy induced peripheral nerve pain OR chemotherapy induced neuropathic pain OR chemotherapy induced polyneuropathy). These terms were cross-referenced with terms relating</w:t>
      </w:r>
      <w:r w:rsidRPr="009A4F0E">
        <w:rPr>
          <w:color w:val="000000" w:themeColor="text1"/>
        </w:rPr>
        <w:t xml:space="preserve"> to physiotherapy, namely (</w:t>
      </w:r>
      <w:proofErr w:type="spellStart"/>
      <w:r w:rsidRPr="009A4F0E">
        <w:rPr>
          <w:color w:val="000000" w:themeColor="text1"/>
        </w:rPr>
        <w:t>therap</w:t>
      </w:r>
      <w:proofErr w:type="spellEnd"/>
      <w:r w:rsidRPr="009A4F0E">
        <w:rPr>
          <w:color w:val="000000" w:themeColor="text1"/>
        </w:rPr>
        <w:t xml:space="preserve">* OR </w:t>
      </w:r>
      <w:proofErr w:type="spellStart"/>
      <w:r w:rsidRPr="009A4F0E">
        <w:rPr>
          <w:color w:val="000000" w:themeColor="text1"/>
        </w:rPr>
        <w:t>physiotherap</w:t>
      </w:r>
      <w:proofErr w:type="spellEnd"/>
      <w:r w:rsidRPr="009A4F0E">
        <w:rPr>
          <w:color w:val="000000" w:themeColor="text1"/>
        </w:rPr>
        <w:t xml:space="preserve">* OR physical therapy OR </w:t>
      </w:r>
      <w:proofErr w:type="spellStart"/>
      <w:r w:rsidRPr="009A4F0E">
        <w:rPr>
          <w:color w:val="000000" w:themeColor="text1"/>
        </w:rPr>
        <w:t>exercis</w:t>
      </w:r>
      <w:proofErr w:type="spellEnd"/>
      <w:r w:rsidRPr="009A4F0E">
        <w:rPr>
          <w:color w:val="000000" w:themeColor="text1"/>
        </w:rPr>
        <w:t xml:space="preserve">* OR manual therapy OR training OR massage OR </w:t>
      </w:r>
      <w:proofErr w:type="spellStart"/>
      <w:r w:rsidRPr="009A4F0E">
        <w:rPr>
          <w:color w:val="000000" w:themeColor="text1"/>
        </w:rPr>
        <w:t>mobilisation</w:t>
      </w:r>
      <w:proofErr w:type="spellEnd"/>
      <w:r w:rsidRPr="009A4F0E">
        <w:rPr>
          <w:color w:val="000000" w:themeColor="text1"/>
        </w:rPr>
        <w:t xml:space="preserve"> OR mobilization). </w:t>
      </w:r>
      <w:r w:rsidRPr="009A4F0E">
        <w:rPr>
          <w:color w:val="000000" w:themeColor="text1"/>
        </w:rPr>
        <w:t>We limited</w:t>
      </w:r>
      <w:r w:rsidRPr="00112F0E">
        <w:rPr>
          <w:color w:val="000000" w:themeColor="text1"/>
        </w:rPr>
        <w:t xml:space="preserve"> our search to the last fifteen years because exploratory searches found few trials pub</w:t>
      </w:r>
      <w:r w:rsidRPr="00112F0E">
        <w:rPr>
          <w:color w:val="000000" w:themeColor="text1"/>
        </w:rPr>
        <w:t xml:space="preserve">lished before this time. We also searched through studies’ reference lists for studies that did not appear in </w:t>
      </w:r>
      <w:r>
        <w:t xml:space="preserve">our search. Studies were included if they compared a physiotherapy intervention against a control intervention and reported its effect on an </w:t>
      </w:r>
      <w:r w:rsidRPr="00112F0E">
        <w:rPr>
          <w:color w:val="000000" w:themeColor="text1"/>
        </w:rPr>
        <w:t>outco</w:t>
      </w:r>
      <w:r w:rsidRPr="00112F0E">
        <w:rPr>
          <w:color w:val="000000" w:themeColor="text1"/>
        </w:rPr>
        <w:t xml:space="preserve">me measure reflecting pain or unpleasant symptoms. </w:t>
      </w:r>
      <w:r w:rsidRPr="009A4F0E">
        <w:rPr>
          <w:color w:val="000000" w:themeColor="text1"/>
        </w:rPr>
        <w:t>Physiotherapy is a multimodal approach and may include a wide range of interventions. Here, we restricted the</w:t>
      </w:r>
      <w:r w:rsidR="00112F0E" w:rsidRPr="009A4F0E">
        <w:rPr>
          <w:color w:val="0078D4"/>
        </w:rPr>
        <w:t xml:space="preserve"> </w:t>
      </w:r>
      <w:r w:rsidRPr="009A4F0E">
        <w:t xml:space="preserve">eligible physiotherapy interventions </w:t>
      </w:r>
      <w:r w:rsidR="00112F0E" w:rsidRPr="009A4F0E">
        <w:t xml:space="preserve">to </w:t>
      </w:r>
      <w:r w:rsidRPr="009A4F0E">
        <w:t xml:space="preserve">exercise and manual </w:t>
      </w:r>
      <w:r w:rsidRPr="009A4F0E">
        <w:rPr>
          <w:color w:val="000000" w:themeColor="text1"/>
        </w:rPr>
        <w:t>therapy</w:t>
      </w:r>
      <w:r w:rsidRPr="009A4F0E">
        <w:rPr>
          <w:color w:val="000000" w:themeColor="text1"/>
        </w:rPr>
        <w:t>. Studies using a physiotherapeutic intervention other than exercise or manual therapy (e.g., acupuncture, electrophysiological agents) were excluded. Exercise and manual therapy are recommended in current guide</w:t>
      </w:r>
      <w:r w:rsidRPr="009A4F0E">
        <w:rPr>
          <w:color w:val="000000" w:themeColor="text1"/>
        </w:rPr>
        <w:t xml:space="preserve">lines on the management of lumbar radicular pain </w:t>
      </w:r>
      <w:hyperlink r:id="rId4">
        <w:r w:rsidRPr="009A4F0E">
          <w:rPr>
            <w:color w:val="000000" w:themeColor="text1"/>
          </w:rPr>
          <w:t>[2]</w:t>
        </w:r>
      </w:hyperlink>
      <w:r w:rsidRPr="009A4F0E">
        <w:rPr>
          <w:color w:val="000000" w:themeColor="text1"/>
        </w:rPr>
        <w:t>.</w:t>
      </w:r>
      <w:r w:rsidRPr="009A4F0E">
        <w:rPr>
          <w:color w:val="000000" w:themeColor="text1"/>
        </w:rPr>
        <w:t xml:space="preserve"> </w:t>
      </w:r>
      <w:r w:rsidRPr="009A4F0E">
        <w:rPr>
          <w:color w:val="000000" w:themeColor="text1"/>
        </w:rPr>
        <w:t>Furthermore, they are part of most undergraduate curricula unlike other interventions (e.g., acupuncture)</w:t>
      </w:r>
      <w:r w:rsidR="00112F0E" w:rsidRPr="009A4F0E">
        <w:rPr>
          <w:color w:val="000000" w:themeColor="text1"/>
        </w:rPr>
        <w:t xml:space="preserve">. </w:t>
      </w:r>
      <w:r w:rsidRPr="009A4F0E">
        <w:rPr>
          <w:color w:val="000000" w:themeColor="text1"/>
        </w:rPr>
        <w:t>Control</w:t>
      </w:r>
      <w:r w:rsidRPr="00112F0E">
        <w:rPr>
          <w:color w:val="000000" w:themeColor="text1"/>
        </w:rPr>
        <w:t xml:space="preserve"> </w:t>
      </w:r>
      <w:r>
        <w:t xml:space="preserve">interventions could include no interventions, non-physiotherapeutic interventions (e.g., pharmacology) or another physiotherapeutic </w:t>
      </w:r>
      <w:r>
        <w:t xml:space="preserve">intervention. We included </w:t>
      </w:r>
      <w:proofErr w:type="spellStart"/>
      <w:r>
        <w:t>randomised</w:t>
      </w:r>
      <w:proofErr w:type="spellEnd"/>
      <w:r>
        <w:t xml:space="preserve"> controlled trials (RCTs) only. </w:t>
      </w:r>
    </w:p>
    <w:p w14:paraId="00000004" w14:textId="77777777" w:rsidR="008E1AB5" w:rsidRDefault="009A4F0E">
      <w:pPr>
        <w:shd w:val="clear" w:color="auto" w:fill="FFFFFF"/>
        <w:spacing w:line="480" w:lineRule="auto"/>
      </w:pPr>
      <w:r>
        <w:t xml:space="preserve"> </w:t>
      </w:r>
    </w:p>
    <w:p w14:paraId="00000005" w14:textId="3E2C0306" w:rsidR="008E1AB5" w:rsidRDefault="009A4F0E">
      <w:pPr>
        <w:shd w:val="clear" w:color="auto" w:fill="FFFFFF"/>
        <w:spacing w:line="480" w:lineRule="auto"/>
      </w:pPr>
      <w:r>
        <w:lastRenderedPageBreak/>
        <w:t xml:space="preserve">A single </w:t>
      </w:r>
      <w:r w:rsidRPr="009A4F0E">
        <w:t xml:space="preserve">investigator identified the relevant studies. A different investigator used the Cochrane Risk of Bias Tool version 2 </w:t>
      </w:r>
      <w:hyperlink r:id="rId5">
        <w:r w:rsidRPr="009A4F0E">
          <w:t>[3]</w:t>
        </w:r>
      </w:hyperlink>
      <w:r w:rsidRPr="009A4F0E">
        <w:t xml:space="preserve"> to assess the quality of the studies. Study quality measures are </w:t>
      </w:r>
      <w:r w:rsidRPr="009A4F0E">
        <w:rPr>
          <w:color w:val="000000" w:themeColor="text1"/>
        </w:rPr>
        <w:t>reported (</w:t>
      </w:r>
      <w:r w:rsidRPr="009A4F0E">
        <w:rPr>
          <w:color w:val="000000" w:themeColor="text1"/>
        </w:rPr>
        <w:t xml:space="preserve">Supplementary </w:t>
      </w:r>
      <w:r w:rsidRPr="009A4F0E">
        <w:rPr>
          <w:color w:val="000000" w:themeColor="text1"/>
        </w:rPr>
        <w:t>Table 1) but did not influence study eligibility for this review.  Relevant study data were extracted into excel sheets</w:t>
      </w:r>
      <w:r w:rsidRPr="009A4F0E">
        <w:rPr>
          <w:color w:val="000000" w:themeColor="text1"/>
        </w:rPr>
        <w:t xml:space="preserve"> by a single investigator</w:t>
      </w:r>
      <w:r w:rsidRPr="009A4F0E">
        <w:rPr>
          <w:color w:val="000000" w:themeColor="text1"/>
        </w:rPr>
        <w:t>. All eligible s</w:t>
      </w:r>
      <w:r w:rsidRPr="009A4F0E">
        <w:rPr>
          <w:color w:val="000000" w:themeColor="text1"/>
        </w:rPr>
        <w:t xml:space="preserve">tudies used null hypothesis significance testing with p=0.05 as the cut off point for significance. In reporting on these studies’ results, we have tried to avoid a potentially misleading dichotomous interpretation of the p-values and have interpreted the </w:t>
      </w:r>
      <w:r w:rsidRPr="009A4F0E">
        <w:rPr>
          <w:color w:val="000000" w:themeColor="text1"/>
        </w:rPr>
        <w:t xml:space="preserve">findings in the context of clinical meaningfulness instead </w:t>
      </w:r>
      <w:hyperlink r:id="rId6">
        <w:r w:rsidRPr="009A4F0E">
          <w:rPr>
            <w:color w:val="000000" w:themeColor="text1"/>
          </w:rPr>
          <w:t>[4]</w:t>
        </w:r>
      </w:hyperlink>
      <w:r w:rsidRPr="009A4F0E">
        <w:rPr>
          <w:color w:val="000000" w:themeColor="text1"/>
        </w:rPr>
        <w:t xml:space="preserve">. Following the National Institute for Clinical Health Excellence guidelines on low back pain and radicular pain </w:t>
      </w:r>
      <w:hyperlink r:id="rId7">
        <w:r w:rsidRPr="009A4F0E">
          <w:rPr>
            <w:color w:val="000000" w:themeColor="text1"/>
          </w:rPr>
          <w:t>[2]</w:t>
        </w:r>
      </w:hyperlink>
      <w:r w:rsidRPr="009A4F0E">
        <w:rPr>
          <w:color w:val="000000" w:themeColor="text1"/>
        </w:rPr>
        <w:t>, we defined 10%, or 1 point on a ten point pain scale, to constitute a minimal clinically important</w:t>
      </w:r>
      <w:r w:rsidRPr="009A4F0E">
        <w:rPr>
          <w:color w:val="000000" w:themeColor="text1"/>
        </w:rPr>
        <w:t xml:space="preserve"> between-group</w:t>
      </w:r>
      <w:r w:rsidRPr="009A4F0E">
        <w:rPr>
          <w:color w:val="000000" w:themeColor="text1"/>
        </w:rPr>
        <w:t xml:space="preserve"> difference</w:t>
      </w:r>
      <w:r w:rsidRPr="009A4F0E">
        <w:rPr>
          <w:color w:val="000000" w:themeColor="text1"/>
        </w:rPr>
        <w:t xml:space="preserve"> </w:t>
      </w:r>
      <w:r w:rsidRPr="009A4F0E">
        <w:rPr>
          <w:color w:val="000000" w:themeColor="text1"/>
        </w:rPr>
        <w:t>(</w:t>
      </w:r>
      <w:r w:rsidRPr="009A4F0E">
        <w:rPr>
          <w:color w:val="000000" w:themeColor="text1"/>
        </w:rPr>
        <w:t xml:space="preserve">although we </w:t>
      </w:r>
      <w:proofErr w:type="spellStart"/>
      <w:r w:rsidRPr="009A4F0E">
        <w:rPr>
          <w:color w:val="000000" w:themeColor="text1"/>
        </w:rPr>
        <w:t>recognise</w:t>
      </w:r>
      <w:proofErr w:type="spellEnd"/>
      <w:r w:rsidRPr="009A4F0E">
        <w:rPr>
          <w:color w:val="000000" w:themeColor="text1"/>
        </w:rPr>
        <w:t xml:space="preserve"> this construct is sensitive to factors like baseline pain an</w:t>
      </w:r>
      <w:r w:rsidRPr="009A4F0E">
        <w:rPr>
          <w:color w:val="000000" w:themeColor="text1"/>
        </w:rPr>
        <w:t>d the nature of the intervention</w:t>
      </w:r>
      <w:r w:rsidRPr="00112F0E">
        <w:rPr>
          <w:color w:val="000000" w:themeColor="text1"/>
          <w:u w:val="single"/>
        </w:rPr>
        <w:t>)</w:t>
      </w:r>
      <w:r w:rsidRPr="00112F0E">
        <w:rPr>
          <w:color w:val="000000" w:themeColor="text1"/>
        </w:rPr>
        <w:t xml:space="preserve">. Where </w:t>
      </w:r>
      <w:r>
        <w:t>available, previously published data on minimal clinically important differences</w:t>
      </w:r>
      <w:bookmarkStart w:id="0" w:name="_GoBack"/>
      <w:bookmarkEnd w:id="0"/>
      <w:r>
        <w:t xml:space="preserve"> were used for specific outcome measure tools </w:t>
      </w:r>
      <w:hyperlink r:id="rId8">
        <w:r>
          <w:t>[1,5]</w:t>
        </w:r>
      </w:hyperlink>
      <w:r>
        <w:t xml:space="preserve">. </w:t>
      </w:r>
    </w:p>
    <w:p w14:paraId="00000006" w14:textId="77777777" w:rsidR="008E1AB5" w:rsidRDefault="009A4F0E">
      <w:pPr>
        <w:shd w:val="clear" w:color="auto" w:fill="FFFFFF"/>
        <w:spacing w:line="480" w:lineRule="auto"/>
      </w:pPr>
      <w:r>
        <w:br w:type="page"/>
      </w:r>
    </w:p>
    <w:p w14:paraId="00000007" w14:textId="77777777" w:rsidR="008E1AB5" w:rsidRDefault="009A4F0E">
      <w:pPr>
        <w:shd w:val="clear" w:color="auto" w:fill="FFFFFF"/>
        <w:spacing w:line="480" w:lineRule="auto"/>
        <w:rPr>
          <w:u w:val="single"/>
        </w:rPr>
      </w:pPr>
      <w:r>
        <w:rPr>
          <w:u w:val="single"/>
        </w:rPr>
        <w:lastRenderedPageBreak/>
        <w:t>References</w:t>
      </w:r>
    </w:p>
    <w:p w14:paraId="00000008" w14:textId="77777777" w:rsidR="008E1AB5" w:rsidRDefault="009A4F0E">
      <w:pPr>
        <w:shd w:val="clear" w:color="auto" w:fill="FFFFFF"/>
        <w:spacing w:line="360" w:lineRule="auto"/>
        <w:ind w:left="504" w:hanging="504"/>
      </w:pPr>
      <w:hyperlink r:id="rId9">
        <w:r>
          <w:t xml:space="preserve">[1] </w:t>
        </w:r>
        <w:r>
          <w:tab/>
        </w:r>
        <w:proofErr w:type="spellStart"/>
        <w:r>
          <w:t>Musoro</w:t>
        </w:r>
        <w:proofErr w:type="spellEnd"/>
        <w:r>
          <w:t xml:space="preserve"> JZ, </w:t>
        </w:r>
        <w:proofErr w:type="spellStart"/>
        <w:r>
          <w:t>Coens</w:t>
        </w:r>
        <w:proofErr w:type="spellEnd"/>
        <w:r>
          <w:t xml:space="preserve"> C, </w:t>
        </w:r>
        <w:proofErr w:type="spellStart"/>
        <w:r>
          <w:t>Fiteni</w:t>
        </w:r>
        <w:proofErr w:type="spellEnd"/>
        <w:r>
          <w:t xml:space="preserve"> F, Katarzyna P, Cardoso F, Russell NS, King MT, Cocks K, Sprangers MA, </w:t>
        </w:r>
        <w:proofErr w:type="spellStart"/>
        <w:r>
          <w:t>Groenvold</w:t>
        </w:r>
        <w:proofErr w:type="spellEnd"/>
        <w:r>
          <w:t xml:space="preserve"> M, </w:t>
        </w:r>
        <w:proofErr w:type="spellStart"/>
        <w:r>
          <w:t>Velikova</w:t>
        </w:r>
        <w:proofErr w:type="spellEnd"/>
        <w:r>
          <w:t xml:space="preserve"> G, </w:t>
        </w:r>
        <w:proofErr w:type="spellStart"/>
        <w:r>
          <w:t>Flechtner</w:t>
        </w:r>
        <w:proofErr w:type="spellEnd"/>
        <w:r>
          <w:t xml:space="preserve"> H-H, Bottomley A, EORTC Breast and Quality of Life Groups. Min</w:t>
        </w:r>
        <w:r>
          <w:t xml:space="preserve">imally Important Differences for Interpreting EORTC QLQ-C30 Scores in Patients </w:t>
        </w:r>
        <w:proofErr w:type="gramStart"/>
        <w:r>
          <w:t>With</w:t>
        </w:r>
        <w:proofErr w:type="gramEnd"/>
        <w:r>
          <w:t xml:space="preserve"> Advanced Breast Cancer. JNCI Cancer </w:t>
        </w:r>
        <w:proofErr w:type="spellStart"/>
        <w:r>
          <w:t>Spectr</w:t>
        </w:r>
        <w:proofErr w:type="spellEnd"/>
        <w:r>
          <w:t xml:space="preserve"> 2019;3. doi:10.1093/</w:t>
        </w:r>
        <w:proofErr w:type="spellStart"/>
        <w:r>
          <w:t>jncics</w:t>
        </w:r>
        <w:proofErr w:type="spellEnd"/>
        <w:r>
          <w:t>/pkz037.</w:t>
        </w:r>
      </w:hyperlink>
    </w:p>
    <w:p w14:paraId="00000009" w14:textId="77777777" w:rsidR="008E1AB5" w:rsidRDefault="009A4F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04" w:hanging="504"/>
      </w:pPr>
      <w:hyperlink r:id="rId10">
        <w:r>
          <w:t xml:space="preserve">[2] </w:t>
        </w:r>
        <w:r>
          <w:tab/>
        </w:r>
        <w:r>
          <w:t>National Guideline Centre (Great Britain), National Institute for Health and Care Excellence (Great Britain), Royal College of Physicians of London. Low back pain and sciatica in over 16s: assessment and management : assessment and non-invasive treatments.</w:t>
        </w:r>
        <w:r>
          <w:t xml:space="preserve"> 2016 p. Available: https://www.ncbi.nlm.nih.gov/b</w:t>
        </w:r>
        <w:r>
          <w:t>o</w:t>
        </w:r>
        <w:r>
          <w:t>oks/NBK401577/. Accessed 28 Jan 2020.</w:t>
        </w:r>
      </w:hyperlink>
    </w:p>
    <w:p w14:paraId="0000000A" w14:textId="77777777" w:rsidR="008E1AB5" w:rsidRDefault="009A4F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04" w:hanging="504"/>
      </w:pPr>
      <w:hyperlink r:id="rId11">
        <w:r>
          <w:t xml:space="preserve">[3] </w:t>
        </w:r>
        <w:r>
          <w:tab/>
          <w:t xml:space="preserve">Sterne JAC, </w:t>
        </w:r>
        <w:proofErr w:type="spellStart"/>
        <w:r>
          <w:t>Savović</w:t>
        </w:r>
        <w:proofErr w:type="spellEnd"/>
        <w:r>
          <w:t xml:space="preserve"> J, Page MJ, </w:t>
        </w:r>
        <w:proofErr w:type="spellStart"/>
        <w:r>
          <w:t>Elbers</w:t>
        </w:r>
        <w:proofErr w:type="spellEnd"/>
        <w:r>
          <w:t xml:space="preserve"> RG, </w:t>
        </w:r>
        <w:proofErr w:type="spellStart"/>
        <w:r>
          <w:t>Blencowe</w:t>
        </w:r>
        <w:proofErr w:type="spellEnd"/>
        <w:r>
          <w:t xml:space="preserve"> NS, </w:t>
        </w:r>
        <w:proofErr w:type="spellStart"/>
        <w:r>
          <w:t>Boutron</w:t>
        </w:r>
        <w:proofErr w:type="spellEnd"/>
        <w:r>
          <w:t xml:space="preserve"> I, Cates CJ, Cheng H-Y, Corbett MS, </w:t>
        </w:r>
        <w:r>
          <w:t xml:space="preserve">Eldridge SM, </w:t>
        </w:r>
        <w:proofErr w:type="spellStart"/>
        <w:r>
          <w:t>Emberson</w:t>
        </w:r>
        <w:proofErr w:type="spellEnd"/>
        <w:r>
          <w:t xml:space="preserve"> JR, </w:t>
        </w:r>
        <w:proofErr w:type="spellStart"/>
        <w:r>
          <w:t>Hernán</w:t>
        </w:r>
        <w:proofErr w:type="spellEnd"/>
        <w:r>
          <w:t xml:space="preserve"> MA, Hopewell S, </w:t>
        </w:r>
        <w:proofErr w:type="spellStart"/>
        <w:r>
          <w:t>Hróbjartsson</w:t>
        </w:r>
        <w:proofErr w:type="spellEnd"/>
        <w:r>
          <w:t xml:space="preserve"> A, </w:t>
        </w:r>
        <w:proofErr w:type="spellStart"/>
        <w:r>
          <w:t>Junqueira</w:t>
        </w:r>
        <w:proofErr w:type="spellEnd"/>
        <w:r>
          <w:t xml:space="preserve"> DR, </w:t>
        </w:r>
        <w:proofErr w:type="spellStart"/>
        <w:r>
          <w:t>Jüni</w:t>
        </w:r>
        <w:proofErr w:type="spellEnd"/>
        <w:r>
          <w:t xml:space="preserve"> P, Kirkham JJ, </w:t>
        </w:r>
        <w:proofErr w:type="spellStart"/>
        <w:r>
          <w:t>Lasserson</w:t>
        </w:r>
        <w:proofErr w:type="spellEnd"/>
        <w:r>
          <w:t xml:space="preserve"> T, Li T, </w:t>
        </w:r>
        <w:proofErr w:type="spellStart"/>
        <w:r>
          <w:t>McAleenan</w:t>
        </w:r>
        <w:proofErr w:type="spellEnd"/>
        <w:r>
          <w:t xml:space="preserve"> A, Reeves BC, Shepperd S, </w:t>
        </w:r>
        <w:proofErr w:type="spellStart"/>
        <w:r>
          <w:t>Shrier</w:t>
        </w:r>
        <w:proofErr w:type="spellEnd"/>
        <w:r>
          <w:t xml:space="preserve"> I, Stewart LA, Tilling K, White IR, Whiting PF, Higgins JPT. </w:t>
        </w:r>
        <w:proofErr w:type="spellStart"/>
        <w:r>
          <w:t>RoB</w:t>
        </w:r>
        <w:proofErr w:type="spellEnd"/>
        <w:r>
          <w:t xml:space="preserve"> 2: a revised tool for assessin</w:t>
        </w:r>
        <w:r>
          <w:t xml:space="preserve">g risk of bias in </w:t>
        </w:r>
        <w:proofErr w:type="spellStart"/>
        <w:r>
          <w:t>randomised</w:t>
        </w:r>
        <w:proofErr w:type="spellEnd"/>
        <w:r>
          <w:t xml:space="preserve"> trials. BMJ </w:t>
        </w:r>
        <w:proofErr w:type="gramStart"/>
        <w:r>
          <w:t>2019:l</w:t>
        </w:r>
        <w:proofErr w:type="gramEnd"/>
        <w:r>
          <w:t>4898.</w:t>
        </w:r>
      </w:hyperlink>
    </w:p>
    <w:p w14:paraId="0000000B" w14:textId="77777777" w:rsidR="008E1AB5" w:rsidRDefault="009A4F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04" w:hanging="504"/>
      </w:pPr>
      <w:hyperlink r:id="rId12">
        <w:r>
          <w:t xml:space="preserve">[4] </w:t>
        </w:r>
        <w:r>
          <w:tab/>
          <w:t xml:space="preserve">Wasserstein RL, Lazar NA. The ASA Statement on p-Values: Context, Process, and Purpose. Am Stat </w:t>
        </w:r>
        <w:proofErr w:type="gramStart"/>
        <w:r>
          <w:t>2016;70:129</w:t>
        </w:r>
        <w:proofErr w:type="gramEnd"/>
        <w:r>
          <w:t>–133.</w:t>
        </w:r>
      </w:hyperlink>
    </w:p>
    <w:p w14:paraId="0000000C" w14:textId="77777777" w:rsidR="008E1AB5" w:rsidRDefault="009A4F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04" w:hanging="504"/>
      </w:pPr>
      <w:hyperlink r:id="rId13">
        <w:r>
          <w:t xml:space="preserve">[5] </w:t>
        </w:r>
        <w:r>
          <w:tab/>
          <w:t xml:space="preserve">Yost KJ, Eton DT. Combining Distribution- and Anchor-Based Approaches to Determine Minimally Important Differences: The FACIT Experience. </w:t>
        </w:r>
        <w:proofErr w:type="spellStart"/>
        <w:r>
          <w:t>Eval</w:t>
        </w:r>
        <w:proofErr w:type="spellEnd"/>
        <w:r>
          <w:t xml:space="preserve"> Health Prof </w:t>
        </w:r>
        <w:proofErr w:type="gramStart"/>
        <w:r>
          <w:t>2005;28:172</w:t>
        </w:r>
        <w:proofErr w:type="gramEnd"/>
        <w:r>
          <w:t>–191.</w:t>
        </w:r>
      </w:hyperlink>
    </w:p>
    <w:sectPr w:rsidR="008E1A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B5"/>
    <w:rsid w:val="00112F0E"/>
    <w:rsid w:val="008E1AB5"/>
    <w:rsid w:val="009A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4B11CD"/>
  <w15:docId w15:val="{E0ADAF10-403D-E44B-AB55-099AC6E8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tero.org/google-docs/?DnDgkc" TargetMode="External"/><Relationship Id="rId13" Type="http://schemas.openxmlformats.org/officeDocument/2006/relationships/hyperlink" Target="https://www.zotero.org/google-docs/?Dsy1O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otero.org/google-docs/?pKrOHs" TargetMode="External"/><Relationship Id="rId12" Type="http://schemas.openxmlformats.org/officeDocument/2006/relationships/hyperlink" Target="https://www.zotero.org/google-docs/?Dsy1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otero.org/google-docs/?sthM9o" TargetMode="External"/><Relationship Id="rId11" Type="http://schemas.openxmlformats.org/officeDocument/2006/relationships/hyperlink" Target="https://www.zotero.org/google-docs/?Dsy1OT" TargetMode="External"/><Relationship Id="rId5" Type="http://schemas.openxmlformats.org/officeDocument/2006/relationships/hyperlink" Target="https://www.zotero.org/google-docs/?L1eib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zotero.org/google-docs/?Dsy1OT" TargetMode="External"/><Relationship Id="rId4" Type="http://schemas.openxmlformats.org/officeDocument/2006/relationships/hyperlink" Target="https://www.zotero.org/google-docs/?DvOVhV" TargetMode="External"/><Relationship Id="rId9" Type="http://schemas.openxmlformats.org/officeDocument/2006/relationships/hyperlink" Target="https://www.zotero.org/google-docs/?Dsy1O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Annina Schmid</cp:lastModifiedBy>
  <cp:revision>3</cp:revision>
  <dcterms:created xsi:type="dcterms:W3CDTF">2020-05-27T09:34:00Z</dcterms:created>
  <dcterms:modified xsi:type="dcterms:W3CDTF">2020-05-27T09:37:00Z</dcterms:modified>
</cp:coreProperties>
</file>