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1CA911" w14:textId="5D789D16" w:rsidR="00CE59A1" w:rsidRDefault="00CE59A1" w:rsidP="00CE59A1">
      <w:pPr>
        <w:rPr>
          <w:rFonts w:ascii="Arial" w:hAnsi="Arial" w:cs="Arial"/>
          <w:b/>
          <w:bCs/>
        </w:rPr>
      </w:pPr>
      <w:r>
        <w:rPr>
          <w:rFonts w:ascii="Arial" w:hAnsi="Arial" w:cs="Arial"/>
          <w:b/>
          <w:bCs/>
        </w:rPr>
        <w:t>Supplemental Digital Content</w:t>
      </w:r>
    </w:p>
    <w:p w14:paraId="1783FFEA" w14:textId="77777777" w:rsidR="00CE59A1" w:rsidRDefault="00CE59A1" w:rsidP="00CE59A1">
      <w:pPr>
        <w:rPr>
          <w:rFonts w:ascii="Arial" w:hAnsi="Arial" w:cs="Arial"/>
          <w:b/>
          <w:bCs/>
        </w:rPr>
      </w:pPr>
    </w:p>
    <w:p w14:paraId="5548CECF" w14:textId="508EF619" w:rsidR="00D63D9C" w:rsidRPr="005265A7" w:rsidRDefault="005265A7" w:rsidP="00CE59A1">
      <w:pPr>
        <w:rPr>
          <w:rFonts w:ascii="Arial" w:hAnsi="Arial" w:cs="Arial"/>
          <w:b/>
          <w:bCs/>
        </w:rPr>
      </w:pPr>
      <w:r>
        <w:rPr>
          <w:rFonts w:ascii="Arial" w:hAnsi="Arial" w:cs="Arial"/>
          <w:b/>
          <w:bCs/>
        </w:rPr>
        <w:t>Details on the Paper Matching Process</w:t>
      </w:r>
    </w:p>
    <w:p w14:paraId="350246C8" w14:textId="77777777" w:rsidR="00D63D9C" w:rsidRPr="00D63D9C" w:rsidRDefault="00D63D9C" w:rsidP="00D63D9C">
      <w:pPr>
        <w:spacing w:after="0" w:line="480" w:lineRule="auto"/>
        <w:ind w:firstLine="720"/>
        <w:rPr>
          <w:rFonts w:ascii="Arial" w:eastAsia="Calibri" w:hAnsi="Arial" w:cs="Arial"/>
        </w:rPr>
      </w:pPr>
      <w:r w:rsidRPr="00D63D9C">
        <w:rPr>
          <w:rFonts w:ascii="Arial" w:eastAsia="Calibri" w:hAnsi="Arial" w:cs="Arial"/>
          <w:color w:val="000000"/>
        </w:rPr>
        <w:t xml:space="preserve">To be considered sex-matched, papers were required to have male and female participant compositions within ten percent of the V-TSST papers. For V-TSST studies with 100% male or female participants, match papers were required to match the sex exactly (i.e., match papers also had to have 100% male or female participants). To be considered age-matched, papers were required to have participants with a mean age within five years (i.e., ±5 years) of the V-TSST population. One exception was made in which a very specific population needed to be matched (i.e., females in their luteal cycle of the menstrual phase; </w:t>
      </w:r>
      <w:r w:rsidRPr="00D63D9C">
        <w:rPr>
          <w:rFonts w:ascii="Arial" w:eastAsia="Calibri" w:hAnsi="Arial" w:cs="Arial"/>
          <w:szCs w:val="24"/>
        </w:rPr>
        <w:t>Montero-López et al., 2018)</w:t>
      </w:r>
      <w:r w:rsidRPr="00D63D9C">
        <w:rPr>
          <w:rFonts w:ascii="Arial" w:eastAsia="Calibri" w:hAnsi="Arial" w:cs="Arial"/>
          <w:color w:val="000000"/>
        </w:rPr>
        <w:t xml:space="preserve">, and the mean ages differed by 5.8 years. This decision was made because phase of menstrual cycle seems to have a more drastic effect on cortisol reactivity in than age </w:t>
      </w:r>
      <w:r w:rsidRPr="00D63D9C">
        <w:rPr>
          <w:rFonts w:ascii="Arial" w:eastAsia="Calibri" w:hAnsi="Arial" w:cs="Arial"/>
        </w:rPr>
        <w:t>(Allen et al., 2014)</w:t>
      </w:r>
      <w:r w:rsidRPr="00D63D9C">
        <w:rPr>
          <w:rFonts w:ascii="Arial" w:eastAsia="Calibri" w:hAnsi="Arial" w:cs="Arial"/>
          <w:color w:val="000000"/>
        </w:rPr>
        <w:t>, therefore matching the menstrual cycle was considered more important than matching women who were closer in age.</w:t>
      </w:r>
    </w:p>
    <w:p w14:paraId="33622E10" w14:textId="77777777" w:rsidR="00D63D9C" w:rsidRPr="00D63D9C" w:rsidRDefault="00D63D9C" w:rsidP="00D63D9C">
      <w:pPr>
        <w:widowControl w:val="0"/>
        <w:autoSpaceDE w:val="0"/>
        <w:autoSpaceDN w:val="0"/>
        <w:adjustRightInd w:val="0"/>
        <w:spacing w:after="0" w:line="480" w:lineRule="auto"/>
        <w:ind w:firstLine="720"/>
        <w:rPr>
          <w:rFonts w:ascii="Arial" w:eastAsia="Calibri" w:hAnsi="Arial" w:cs="Arial"/>
        </w:rPr>
      </w:pPr>
      <w:r w:rsidRPr="00D63D9C">
        <w:rPr>
          <w:rFonts w:ascii="Arial" w:eastAsia="Calibri" w:hAnsi="Arial" w:cs="Arial"/>
        </w:rPr>
        <w:t>Sex- and age-matched papers were identified using these inclusion and exclusion criteria. Narrowing the search to the same publication year was successful for finding sex- and age-matched participant populations for nine of the 13 V-TSST papers that needed a match paper. For the remaining papers, the publication date range was widened to include one year before and one year after. For example, a traditional TSST study with participant populations that had similar sex and age characteristics could not be found to match (A. S. Santos-Ruiz et al., 2010), so the publication date search range was increased to years 2009 – 2011. This method of expanding the year of publication range was effective for identifying matching papers for all but two V-TSST studies.</w:t>
      </w:r>
    </w:p>
    <w:p w14:paraId="588DF99F" w14:textId="77777777" w:rsidR="00D63D9C" w:rsidRPr="00D63D9C" w:rsidRDefault="00D63D9C" w:rsidP="00D63D9C">
      <w:pPr>
        <w:widowControl w:val="0"/>
        <w:autoSpaceDE w:val="0"/>
        <w:autoSpaceDN w:val="0"/>
        <w:adjustRightInd w:val="0"/>
        <w:spacing w:after="0" w:line="480" w:lineRule="auto"/>
        <w:ind w:firstLine="720"/>
        <w:rPr>
          <w:rFonts w:ascii="Arial" w:eastAsia="Calibri" w:hAnsi="Arial" w:cs="Arial"/>
        </w:rPr>
      </w:pPr>
      <w:r w:rsidRPr="00D63D9C">
        <w:rPr>
          <w:rFonts w:ascii="Arial" w:eastAsia="Calibri" w:hAnsi="Arial" w:cs="Arial"/>
        </w:rPr>
        <w:t xml:space="preserve">For two papers, the populations were more difficult to match. The healthy control subgroup of </w:t>
      </w:r>
      <w:proofErr w:type="spellStart"/>
      <w:r w:rsidRPr="00D63D9C">
        <w:rPr>
          <w:rFonts w:ascii="Arial" w:eastAsia="Calibri" w:hAnsi="Arial" w:cs="Arial"/>
          <w:szCs w:val="24"/>
        </w:rPr>
        <w:t>Jönsson</w:t>
      </w:r>
      <w:proofErr w:type="spellEnd"/>
      <w:r w:rsidRPr="00D63D9C">
        <w:rPr>
          <w:rFonts w:ascii="Arial" w:eastAsia="Calibri" w:hAnsi="Arial" w:cs="Arial"/>
          <w:szCs w:val="24"/>
        </w:rPr>
        <w:t xml:space="preserve"> et al. (2015) </w:t>
      </w:r>
      <w:r w:rsidRPr="00D63D9C">
        <w:rPr>
          <w:rFonts w:ascii="Arial" w:eastAsia="Calibri" w:hAnsi="Arial" w:cs="Arial"/>
        </w:rPr>
        <w:t xml:space="preserve">included 50% men and 50% women with a mean age of 49.2 years old. This proved to be a rare combination in the traditional TSST literature. To find a </w:t>
      </w:r>
      <w:r w:rsidRPr="00D63D9C">
        <w:rPr>
          <w:rFonts w:ascii="Arial" w:eastAsia="Calibri" w:hAnsi="Arial" w:cs="Arial"/>
        </w:rPr>
        <w:lastRenderedPageBreak/>
        <w:t xml:space="preserve">matching population, the search criteria in PubMed were narrowed to include Middle Aged (40-65 years old) participants and the limit on publication date was removed. Papers were searched from newest to oldest until a match paper was found that met the </w:t>
      </w:r>
      <w:proofErr w:type="gramStart"/>
      <w:r w:rsidRPr="00D63D9C">
        <w:rPr>
          <w:rFonts w:ascii="Arial" w:eastAsia="Calibri" w:hAnsi="Arial" w:cs="Arial"/>
        </w:rPr>
        <w:t>aforementioned criteria</w:t>
      </w:r>
      <w:proofErr w:type="gramEnd"/>
      <w:r w:rsidRPr="00D63D9C">
        <w:rPr>
          <w:rFonts w:ascii="Arial" w:eastAsia="Calibri" w:hAnsi="Arial" w:cs="Arial"/>
        </w:rPr>
        <w:t>. For</w:t>
      </w:r>
      <w:r w:rsidRPr="00D63D9C">
        <w:rPr>
          <w:rFonts w:ascii="Arial" w:eastAsia="Calibri" w:hAnsi="Arial" w:cs="Arial"/>
          <w:szCs w:val="24"/>
        </w:rPr>
        <w:t xml:space="preserve"> Montero-López et al. (2018)</w:t>
      </w:r>
      <w:r w:rsidRPr="00D63D9C">
        <w:rPr>
          <w:rFonts w:ascii="Arial" w:eastAsia="Calibri" w:hAnsi="Arial" w:cs="Arial"/>
        </w:rPr>
        <w:t>, a matching traditional TSST paper needed to have female-only participants similar in age to 33 years old who were in the luteal phase of their menstrual cycle. To find this match paper, the limit on publication date was removed and the key word “luteal” was added, and a match was successfully found after removing the year restriction and adding the keyword.</w:t>
      </w:r>
    </w:p>
    <w:p w14:paraId="7C2D4D57" w14:textId="77777777" w:rsidR="005265A7" w:rsidRDefault="00D63D9C" w:rsidP="005265A7">
      <w:pPr>
        <w:widowControl w:val="0"/>
        <w:autoSpaceDE w:val="0"/>
        <w:autoSpaceDN w:val="0"/>
        <w:adjustRightInd w:val="0"/>
        <w:spacing w:after="0" w:line="480" w:lineRule="auto"/>
        <w:ind w:firstLine="720"/>
        <w:rPr>
          <w:rFonts w:ascii="Arial" w:eastAsia="Calibri" w:hAnsi="Arial" w:cs="Arial"/>
        </w:rPr>
      </w:pPr>
      <w:r w:rsidRPr="00D63D9C">
        <w:rPr>
          <w:rFonts w:ascii="Arial" w:eastAsia="Calibri" w:hAnsi="Arial" w:cs="Arial"/>
        </w:rPr>
        <w:t xml:space="preserve">This matching process was initially completed for papers examining cortisol reactivity, as all V-TSST studies that met inclusion criteria included cortisol as an outcome variable. </w:t>
      </w:r>
      <w:proofErr w:type="gramStart"/>
      <w:r w:rsidRPr="00D63D9C">
        <w:rPr>
          <w:rFonts w:ascii="Arial" w:eastAsia="Calibri" w:hAnsi="Arial" w:cs="Arial"/>
        </w:rPr>
        <w:t>A number of</w:t>
      </w:r>
      <w:proofErr w:type="gramEnd"/>
      <w:r w:rsidRPr="00D63D9C">
        <w:rPr>
          <w:rFonts w:ascii="Arial" w:eastAsia="Calibri" w:hAnsi="Arial" w:cs="Arial"/>
        </w:rPr>
        <w:t xml:space="preserve"> V-TSST papers also examined HR reactivity (</w:t>
      </w:r>
      <w:r w:rsidRPr="00D63D9C">
        <w:rPr>
          <w:rFonts w:ascii="Arial" w:eastAsia="Calibri" w:hAnsi="Arial" w:cs="Arial"/>
          <w:i/>
          <w:iCs/>
        </w:rPr>
        <w:t>n</w:t>
      </w:r>
      <w:r w:rsidRPr="00D63D9C">
        <w:rPr>
          <w:rFonts w:ascii="Arial" w:eastAsia="Calibri" w:hAnsi="Arial" w:cs="Arial"/>
        </w:rPr>
        <w:t xml:space="preserve"> = 7) and SRS reactivity (</w:t>
      </w:r>
      <w:r w:rsidRPr="00D63D9C">
        <w:rPr>
          <w:rFonts w:ascii="Arial" w:eastAsia="Calibri" w:hAnsi="Arial" w:cs="Arial"/>
          <w:i/>
          <w:iCs/>
        </w:rPr>
        <w:t>n</w:t>
      </w:r>
      <w:r w:rsidRPr="00D63D9C">
        <w:rPr>
          <w:rFonts w:ascii="Arial" w:eastAsia="Calibri" w:hAnsi="Arial" w:cs="Arial"/>
        </w:rPr>
        <w:t xml:space="preserve"> = 8). SRS reactivity included any self-report measure that is sensitive to changes under stress (e.g., State-Trait Anxiety Inventory; </w:t>
      </w:r>
      <w:r w:rsidRPr="00D63D9C">
        <w:rPr>
          <w:rFonts w:ascii="Arial" w:eastAsia="Calibri" w:hAnsi="Arial" w:cs="Arial"/>
        </w:rPr>
        <w:fldChar w:fldCharType="begin"/>
      </w:r>
      <w:r w:rsidRPr="00D63D9C">
        <w:rPr>
          <w:rFonts w:ascii="Arial" w:eastAsia="Calibri" w:hAnsi="Arial" w:cs="Arial"/>
        </w:rPr>
        <w:instrText xml:space="preserve"> ADDIN ZOTERO_ITEM CSL_CITATION {"citationID":"6pb5Io0A","properties":{"formattedCitation":"(Marteau &amp; Bekker, 1992)","plainCitation":"(Marteau &amp; Bekker, 1992)","noteIndex":0},"citationItems":[{"id":826,"uris":["http://zotero.org/users/local/5q8hu1kp/items/PH8LZ7AN"],"uri":["http://zotero.org/users/local/5q8hu1kp/items/PH8LZ7AN"],"itemData":{"id":826,"type":"article-journal","abstract":"Two studies are reported describing the development of a short-form of the state scale of the Spielberger State–Trait Anxiety Inventory (STAI) for use in circumstances where the full-form is inappropriate. Using item–remainder correlations, the most highly correlated anxiety-present and anxiety-absent items were combined, and correlated with scores obtained using the full-form of the STAI. Correlation coefficients greater than .90 were obtained using four and six items from the STAI. Acceptable reliability and validity were obtained using six items. The use of this six-item short-form produced scores similar to those obtained using the full-form. This was so for several groups of subjects manifesting a range of anxiety levels. This short-form of the STAI is therefore sensitive to fluctuations in state anxiety. When compared with the full-form of the STAI, the six-item version offers a briefer and just as acceptable scale for subjects while maintaining results that are comparable to those obtained using the full-form of the STAI.","container-title":"British Journal of Clinical Psychology","DOI":"10.1111/j.2044-8260.1992.tb00997.x","ISSN":"2044-8260","issue":"3","language":"en","page":"301-306","source":"Wiley Online Library","title":"The development of a six-item short-form of the state scale of the Spielberger State—Trait Anxiety Inventory (STAI)","volume":"31","author":[{"family":"Marteau","given":"Theresa M."},{"family":"Bekker","given":"Hilary"}],"issued":{"date-parts":[["1992"]]}}}],"schema":"https://github.com/citation-style-language/schema/raw/master/csl-citation.json"} </w:instrText>
      </w:r>
      <w:r w:rsidRPr="00D63D9C">
        <w:rPr>
          <w:rFonts w:ascii="Arial" w:eastAsia="Calibri" w:hAnsi="Arial" w:cs="Arial"/>
        </w:rPr>
        <w:fldChar w:fldCharType="separate"/>
      </w:r>
      <w:r w:rsidRPr="00D63D9C">
        <w:rPr>
          <w:rFonts w:ascii="Arial" w:eastAsia="Calibri" w:hAnsi="Arial" w:cs="Arial"/>
        </w:rPr>
        <w:t>Marteau &amp; Bekker, 1992)</w:t>
      </w:r>
      <w:r w:rsidRPr="00D63D9C">
        <w:rPr>
          <w:rFonts w:ascii="Arial" w:eastAsia="Calibri" w:hAnsi="Arial" w:cs="Arial"/>
        </w:rPr>
        <w:fldChar w:fldCharType="end"/>
      </w:r>
      <w:r w:rsidRPr="00D63D9C">
        <w:rPr>
          <w:rFonts w:ascii="Arial" w:eastAsia="Calibri" w:hAnsi="Arial" w:cs="Arial"/>
        </w:rPr>
        <w:t xml:space="preserve">. When possible, the same papers that were found during the initial matching process were used for these variables as well. For example, Jonsson et al. (2015) included cortisol, HR reactivity, and SRS reactivity. The match paper for this study also included all three variables of interest, so it was used for all meta-analytical comparisons (Buchanan et al., 2010). When necessary, additional match papers were found using the key words “heart rate” or “stress.” For this reason, several V-TSST papers have more than one match paper </w:t>
      </w:r>
      <w:proofErr w:type="gramStart"/>
      <w:r w:rsidRPr="00D63D9C">
        <w:rPr>
          <w:rFonts w:ascii="Arial" w:eastAsia="Calibri" w:hAnsi="Arial" w:cs="Arial"/>
        </w:rPr>
        <w:t>in order to</w:t>
      </w:r>
      <w:proofErr w:type="gramEnd"/>
      <w:r w:rsidRPr="00D63D9C">
        <w:rPr>
          <w:rFonts w:ascii="Arial" w:eastAsia="Calibri" w:hAnsi="Arial" w:cs="Arial"/>
        </w:rPr>
        <w:t xml:space="preserve"> run meta-analyses for the different variables of interest. Details of each study are summarized in Table 1.</w:t>
      </w:r>
    </w:p>
    <w:p w14:paraId="665506EC" w14:textId="548BADBB" w:rsidR="00D63D9C" w:rsidRPr="005265A7" w:rsidRDefault="00D63D9C" w:rsidP="005265A7">
      <w:pPr>
        <w:widowControl w:val="0"/>
        <w:autoSpaceDE w:val="0"/>
        <w:autoSpaceDN w:val="0"/>
        <w:adjustRightInd w:val="0"/>
        <w:spacing w:after="0" w:line="480" w:lineRule="auto"/>
        <w:ind w:firstLine="720"/>
        <w:rPr>
          <w:rFonts w:ascii="Arial" w:eastAsia="Calibri" w:hAnsi="Arial" w:cs="Arial"/>
        </w:rPr>
      </w:pPr>
      <w:r w:rsidRPr="00D63D9C">
        <w:rPr>
          <w:rFonts w:ascii="Arial" w:eastAsia="Calibri" w:hAnsi="Arial" w:cs="Arial"/>
        </w:rPr>
        <w:t xml:space="preserve">Of note, several V-TSST papers have been published since the authors’ first meta-analysis on this topic (i.e., Helminen et al., </w:t>
      </w:r>
      <w:r w:rsidR="005265A7">
        <w:rPr>
          <w:rFonts w:ascii="Arial" w:eastAsia="Calibri" w:hAnsi="Arial" w:cs="Arial"/>
        </w:rPr>
        <w:t>2019</w:t>
      </w:r>
      <w:r w:rsidRPr="00D63D9C">
        <w:rPr>
          <w:rFonts w:ascii="Arial" w:eastAsia="Calibri" w:hAnsi="Arial" w:cs="Arial"/>
        </w:rPr>
        <w:t xml:space="preserve">). These papers have been added to the pool of V-TSST studies that have examined cortisol reactivity. Additionally, in the first meta-analysis we used a subsample from </w:t>
      </w:r>
      <w:proofErr w:type="spellStart"/>
      <w:r w:rsidRPr="00D63D9C">
        <w:rPr>
          <w:rFonts w:ascii="Arial" w:eastAsia="Calibri" w:hAnsi="Arial" w:cs="Arial"/>
        </w:rPr>
        <w:t>Shiban</w:t>
      </w:r>
      <w:proofErr w:type="spellEnd"/>
      <w:r w:rsidRPr="00D63D9C">
        <w:rPr>
          <w:rFonts w:ascii="Arial" w:eastAsia="Calibri" w:hAnsi="Arial" w:cs="Arial"/>
        </w:rPr>
        <w:t xml:space="preserve"> et al. (2016) that included only the cortisol responders in accordance with the criterion set forth by </w:t>
      </w:r>
      <w:r w:rsidRPr="00D63D9C">
        <w:rPr>
          <w:rFonts w:ascii="Arial" w:eastAsia="Calibri" w:hAnsi="Arial" w:cs="Arial"/>
        </w:rPr>
        <w:fldChar w:fldCharType="begin"/>
      </w:r>
      <w:r w:rsidRPr="00D63D9C">
        <w:rPr>
          <w:rFonts w:ascii="Arial" w:eastAsia="Calibri" w:hAnsi="Arial" w:cs="Arial"/>
        </w:rPr>
        <w:instrText xml:space="preserve"> ADDIN ZOTERO_ITEM CSL_CITATION {"citationID":"vGlgHJol","properties":{"formattedCitation":"(Miller et al., 2013)","plainCitation":"(Miller et al., 2013)","noteIndex":0},"citationItems":[{"id":1298,"uris":["http://zotero.org/users/local/5q8hu1kp/items/XFX4H5NV"],"uri":["http://zotero.org/users/local/5q8hu1kp/items/XFX4H5NV"],"itemData":{"id":1298,"type":"article-journal","abstract":"ObjectiveHypothalamic-pituitary-adrenal axis reactivity to acute stimulation is frequently assessed by repeated sampling of salivary cortisol. Researchers often strive to distinguish between individuals who show (responders) and those do not show (nonresponders) cortisol responses. For this, fixed t","container-title":"Psychosomatic Medicine","DOI":"10.1097/PSY.0000000000000002","ISSN":"0033-3174","issue":"9","language":"ENGLISH","note":"PMID: 24184845","page":"832-840","source":"insights-ovid-com.libezproxy2.syr.edu","title":"Classification Criteria for Distinguishing Cortisol Responders From Nonresponders to Psychosocial Stress: Evaluation of Salivary Cortisol Pulse Detection in Panel Designs","title-short":"Classification Criteria for Distinguishing Cortisol Responders From Nonresponders to Psychosocial Stress","volume":"75","author":[{"family":"Miller","given":"Robert"},{"family":"Plessow","given":"Franziska"},{"family":"Kirschbaum","given":"Clemens"},{"family":"Stalder","given":"Tobias"}],"issued":{"date-parts":[["2013",12]]}}}],"schema":"https://github.com/citation-style-language/schema/raw/master/csl-citation.json"} </w:instrText>
      </w:r>
      <w:r w:rsidRPr="00D63D9C">
        <w:rPr>
          <w:rFonts w:ascii="Arial" w:eastAsia="Calibri" w:hAnsi="Arial" w:cs="Arial"/>
        </w:rPr>
        <w:fldChar w:fldCharType="separate"/>
      </w:r>
      <w:r w:rsidRPr="00D63D9C">
        <w:rPr>
          <w:rFonts w:ascii="Arial" w:eastAsia="Calibri" w:hAnsi="Arial" w:cs="Arial"/>
        </w:rPr>
        <w:t>Miller et al. (2013)</w:t>
      </w:r>
      <w:r w:rsidRPr="00D63D9C">
        <w:rPr>
          <w:rFonts w:ascii="Arial" w:eastAsia="Calibri" w:hAnsi="Arial" w:cs="Arial"/>
        </w:rPr>
        <w:fldChar w:fldCharType="end"/>
      </w:r>
      <w:r w:rsidRPr="00D63D9C">
        <w:rPr>
          <w:rFonts w:ascii="Arial" w:eastAsia="Calibri" w:hAnsi="Arial" w:cs="Arial"/>
        </w:rPr>
        <w:t xml:space="preserve">. However, in this meta-analytical comparison, we used the full sample from both the V-TSST group and the traditional TSST </w:t>
      </w:r>
      <w:r w:rsidRPr="00D63D9C">
        <w:rPr>
          <w:rFonts w:ascii="Arial" w:eastAsia="Calibri" w:hAnsi="Arial" w:cs="Arial"/>
        </w:rPr>
        <w:lastRenderedPageBreak/>
        <w:t xml:space="preserve">group from </w:t>
      </w:r>
      <w:proofErr w:type="spellStart"/>
      <w:r w:rsidRPr="00D63D9C">
        <w:rPr>
          <w:rFonts w:ascii="Arial" w:eastAsia="Calibri" w:hAnsi="Arial" w:cs="Arial"/>
        </w:rPr>
        <w:t>Shiban</w:t>
      </w:r>
      <w:proofErr w:type="spellEnd"/>
      <w:r w:rsidRPr="00D63D9C">
        <w:rPr>
          <w:rFonts w:ascii="Arial" w:eastAsia="Calibri" w:hAnsi="Arial" w:cs="Arial"/>
        </w:rPr>
        <w:t xml:space="preserve"> and colleagues (2016) for a more conservative comparison.</w:t>
      </w:r>
    </w:p>
    <w:sectPr w:rsidR="00D63D9C" w:rsidRPr="005265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D9C"/>
    <w:rsid w:val="00161801"/>
    <w:rsid w:val="003C33C8"/>
    <w:rsid w:val="005265A7"/>
    <w:rsid w:val="00CE59A1"/>
    <w:rsid w:val="00D63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EBE4C"/>
  <w15:chartTrackingRefBased/>
  <w15:docId w15:val="{CB98BFE1-63C3-4B37-A779-3BB301470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7C900F792D524D88FAA4706D4B155D" ma:contentTypeVersion="41" ma:contentTypeDescription="Create a new document." ma:contentTypeScope="" ma:versionID="0a6725a100eeb07054c22953bc95da49">
  <xsd:schema xmlns:xsd="http://www.w3.org/2001/XMLSchema" xmlns:xs="http://www.w3.org/2001/XMLSchema" xmlns:p="http://schemas.microsoft.com/office/2006/metadata/properties" xmlns:ns1="http://schemas.microsoft.com/sharepoint/v3" xmlns:ns2="f125f12e-9a53-4fb5-99b2-11d12213af18" xmlns:ns3="49956862-bc03-459b-9e7c-648b70989ab5" xmlns:ns4="http://schemas.microsoft.com/sharepoint/v3/fields" targetNamespace="http://schemas.microsoft.com/office/2006/metadata/properties" ma:root="true" ma:fieldsID="8f76cf4b948ce9e6b6a87b79919b9560" ns1:_="" ns2:_="" ns3:_="" ns4:_="">
    <xsd:import namespace="http://schemas.microsoft.com/sharepoint/v3"/>
    <xsd:import namespace="f125f12e-9a53-4fb5-99b2-11d12213af18"/>
    <xsd:import namespace="49956862-bc03-459b-9e7c-648b70989ab5"/>
    <xsd:import namespace="http://schemas.microsoft.com/sharepoint/v3/fields"/>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Date" minOccurs="0"/>
                <xsd:element ref="ns3:DOI" minOccurs="0"/>
                <xsd:element ref="ns3:Publication_x0020_Issue" minOccurs="0"/>
                <xsd:element ref="ns3:Publication_x0020_Volume" minOccurs="0"/>
                <xsd:element ref="ns3:Manuscript_x0020_Number" minOccurs="0"/>
                <xsd:element ref="ns3:Corresponding_x0020_Author" minOccurs="0"/>
                <xsd:element ref="ns3:Manuscript_x0020_Status" minOccurs="0"/>
                <xsd:element ref="ns2:Article_x0020_Type" minOccurs="0"/>
                <xsd:element ref="ns3:Assigned_x0020_Editor" minOccurs="0"/>
                <xsd:element ref="ns3:Date_x0020_Acceptance_x0020_Emailed" minOccurs="0"/>
                <xsd:element ref="ns3:PAP_x0020_Date" minOccurs="0"/>
                <xsd:element ref="ns3:Layout_x0020_Order" minOccurs="0"/>
                <xsd:element ref="ns3:Article_x0020_Title" minOccurs="0"/>
                <xsd:element ref="ns2:TEST" minOccurs="0"/>
                <xsd:element ref="ns3:SharedWithUsers" minOccurs="0"/>
                <xsd:element ref="ns3:SharedWithDetails" minOccurs="0"/>
                <xsd:element ref="ns2:_Flow_SignoffStatus" minOccurs="0"/>
                <xsd:element ref="ns1:AssignedTo" minOccurs="0"/>
                <xsd:element ref="ns4:TaskStatus" minOccurs="0"/>
                <xsd:element ref="ns4:TaskDueDate" minOccurs="0"/>
                <xsd:element ref="ns1:DateCompleted" minOccurs="0"/>
                <xsd:element ref="ns1:Priority" minOccurs="0"/>
                <xsd:element ref="ns1:WorkflowName" minOccurs="0"/>
                <xsd:element ref="ns1:StartDate" minOccurs="0"/>
                <xsd:element ref="ns4:_EndDate" minOccurs="0"/>
                <xsd:element ref="ns1:Categories" minOccurs="0"/>
                <xsd:element ref="ns1:V3Comments" minOccurs="0"/>
                <xsd:element ref="ns3:Summary_x0020_Editing_x0020_Status" minOccurs="0"/>
                <xsd:element ref="ns3:Summary_x0020_Received_x0020_From_x0020_Auth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36" nillable="true" ma:displayName="Assigned To"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Completed" ma:index="39" nillable="true" ma:displayName="Date Completed" ma:format="DateOnly" ma:internalName="DateCompleted">
      <xsd:simpleType>
        <xsd:restriction base="dms:DateTime"/>
      </xsd:simpleType>
    </xsd:element>
    <xsd:element name="Priority" ma:index="40" nillable="true" ma:displayName="Priority" ma:default="(2) Normal" ma:internalName="Priority">
      <xsd:simpleType>
        <xsd:restriction base="dms:Choice">
          <xsd:enumeration value="(1) High"/>
          <xsd:enumeration value="(2) Normal"/>
          <xsd:enumeration value="(3) Low"/>
        </xsd:restriction>
      </xsd:simpleType>
    </xsd:element>
    <xsd:element name="WorkflowName" ma:index="41" nillable="true" ma:displayName="Workflow Name" ma:internalName="WorkflowName">
      <xsd:simpleType>
        <xsd:restriction base="dms:Text"/>
      </xsd:simpleType>
    </xsd:element>
    <xsd:element name="StartDate" ma:index="42" nillable="true" ma:displayName="Start Date" ma:default="[today]" ma:format="DateOnly" ma:internalName="StartDate">
      <xsd:simpleType>
        <xsd:restriction base="dms:DateTime"/>
      </xsd:simpleType>
    </xsd:element>
    <xsd:element name="Categories" ma:index="44" nillable="true" ma:displayName="Categories" ma:internalName="Categories">
      <xsd:simpleType>
        <xsd:restriction base="dms:Text"/>
      </xsd:simpleType>
    </xsd:element>
    <xsd:element name="V3Comments" ma:index="45"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25f12e-9a53-4fb5-99b2-11d12213af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 ma:index="18" nillable="true" ma:displayName="Date" ma:format="DateTime" ma:internalName="Date">
      <xsd:simpleType>
        <xsd:restriction base="dms:DateTime"/>
      </xsd:simpleType>
    </xsd:element>
    <xsd:element name="Article_x0020_Type" ma:index="25" nillable="true" ma:displayName="Article Type" ma:format="RadioButtons" ma:internalName="Article_x0020_Type">
      <xsd:simpleType>
        <xsd:union memberTypes="dms:Text">
          <xsd:simpleType>
            <xsd:restriction base="dms:Choice">
              <xsd:enumeration value="Original Article"/>
              <xsd:enumeration value="Systematic Review/Meta-analysis"/>
              <xsd:enumeration value="Letter to the Editor"/>
            </xsd:restriction>
          </xsd:simpleType>
        </xsd:union>
      </xsd:simpleType>
    </xsd:element>
    <xsd:element name="TEST" ma:index="31" nillable="true" ma:displayName="TEST" ma:list="{34be1e76-87f0-42ee-94f0-fb9283aba455}" ma:internalName="TEST" ma:showField="Title">
      <xsd:simpleType>
        <xsd:restriction base="dms:Lookup"/>
      </xsd:simpleType>
    </xsd:element>
    <xsd:element name="_Flow_SignoffStatus" ma:index="3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956862-bc03-459b-9e7c-648b70989ab5" elementFormDefault="qualified">
    <xsd:import namespace="http://schemas.microsoft.com/office/2006/documentManagement/types"/>
    <xsd:import namespace="http://schemas.microsoft.com/office/infopath/2007/PartnerControls"/>
    <xsd:element name="DOI" ma:index="19" nillable="true" ma:displayName="DOI" ma:description="Digital object identifier" ma:internalName="DOI">
      <xsd:simpleType>
        <xsd:restriction base="dms:Text">
          <xsd:maxLength value="255"/>
        </xsd:restriction>
      </xsd:simpleType>
    </xsd:element>
    <xsd:element name="Publication_x0020_Issue" ma:index="20" nillable="true" ma:displayName="Publication Issue" ma:decimals="0" ma:description="Publication Issue number (planned)" ma:internalName="Publication_x0020_Issue" ma:percentage="FALSE">
      <xsd:simpleType>
        <xsd:restriction base="dms:Number"/>
      </xsd:simpleType>
    </xsd:element>
    <xsd:element name="Publication_x0020_Volume" ma:index="21" nillable="true" ma:displayName="Publication Volume" ma:decimals="0" ma:description="Planned publication volume" ma:indexed="true" ma:internalName="Publication_x0020_Volume" ma:percentage="FALSE">
      <xsd:simpleType>
        <xsd:restriction base="dms:Number"/>
      </xsd:simpleType>
    </xsd:element>
    <xsd:element name="Manuscript_x0020_Number" ma:index="22" nillable="true" ma:displayName="Manuscript Number" ma:internalName="Manuscript_x0020_Number">
      <xsd:simpleType>
        <xsd:restriction base="dms:Text">
          <xsd:maxLength value="255"/>
        </xsd:restriction>
      </xsd:simpleType>
    </xsd:element>
    <xsd:element name="Corresponding_x0020_Author" ma:index="23" nillable="true" ma:displayName="Corresponding Author" ma:internalName="Corresponding_x0020_Author">
      <xsd:simpleType>
        <xsd:restriction base="dms:Text">
          <xsd:maxLength value="255"/>
        </xsd:restriction>
      </xsd:simpleType>
    </xsd:element>
    <xsd:element name="Manuscript_x0020_Status" ma:index="24" nillable="true" ma:displayName="Manuscript Status" ma:format="RadioButtons" ma:internalName="Manuscript_x0020_Status">
      <xsd:simpleType>
        <xsd:union memberTypes="dms:Text">
          <xsd:simpleType>
            <xsd:restriction base="dms:Choice">
              <xsd:enumeration value="Submitted"/>
              <xsd:enumeration value="Under Review"/>
              <xsd:enumeration value="Rejected"/>
              <xsd:enumeration value="Accepted"/>
              <xsd:enumeration value="Published"/>
            </xsd:restriction>
          </xsd:simpleType>
        </xsd:union>
      </xsd:simpleType>
    </xsd:element>
    <xsd:element name="Assigned_x0020_Editor" ma:index="26" nillable="true" ma:displayName="Assigned Editor" ma:format="Dropdown" ma:internalName="Assigned_x0020_Editor">
      <xsd:simpleType>
        <xsd:union memberTypes="dms:Text">
          <xsd:simpleType>
            <xsd:restriction base="dms:Choice">
              <xsd:enumeration value="Eco de Geus"/>
              <xsd:enumeration value="Susan Everson-Rose"/>
              <xsd:enumeration value="Robert Golden"/>
              <xsd:enumeration value="Andreana Haley"/>
              <xsd:enumeration value="Willem Kop"/>
              <xsd:enumeration value="Anna Marsland"/>
              <xsd:enumeration value="Guest Editor"/>
            </xsd:restriction>
          </xsd:simpleType>
        </xsd:union>
      </xsd:simpleType>
    </xsd:element>
    <xsd:element name="Date_x0020_Acceptance_x0020_Emailed" ma:index="27" nillable="true" ma:displayName="Date Acceptance Emailed" ma:format="DateOnly" ma:internalName="Date_x0020_Acceptance_x0020_Emailed">
      <xsd:simpleType>
        <xsd:restriction base="dms:DateTime"/>
      </xsd:simpleType>
    </xsd:element>
    <xsd:element name="PAP_x0020_Date" ma:index="28" nillable="true" ma:displayName="PAP Date" ma:description="Date article published ahead of print" ma:format="DateOnly" ma:internalName="PAP_x0020_Date">
      <xsd:simpleType>
        <xsd:restriction base="dms:DateTime"/>
      </xsd:simpleType>
    </xsd:element>
    <xsd:element name="Layout_x0020_Order" ma:index="29" nillable="true" ma:displayName="Layout Order" ma:indexed="true" ma:internalName="Layout_x0020_Order" ma:percentage="FALSE">
      <xsd:simpleType>
        <xsd:restriction base="dms:Number"/>
      </xsd:simpleType>
    </xsd:element>
    <xsd:element name="Article_x0020_Title" ma:index="30" nillable="true" ma:displayName="Article Title" ma:internalName="Article_x0020_Title">
      <xsd:simpleType>
        <xsd:restriction base="dms:Note">
          <xsd:maxLength value="255"/>
        </xsd:restriction>
      </xsd:simple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element name="Summary_x0020_Editing_x0020_Status" ma:index="46" nillable="true" ma:displayName="Summary Editing Status" ma:internalName="Summary_x0020_Editing_x0020_Status">
      <xsd:complexType>
        <xsd:complexContent>
          <xsd:extension base="dms:MultiChoice">
            <xsd:sequence>
              <xsd:element name="Value" maxOccurs="unbounded" minOccurs="0" nillable="true">
                <xsd:simpleType>
                  <xsd:restriction base="dms:Choice">
                    <xsd:enumeration value="Regina editing/writing"/>
                    <xsd:enumeration value="Regina completed"/>
                    <xsd:enumeration value="Vicki editing/writing/reviewing"/>
                    <xsd:enumeration value="Ready for Wijo review"/>
                    <xsd:enumeration value="Ready for publisher"/>
                  </xsd:restriction>
                </xsd:simpleType>
              </xsd:element>
            </xsd:sequence>
          </xsd:extension>
        </xsd:complexContent>
      </xsd:complexType>
    </xsd:element>
    <xsd:element name="Summary_x0020_Received_x0020_From_x0020_Author" ma:index="47" nillable="true" ma:displayName="Summary Received From Author" ma:format="RadioButtons" ma:internalName="Summary_x0020_Received_x0020_From_x0020_Author">
      <xsd:simpleType>
        <xsd:union memberTypes="dms:Text">
          <xsd:simpleType>
            <xsd:restriction base="dms:Choice">
              <xsd:enumeration value="Yes"/>
              <xsd:enumeration value="No"/>
              <xsd:enumeration value="Not need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TaskStatus" ma:index="37" nillable="true" ma:displayName="Task Status" ma:default="Not Started" ma:internalName="TaskStatus">
      <xsd:simpleType>
        <xsd:restriction base="dms:Choice">
          <xsd:enumeration value="Not Started"/>
          <xsd:enumeration value="In Progress"/>
          <xsd:enumeration value="Completed"/>
          <xsd:enumeration value="Deferred"/>
          <xsd:enumeration value="Waiting on someone else"/>
        </xsd:restriction>
      </xsd:simpleType>
    </xsd:element>
    <xsd:element name="TaskDueDate" ma:index="38" nillable="true" ma:displayName="Due Date" ma:format="DateOnly" ma:internalName="TaskDueDate">
      <xsd:simpleType>
        <xsd:restriction base="dms:DateTime"/>
      </xsd:simpleType>
    </xsd:element>
    <xsd:element name="_EndDate" ma:index="43" nillable="true" ma:displayName="End Date" ma:default="[today]" ma:format="DateTime" ma:internalName="_En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rticle_x0020_Type xmlns="f125f12e-9a53-4fb5-99b2-11d12213af18" xsi:nil="true"/>
    <Publication_x0020_Issue xmlns="49956862-bc03-459b-9e7c-648b70989ab5" xsi:nil="true"/>
    <DateCompleted xmlns="http://schemas.microsoft.com/sharepoint/v3" xsi:nil="true"/>
    <WorkflowName xmlns="http://schemas.microsoft.com/sharepoint/v3" xsi:nil="true"/>
    <Manuscript_x0020_Status xmlns="49956862-bc03-459b-9e7c-648b70989ab5">Under Review</Manuscript_x0020_Status>
    <Date_x0020_Acceptance_x0020_Emailed xmlns="49956862-bc03-459b-9e7c-648b70989ab5" xsi:nil="true"/>
    <AssignedTo xmlns="http://schemas.microsoft.com/sharepoint/v3">
      <UserInfo>
        <DisplayName/>
        <AccountId xsi:nil="true"/>
        <AccountType/>
      </UserInfo>
    </AssignedTo>
    <TaskStatus xmlns="http://schemas.microsoft.com/sharepoint/v3/fields">Not Started</TaskStatus>
    <Article_x0020_Title xmlns="49956862-bc03-459b-9e7c-648b70989ab5" xsi:nil="true"/>
    <_Flow_SignoffStatus xmlns="f125f12e-9a53-4fb5-99b2-11d12213af18" xsi:nil="true"/>
    <TaskDueDate xmlns="http://schemas.microsoft.com/sharepoint/v3/fields" xsi:nil="true"/>
    <Priority xmlns="http://schemas.microsoft.com/sharepoint/v3">(2) Normal</Priority>
    <_EndDate xmlns="http://schemas.microsoft.com/sharepoint/v3/fields">2021-01-22T13:56:39+00:00</_EndDate>
    <Summary_x0020_Editing_x0020_Status xmlns="49956862-bc03-459b-9e7c-648b70989ab5"/>
    <Publication_x0020_Volume xmlns="49956862-bc03-459b-9e7c-648b70989ab5" xsi:nil="true"/>
    <V3Comments xmlns="http://schemas.microsoft.com/sharepoint/v3" xsi:nil="true"/>
    <DOI xmlns="49956862-bc03-459b-9e7c-648b70989ab5" xsi:nil="true"/>
    <Layout_x0020_Order xmlns="49956862-bc03-459b-9e7c-648b70989ab5" xsi:nil="true"/>
    <PAP_x0020_Date xmlns="49956862-bc03-459b-9e7c-648b70989ab5" xsi:nil="true"/>
    <Corresponding_x0020_Author xmlns="49956862-bc03-459b-9e7c-648b70989ab5" xsi:nil="true"/>
    <Manuscript_x0020_Number xmlns="49956862-bc03-459b-9e7c-648b70989ab5">PSY20-93</Manuscript_x0020_Number>
    <StartDate xmlns="http://schemas.microsoft.com/sharepoint/v3">2021-01-22T13:56:39+00:00</StartDate>
    <Assigned_x0020_Editor xmlns="49956862-bc03-459b-9e7c-648b70989ab5" xsi:nil="true"/>
    <Categories xmlns="http://schemas.microsoft.com/sharepoint/v3" xsi:nil="true"/>
    <TEST xmlns="f125f12e-9a53-4fb5-99b2-11d12213af18" xsi:nil="true"/>
    <Date xmlns="f125f12e-9a53-4fb5-99b2-11d12213af18" xsi:nil="true"/>
    <Summary_x0020_Received_x0020_From_x0020_Author xmlns="49956862-bc03-459b-9e7c-648b70989ab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8CECEC-0F87-446A-B65F-F75DF82375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25f12e-9a53-4fb5-99b2-11d12213af18"/>
    <ds:schemaRef ds:uri="49956862-bc03-459b-9e7c-648b70989ab5"/>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F459A8-C583-4417-92D4-8B7B596198F4}">
  <ds:schemaRefs>
    <ds:schemaRef ds:uri="http://schemas.microsoft.com/office/2006/metadata/properties"/>
    <ds:schemaRef ds:uri="http://schemas.microsoft.com/office/infopath/2007/PartnerControls"/>
    <ds:schemaRef ds:uri="f125f12e-9a53-4fb5-99b2-11d12213af18"/>
    <ds:schemaRef ds:uri="49956862-bc03-459b-9e7c-648b70989ab5"/>
    <ds:schemaRef ds:uri="http://schemas.microsoft.com/sharepoint/v3"/>
    <ds:schemaRef ds:uri="http://schemas.microsoft.com/sharepoint/v3/fields"/>
  </ds:schemaRefs>
</ds:datastoreItem>
</file>

<file path=customXml/itemProps3.xml><?xml version="1.0" encoding="utf-8"?>
<ds:datastoreItem xmlns:ds="http://schemas.openxmlformats.org/officeDocument/2006/customXml" ds:itemID="{F13012B5-5813-41C9-B4A2-6770E60419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1185</Words>
  <Characters>6757</Characters>
  <Application>Microsoft Office Word</Application>
  <DocSecurity>0</DocSecurity>
  <Lines>56</Lines>
  <Paragraphs>15</Paragraphs>
  <ScaleCrop>false</ScaleCrop>
  <Company/>
  <LinksUpToDate>false</LinksUpToDate>
  <CharactersWithSpaces>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Helminen</dc:creator>
  <cp:keywords/>
  <dc:description/>
  <cp:lastModifiedBy>Victoria White</cp:lastModifiedBy>
  <cp:revision>4</cp:revision>
  <dcterms:created xsi:type="dcterms:W3CDTF">2020-11-14T19:55:00Z</dcterms:created>
  <dcterms:modified xsi:type="dcterms:W3CDTF">2021-01-22T23:10:00Z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0x010100267C900F792D524D88FAA4706D4B155D</vt:lpwstr>
  </property>
</Properties>
</file>