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AC52" w14:textId="2C24B045" w:rsidR="00250000" w:rsidRDefault="00250000" w:rsidP="008E3AD7">
      <w:pPr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Sexual </w:t>
      </w:r>
      <w:proofErr w:type="spellStart"/>
      <w:r>
        <w:rPr>
          <w:rFonts w:ascii="Calibri" w:hAnsi="Calibri"/>
          <w:b/>
          <w:sz w:val="28"/>
        </w:rPr>
        <w:t>behaviour</w:t>
      </w:r>
      <w:proofErr w:type="spellEnd"/>
      <w:r>
        <w:rPr>
          <w:rFonts w:ascii="Calibri" w:hAnsi="Calibri"/>
          <w:b/>
          <w:sz w:val="28"/>
        </w:rPr>
        <w:t xml:space="preserve"> in a rural high HIV prevalence South African community: time trends in the antiretroviral treatment era</w:t>
      </w:r>
    </w:p>
    <w:p w14:paraId="166497EA" w14:textId="77777777" w:rsidR="00250000" w:rsidRDefault="00250000" w:rsidP="008E3AD7">
      <w:pPr>
        <w:rPr>
          <w:rFonts w:ascii="Calibri" w:hAnsi="Calibri"/>
          <w:b/>
          <w:sz w:val="28"/>
        </w:rPr>
      </w:pPr>
    </w:p>
    <w:p w14:paraId="168B0CC1" w14:textId="5C2535EB" w:rsidR="00250000" w:rsidRDefault="00250000" w:rsidP="008E3AD7">
      <w:pPr>
        <w:rPr>
          <w:rFonts w:ascii="Calibri" w:hAnsi="Calibri"/>
        </w:rPr>
      </w:pPr>
      <w:r>
        <w:rPr>
          <w:rFonts w:ascii="Calibri" w:hAnsi="Calibri"/>
        </w:rPr>
        <w:t xml:space="preserve">McGrath N, Eaton JW, </w:t>
      </w:r>
      <w:proofErr w:type="spellStart"/>
      <w:r>
        <w:rPr>
          <w:rFonts w:ascii="Calibri" w:hAnsi="Calibri"/>
        </w:rPr>
        <w:t>Bärnighausen</w:t>
      </w:r>
      <w:proofErr w:type="spellEnd"/>
      <w:r>
        <w:rPr>
          <w:rFonts w:ascii="Calibri" w:hAnsi="Calibri"/>
        </w:rPr>
        <w:t xml:space="preserve"> TW, Tanser F, Newell M-L</w:t>
      </w:r>
    </w:p>
    <w:p w14:paraId="00A1D997" w14:textId="77777777" w:rsidR="00250000" w:rsidRDefault="00250000" w:rsidP="008E3AD7">
      <w:pPr>
        <w:rPr>
          <w:rFonts w:ascii="Calibri" w:hAnsi="Calibri"/>
        </w:rPr>
      </w:pPr>
    </w:p>
    <w:p w14:paraId="1A925DD4" w14:textId="5D0EDF6E" w:rsidR="00250000" w:rsidRDefault="00250000" w:rsidP="008E3AD7">
      <w:pPr>
        <w:rPr>
          <w:rFonts w:ascii="Calibri" w:hAnsi="Calibri"/>
          <w:b/>
          <w:sz w:val="28"/>
        </w:rPr>
      </w:pPr>
      <w:r w:rsidRPr="00250000">
        <w:rPr>
          <w:rFonts w:ascii="Calibri" w:hAnsi="Calibri"/>
          <w:b/>
          <w:sz w:val="28"/>
        </w:rPr>
        <w:t>Supple</w:t>
      </w:r>
      <w:r>
        <w:rPr>
          <w:rFonts w:ascii="Calibri" w:hAnsi="Calibri"/>
          <w:b/>
          <w:sz w:val="28"/>
        </w:rPr>
        <w:t>mentary Information</w:t>
      </w:r>
    </w:p>
    <w:p w14:paraId="640CE089" w14:textId="77777777" w:rsidR="00250000" w:rsidRDefault="00250000" w:rsidP="008E3AD7">
      <w:pPr>
        <w:rPr>
          <w:rFonts w:ascii="Calibri" w:hAnsi="Calibri"/>
          <w:b/>
          <w:sz w:val="28"/>
        </w:rPr>
      </w:pPr>
    </w:p>
    <w:p w14:paraId="1E9E5BE0" w14:textId="77777777" w:rsidR="00250000" w:rsidRDefault="00250000" w:rsidP="008E3AD7">
      <w:pPr>
        <w:rPr>
          <w:rFonts w:ascii="Calibri" w:hAnsi="Calibri"/>
          <w:b/>
          <w:sz w:val="28"/>
        </w:rPr>
      </w:pPr>
    </w:p>
    <w:p w14:paraId="3C375CD8" w14:textId="77777777" w:rsidR="00250000" w:rsidRPr="00250000" w:rsidRDefault="00250000" w:rsidP="008E3AD7">
      <w:pPr>
        <w:rPr>
          <w:rFonts w:ascii="Calibri" w:hAnsi="Calibri"/>
          <w:b/>
          <w:sz w:val="28"/>
        </w:rPr>
      </w:pPr>
    </w:p>
    <w:p w14:paraId="0EF8C3EE" w14:textId="77777777" w:rsidR="00187D71" w:rsidRDefault="00187D71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5D5286E" w14:textId="371DD81E" w:rsidR="009D2319" w:rsidRPr="00250000" w:rsidRDefault="00250000" w:rsidP="008E3AD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Figure S1: </w:t>
      </w:r>
      <w:r w:rsidR="009D2319" w:rsidRPr="00250000">
        <w:rPr>
          <w:rFonts w:ascii="Calibri" w:hAnsi="Calibri"/>
        </w:rPr>
        <w:t>Distribution of number of surveys for which eligible and the number in which participated</w:t>
      </w:r>
    </w:p>
    <w:p w14:paraId="7BD421F1" w14:textId="2953C63D" w:rsidR="0093319B" w:rsidRDefault="00250000" w:rsidP="00250000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7B576B37" wp14:editId="224AC427">
            <wp:extent cx="3657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70F4B" w14:textId="77777777" w:rsidR="00E238AA" w:rsidRDefault="00E238AA"/>
    <w:p w14:paraId="37EA64C5" w14:textId="77777777" w:rsidR="00187D71" w:rsidRDefault="00187D71" w:rsidP="00187D71">
      <w:pPr>
        <w:rPr>
          <w:rFonts w:ascii="Calibri" w:hAnsi="Calibri"/>
          <w:b/>
        </w:rPr>
      </w:pPr>
    </w:p>
    <w:p w14:paraId="382F47D2" w14:textId="41752E4A" w:rsidR="00187D71" w:rsidRPr="00E207E4" w:rsidRDefault="00187D71">
      <w:pPr>
        <w:rPr>
          <w:rFonts w:ascii="Calibri" w:hAnsi="Calibri"/>
        </w:rPr>
      </w:pPr>
      <w:r>
        <w:rPr>
          <w:rFonts w:ascii="Calibri" w:hAnsi="Calibri"/>
          <w:b/>
        </w:rPr>
        <w:t xml:space="preserve">Table S1: </w:t>
      </w:r>
      <w:r>
        <w:rPr>
          <w:rFonts w:ascii="Calibri" w:hAnsi="Calibri"/>
        </w:rPr>
        <w:t>Number of surveys in which participated by number for which eligible</w:t>
      </w:r>
    </w:p>
    <w:tbl>
      <w:tblPr>
        <w:tblW w:w="9015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220"/>
      </w:tblGrid>
      <w:tr w:rsidR="00E238AA" w:rsidRPr="00E238AA" w14:paraId="63206829" w14:textId="77777777" w:rsidTr="00E238AA">
        <w:trPr>
          <w:trHeight w:val="240"/>
        </w:trPr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81E1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Women -- all respondents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E21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B637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27BC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347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154F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295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3C6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E01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CCB8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38AA" w:rsidRPr="00E238AA" w14:paraId="1A1DDE3F" w14:textId="77777777" w:rsidTr="00E238AA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B5F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8CBB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717" w14:textId="77777777" w:rsidR="00E238AA" w:rsidRPr="00E238AA" w:rsidRDefault="00E238AA" w:rsidP="00E238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Sexual </w:t>
            </w:r>
            <w:proofErr w:type="spellStart"/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behaviour</w:t>
            </w:r>
            <w:proofErr w:type="spellEnd"/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surveys participated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04C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FAA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38AA" w:rsidRPr="00E238AA" w14:paraId="5957CAE4" w14:textId="77777777" w:rsidTr="00E238AA">
        <w:trPr>
          <w:trHeight w:val="4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E74A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CB189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3C2B0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C5C3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F8C01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AC4C0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D10B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5DEE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1927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3AEA8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3EEE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B152A" w14:textId="77777777" w:rsidR="00E238AA" w:rsidRPr="00E238AA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Survey completion %</w:t>
            </w:r>
          </w:p>
        </w:tc>
      </w:tr>
      <w:tr w:rsidR="008B27DA" w:rsidRPr="00E238AA" w14:paraId="14F2267B" w14:textId="77777777" w:rsidTr="00E238AA">
        <w:trPr>
          <w:trHeight w:val="240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767B" w14:textId="77777777" w:rsidR="008B27DA" w:rsidRPr="00E238AA" w:rsidRDefault="008B27DA" w:rsidP="00E238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Surveys eligible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482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F10" w14:textId="43CED0BD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EFBA" w14:textId="351ACED1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703D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9A71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96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56A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DCA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963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D46C" w14:textId="3474E80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1DF0" w14:textId="6C541B78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19%</w:t>
            </w:r>
          </w:p>
        </w:tc>
      </w:tr>
      <w:tr w:rsidR="008B27DA" w:rsidRPr="00E238AA" w14:paraId="7CEE6252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AE932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E999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288" w14:textId="54E9BC6E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DFB" w14:textId="51A7A5C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01B" w14:textId="4D1E60E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5EF2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A2A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556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A6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3C6A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709" w14:textId="377FB9A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F6A8" w14:textId="7BBDFC61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8B27DA" w:rsidRPr="00E238AA" w14:paraId="53847A0F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ED514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2AE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C510" w14:textId="79C8208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737" w14:textId="7AFA7AB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8A3" w14:textId="03843F3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CC5" w14:textId="657903B6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4D50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D78A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D56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51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7CC" w14:textId="3067C658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CB14" w14:textId="2A63091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31%</w:t>
            </w:r>
          </w:p>
        </w:tc>
      </w:tr>
      <w:tr w:rsidR="008B27DA" w:rsidRPr="00E238AA" w14:paraId="116452DB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B74D8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71B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98F9" w14:textId="649E186E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4AD8" w14:textId="7189294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7C3" w14:textId="7117513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5EC5" w14:textId="1DF7F6F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79E" w14:textId="0ADF823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D040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F7A6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152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4B7" w14:textId="195E490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BF94" w14:textId="63B2A63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34%</w:t>
            </w:r>
          </w:p>
        </w:tc>
      </w:tr>
      <w:tr w:rsidR="008B27DA" w:rsidRPr="00E238AA" w14:paraId="5C7103FB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B655D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767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835B" w14:textId="30F9C7A1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2B34" w14:textId="4593486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801" w14:textId="2BE4BC1A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E75" w14:textId="0618BF2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BE27" w14:textId="1A438AC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BB3B" w14:textId="31C42FA6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90D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49B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C5B" w14:textId="0B5B5EE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333" w14:textId="0FA3D78A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36%</w:t>
            </w:r>
          </w:p>
        </w:tc>
      </w:tr>
      <w:tr w:rsidR="008B27DA" w:rsidRPr="00E238AA" w14:paraId="66848A40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2A6D2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C30C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779" w14:textId="105146A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44B4" w14:textId="72D97DA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8CA0" w14:textId="3219277E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ACC" w14:textId="2799B90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1154" w14:textId="090985C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659" w14:textId="3CFB15BF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56F" w14:textId="0CD7C83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BF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7FF" w14:textId="15D9726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869B" w14:textId="64882E9F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39%</w:t>
            </w:r>
          </w:p>
        </w:tc>
      </w:tr>
      <w:tr w:rsidR="008B27DA" w:rsidRPr="00E238AA" w14:paraId="66E6B352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89DF5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7847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FF14" w14:textId="3950BFB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073" w14:textId="028A0D1D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1FA" w14:textId="174B5B8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ABC" w14:textId="1843222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BE4" w14:textId="24077C3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925" w14:textId="3BD319F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692" w14:textId="703596E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FD8" w14:textId="15B5C0EC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E3C" w14:textId="17C9FEB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898E" w14:textId="2656045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42%</w:t>
            </w:r>
          </w:p>
        </w:tc>
      </w:tr>
      <w:tr w:rsidR="00187D71" w:rsidRPr="00E238AA" w14:paraId="373681CA" w14:textId="77777777" w:rsidTr="00E238AA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331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00F" w14:textId="359554A0" w:rsidR="00187D71" w:rsidRPr="00187D71" w:rsidRDefault="00187D71" w:rsidP="00187D71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87D7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7AB" w14:textId="36FE06CF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7DA6" w14:textId="4A5800AD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409" w14:textId="2D1EBFA5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FB7D" w14:textId="0FAAEBC5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CBAC" w14:textId="2B239B57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01E" w14:textId="100B29FB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D64D" w14:textId="17563FB4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14ED" w14:textId="62D694BC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07B" w14:textId="05054B13" w:rsidR="00187D71" w:rsidRPr="00E238AA" w:rsidRDefault="00187D71" w:rsidP="00187D71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83FF" w14:textId="5A3F177E" w:rsidR="00187D71" w:rsidRPr="00E207E4" w:rsidRDefault="00E207E4" w:rsidP="00E207E4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E207E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36%</w:t>
            </w:r>
          </w:p>
        </w:tc>
      </w:tr>
      <w:tr w:rsidR="00187D71" w:rsidRPr="00E238AA" w14:paraId="03080BA3" w14:textId="77777777" w:rsidTr="00E238AA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3ED2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B60A" w14:textId="77777777" w:rsidR="00187D71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25681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6789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AFFC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3FBF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5D1F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C6D30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5BF1A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1B2A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087A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11A7" w14:textId="77777777" w:rsidR="00187D71" w:rsidRPr="00E238AA" w:rsidRDefault="00187D71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38AA" w:rsidRPr="00E238AA" w14:paraId="35D2EF66" w14:textId="77777777" w:rsidTr="00E238AA">
        <w:trPr>
          <w:trHeight w:val="240"/>
        </w:trPr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60B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Men -- all respondents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0EA9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3AFD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4B2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303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F577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C19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3D7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C81E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7CA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38AA" w:rsidRPr="00E238AA" w14:paraId="73E85AC2" w14:textId="77777777" w:rsidTr="00E238AA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ECAD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93C5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E33" w14:textId="77777777" w:rsidR="00E238AA" w:rsidRPr="00E238AA" w:rsidRDefault="00E238AA" w:rsidP="00E238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Sexual </w:t>
            </w:r>
            <w:proofErr w:type="spellStart"/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behaviour</w:t>
            </w:r>
            <w:proofErr w:type="spellEnd"/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surveys participated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4813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108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238AA" w:rsidRPr="00E238AA" w14:paraId="73382C60" w14:textId="77777777" w:rsidTr="00E238AA">
        <w:trPr>
          <w:trHeight w:val="4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FED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DCDB" w14:textId="77777777" w:rsidR="00E238AA" w:rsidRPr="00E238AA" w:rsidRDefault="00E238A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B85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0E9C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9F3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BBE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843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664A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9C7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196A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1D458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C0FD5" w14:textId="77777777" w:rsidR="00E238AA" w:rsidRPr="001B46F1" w:rsidRDefault="00E238A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B46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Survey completion %</w:t>
            </w:r>
          </w:p>
        </w:tc>
      </w:tr>
      <w:tr w:rsidR="008B27DA" w:rsidRPr="00E238AA" w14:paraId="1A6EDD8C" w14:textId="77777777" w:rsidTr="00E238AA">
        <w:trPr>
          <w:trHeight w:val="240"/>
        </w:trPr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6273" w14:textId="77777777" w:rsidR="008B27DA" w:rsidRPr="00E238AA" w:rsidRDefault="008B27DA" w:rsidP="00E238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Surveys eligible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AE1E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4A7" w14:textId="6ACD576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01E" w14:textId="081CE1E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D5B5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4D2D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C20A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BD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C25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3FA1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BAC" w14:textId="0618293C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CCF" w14:textId="629B14A8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14%</w:t>
            </w:r>
          </w:p>
        </w:tc>
      </w:tr>
      <w:tr w:rsidR="008B27DA" w:rsidRPr="00E238AA" w14:paraId="69DB2C70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61083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475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38A9" w14:textId="765A114A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47D" w14:textId="1C62C11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61C4" w14:textId="725E5F9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5213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3BF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CF24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03B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1D7F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3E3F" w14:textId="03E6A54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B7B3" w14:textId="4A5EC04E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21%</w:t>
            </w:r>
          </w:p>
        </w:tc>
      </w:tr>
      <w:tr w:rsidR="008B27DA" w:rsidRPr="00E238AA" w14:paraId="1E6A9820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4A4E6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C7B9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D894" w14:textId="31EBB782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D7A" w14:textId="0369100D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E46" w14:textId="4947407C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1309" w14:textId="043E7F3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C2D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DE6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C931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86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8ED" w14:textId="3D3F525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1466" w14:textId="2415B3CE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23%</w:t>
            </w:r>
          </w:p>
        </w:tc>
      </w:tr>
      <w:tr w:rsidR="008B27DA" w:rsidRPr="00E238AA" w14:paraId="041890F2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ABBE5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9D8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B72" w14:textId="592B1F56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BD4" w14:textId="4124610F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EC52" w14:textId="0AA886E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A7D" w14:textId="326C685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268" w14:textId="17BA98A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F981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F1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EE7B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874" w14:textId="55FDD91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16D3" w14:textId="47553DC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27%</w:t>
            </w:r>
          </w:p>
        </w:tc>
      </w:tr>
      <w:tr w:rsidR="008B27DA" w:rsidRPr="00E238AA" w14:paraId="0BFD9572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D43CB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F36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3A4" w14:textId="35999A9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B6D2" w14:textId="07C13432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1A0" w14:textId="79DF235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F113" w14:textId="49AA5EA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39C0" w14:textId="2F3976DA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380B" w14:textId="4244337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7C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A1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D4C" w14:textId="7DA2351D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9762" w14:textId="72CF272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8B27DA" w:rsidRPr="00E238AA" w14:paraId="765A3F58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B0039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3AF6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C84E" w14:textId="7E795EBE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97B" w14:textId="29C1F1EC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B1F2" w14:textId="673B58A8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EF2" w14:textId="23895624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178" w14:textId="18DEB17F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457" w14:textId="2D85579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F3C" w14:textId="4696AF25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D4B7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3E1" w14:textId="6AD6165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FCF" w14:textId="2866C35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29%</w:t>
            </w:r>
          </w:p>
        </w:tc>
      </w:tr>
      <w:tr w:rsidR="008B27DA" w:rsidRPr="00E238AA" w14:paraId="1994C1DE" w14:textId="77777777" w:rsidTr="00E238AA">
        <w:trPr>
          <w:trHeight w:val="240"/>
        </w:trPr>
        <w:tc>
          <w:tcPr>
            <w:tcW w:w="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D072E" w14:textId="77777777" w:rsidR="008B27DA" w:rsidRPr="00E238AA" w:rsidRDefault="008B27DA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56C" w14:textId="7777777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E238A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C7DD" w14:textId="35F5B03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4C7" w14:textId="2BB69D26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8AC" w14:textId="79162C60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B49" w14:textId="4B56E00B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91B" w14:textId="7F291A33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362" w14:textId="1427DBC2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C07" w14:textId="557B596F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3F8" w14:textId="6ED83AB9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7B64" w14:textId="73B35B5F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868D" w14:textId="27216FC7" w:rsidR="008B27DA" w:rsidRPr="00E238AA" w:rsidRDefault="008B27DA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E207E4" w:rsidRPr="00E238AA" w14:paraId="347992B8" w14:textId="77777777" w:rsidTr="00E238AA">
        <w:trPr>
          <w:trHeight w:val="24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26BE1" w14:textId="77777777" w:rsidR="00E207E4" w:rsidRPr="00E238AA" w:rsidRDefault="00E207E4" w:rsidP="00E238A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742C" w14:textId="77777777" w:rsidR="00E207E4" w:rsidRPr="00E238AA" w:rsidRDefault="00E207E4" w:rsidP="00E238A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A93A" w14:textId="6D9E9D3C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0FFB" w14:textId="7902F550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D80A" w14:textId="0189FB46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D8E5" w14:textId="25794DA0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173D4" w14:textId="39A3B883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54D0E" w14:textId="58EA4035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DF0A" w14:textId="2DAE25D8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E4B04" w14:textId="0CEE9B3A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9DC3" w14:textId="77777777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1C5B" w14:textId="38C5A5AF" w:rsidR="00E207E4" w:rsidRDefault="00E207E4" w:rsidP="00E238AA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</w:tbl>
    <w:p w14:paraId="20FE24D8" w14:textId="77777777" w:rsidR="00E238AA" w:rsidRDefault="00E238AA"/>
    <w:p w14:paraId="50D836BA" w14:textId="77777777" w:rsidR="00E238AA" w:rsidRDefault="00E238AA">
      <w:r>
        <w:br w:type="page"/>
      </w:r>
    </w:p>
    <w:p w14:paraId="4BFA4B32" w14:textId="77777777" w:rsidR="0046197E" w:rsidRDefault="0046197E">
      <w:pPr>
        <w:sectPr w:rsidR="0046197E" w:rsidSect="00E238AA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4AC3CF3" w14:textId="56031D47" w:rsidR="00803A27" w:rsidRPr="00E207E4" w:rsidRDefault="00E207E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Table S2: </w:t>
      </w:r>
      <w:r w:rsidR="00803A27" w:rsidRPr="00E207E4">
        <w:rPr>
          <w:rFonts w:ascii="Calibri" w:hAnsi="Calibri"/>
        </w:rPr>
        <w:t xml:space="preserve">Association between sexual </w:t>
      </w:r>
      <w:proofErr w:type="spellStart"/>
      <w:r w:rsidR="00803A27" w:rsidRPr="00E207E4">
        <w:rPr>
          <w:rFonts w:ascii="Calibri" w:hAnsi="Calibri"/>
        </w:rPr>
        <w:t>behaviour</w:t>
      </w:r>
      <w:proofErr w:type="spellEnd"/>
      <w:r w:rsidR="00803A27" w:rsidRPr="00E207E4">
        <w:rPr>
          <w:rFonts w:ascii="Calibri" w:hAnsi="Calibri"/>
        </w:rPr>
        <w:t xml:space="preserve"> survey completion and demographic characteristics</w:t>
      </w:r>
      <w:r>
        <w:rPr>
          <w:rFonts w:ascii="Calibri" w:hAnsi="Calibri"/>
        </w:rPr>
        <w:t>, all survey rounds</w:t>
      </w:r>
    </w:p>
    <w:tbl>
      <w:tblPr>
        <w:tblW w:w="10912" w:type="dxa"/>
        <w:tblInd w:w="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0"/>
        <w:gridCol w:w="710"/>
        <w:gridCol w:w="700"/>
        <w:gridCol w:w="700"/>
        <w:gridCol w:w="1360"/>
        <w:gridCol w:w="1360"/>
        <w:gridCol w:w="122"/>
        <w:gridCol w:w="700"/>
        <w:gridCol w:w="700"/>
        <w:gridCol w:w="700"/>
        <w:gridCol w:w="1360"/>
        <w:gridCol w:w="1360"/>
      </w:tblGrid>
      <w:tr w:rsidR="00803A27" w:rsidRPr="00803A27" w14:paraId="3C21DD48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4F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C1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Women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1BD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B7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364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038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AF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DC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FD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2C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17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DA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03A27" w:rsidRPr="00803A27" w14:paraId="5177BDC0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F8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7FE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Eligible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45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Partic</w:t>
            </w:r>
            <w:proofErr w:type="spellEnd"/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B7A" w14:textId="2B082C58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Perc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FE6D" w14:textId="0AB06AAA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3E6" w14:textId="5E38E202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 xml:space="preserve"> O</w:t>
            </w:r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R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26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6B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Eligible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7DE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Partic</w:t>
            </w:r>
            <w:proofErr w:type="spellEnd"/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D5B" w14:textId="77030630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Perc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EA4" w14:textId="7A362AAA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O</w:t>
            </w:r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5DFD" w14:textId="0B0FAC4E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 xml:space="preserve"> OR*</w:t>
            </w:r>
          </w:p>
        </w:tc>
      </w:tr>
      <w:tr w:rsidR="00803A27" w:rsidRPr="00803A27" w14:paraId="2119D3CE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5EE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3F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107948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9D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38519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AF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35.7%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06E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EEE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D0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5E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88359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32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22605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41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25.6%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19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0.62 (0.61, 0.63)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A2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0.72 (0.71, 0.73)</w:t>
            </w:r>
          </w:p>
        </w:tc>
      </w:tr>
      <w:tr w:rsidR="00803A27" w:rsidRPr="00803A27" w14:paraId="6758C54B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A8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1A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B17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9D3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729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CD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278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CE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6FC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237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F29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EFF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03A27" w:rsidRPr="00803A27" w14:paraId="05E2B0CD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8C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Rural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28D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58305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1C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23619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13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40.5%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FDF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18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4E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42E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44778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11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12386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F11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27.7%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49C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276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803A27" w:rsidRPr="00803A27" w14:paraId="42C73F68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A5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Peri</w:t>
            </w:r>
            <w:proofErr w:type="spellEnd"/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-urban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21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90A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10664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64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34.4%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ABE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0.77 (0.75, 0.79)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B70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0.80 (0.78, 0.83)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90A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6A6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26606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94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77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26.4%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BE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0.94 (0.91, 0.97)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AC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1.04 (1.01, 1.08)</w:t>
            </w:r>
          </w:p>
        </w:tc>
      </w:tr>
      <w:tr w:rsidR="00803A27" w:rsidRPr="00803A27" w14:paraId="3AF3B8A8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4D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Urban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73B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B2F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2B2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18.2%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36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0.33 (0.31, 0.35)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FD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0.40 (0.38, 0.43)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DC18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169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6882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7E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76A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13.0%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D8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0.39 (0.36, 0.42)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7F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0.54 (0.50, 0.58)</w:t>
            </w:r>
          </w:p>
        </w:tc>
      </w:tr>
      <w:tr w:rsidR="00803A27" w:rsidRPr="00803A27" w14:paraId="1C846B3A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20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Non-res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D4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9623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8C6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2591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67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26.9%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14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0.54 (0.52, 0.57)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E8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0.58 (0.56, 0.61)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FAE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1D9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10093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423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1BE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22.7%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F6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0.77 (0.73, 0.81)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79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0.95 (0.90, 1.00)</w:t>
            </w:r>
          </w:p>
        </w:tc>
      </w:tr>
      <w:tr w:rsidR="00803A27" w:rsidRPr="00803A27" w14:paraId="1C47F13F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01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97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AD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40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50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7E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9D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98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4A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C0E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354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D54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03A27" w:rsidRPr="00803A27" w14:paraId="48FC6A15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C48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17-19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ED59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18322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5BE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E5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45.2%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E517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1.67 (1.60, 1.75)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5C3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1.47 (1.41, 1.54)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1B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33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18392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E45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782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39.9%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9577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2.40 (2.28, 2.52)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E5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2.19 (2.08, 2.31)</w:t>
            </w:r>
          </w:p>
        </w:tc>
      </w:tr>
      <w:tr w:rsidR="00803A27" w:rsidRPr="00803A27" w14:paraId="5308FA2A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8D9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20-24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555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24457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E6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9223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43C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37.7%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37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1.23 (1.18, 1.28)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47F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1.17 (1.12, 1.22)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C5F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41CB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21751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C4B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F10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28.1%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3D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1.41 (1.34, 1.49)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877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1.36 (1.29, 1.43)</w:t>
            </w:r>
          </w:p>
        </w:tc>
      </w:tr>
      <w:tr w:rsidR="00803A27" w:rsidRPr="00803A27" w14:paraId="5D4BF14B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DB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25-29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FBE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17263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02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5696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6DB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33.0%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FF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7D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A66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A1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13231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E6B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2872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C7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21.7%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95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E04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803A27" w:rsidRPr="00803A27" w14:paraId="3CA8D210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5B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30-34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ED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13711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9B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4456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847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32.5%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A0C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0.98 (0.93, 1.03)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55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0.96 (0.91, 1.01)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1C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4986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9704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5D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15E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20.2%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FF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0.91 (0.86, 0.97)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99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0.91 (0.86, 0.98)</w:t>
            </w:r>
          </w:p>
        </w:tc>
      </w:tr>
      <w:tr w:rsidR="00803A27" w:rsidRPr="00803A27" w14:paraId="48062233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01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35-39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23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12092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E9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3937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554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32.6%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3AC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0.98 (0.93, 1.03)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29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0.93 (0.88, 0.98)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B6D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187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7891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11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641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18.3%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2BD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0.81 (0.75, 0.87)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7ED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0.80 (0.75, 0.86)</w:t>
            </w:r>
          </w:p>
        </w:tc>
      </w:tr>
      <w:tr w:rsidR="00803A27" w:rsidRPr="00803A27" w14:paraId="5CD7F02F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06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40-44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D8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11207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FC4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3571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00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31.9%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783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0.95 (0.90, 1.00)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01D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0.83 (0.79, 0.88)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94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CA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6639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3E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E05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5A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0.72 (0.66, 0.77)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ED1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0.69 (0.63, 0.74)</w:t>
            </w:r>
          </w:p>
        </w:tc>
      </w:tr>
      <w:tr w:rsidR="00803A27" w:rsidRPr="00803A27" w14:paraId="1C92D0BC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0E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45-49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65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6DB6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00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30.8%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2BB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0.90 (0.86, 0.95)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E8A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0.77 (0.72, 0.81)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CD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BBD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42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F47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8E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0.72 (0.66, 0.78)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43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0.69 (0.63, 0.75)</w:t>
            </w:r>
          </w:p>
        </w:tc>
      </w:tr>
      <w:tr w:rsidR="00803A27" w:rsidRPr="00803A27" w14:paraId="6083A46B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7518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Age 50-54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E76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B9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8D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49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58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877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B86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2F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788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710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84A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0.69 (0.63, 0.75)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476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0.65 (0.60, 0.72)</w:t>
            </w:r>
          </w:p>
        </w:tc>
      </w:tr>
      <w:tr w:rsidR="00803A27" w:rsidRPr="00803A27" w14:paraId="023CE7B2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80D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45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703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0887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061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CBDE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4E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4F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2B97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2FB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D5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F7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803A27" w:rsidRPr="00803A27" w14:paraId="6D147814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3D80" w14:textId="63390E2E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No education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4D4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6948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F1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2441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269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35.1%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C41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0.81 (0.77, 0.85)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2E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0.95 (0.90, 1.01)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02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6C6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5692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6A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EA6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19.3%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E2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0.53 (0.49, 0.57)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E6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0.87 (0.80, 0.94)</w:t>
            </w:r>
          </w:p>
        </w:tc>
      </w:tr>
      <w:tr w:rsidR="00803A27" w:rsidRPr="00803A27" w14:paraId="577BF586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AB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Some primary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E5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A08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4579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185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38.1%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B2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0.92 (0.88, 0.96)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B85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1.06 (1.01, 1.11)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B9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8D7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A4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71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25.0%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E88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0.74 (0.70, 0.78)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8B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0.92 (0.87, 0.97)</w:t>
            </w:r>
          </w:p>
        </w:tc>
      </w:tr>
      <w:tr w:rsidR="00803A27" w:rsidRPr="00803A27" w14:paraId="13338005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37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Primary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C2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12668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98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5245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6BF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41.4%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3D5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1.06 (1.01, 1.10)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392E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1.09 (1.04, 1.14)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47E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8B1D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11376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C3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3273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605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28.8%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0C16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0.89 (0.85, 0.94)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94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0.93 (0.89, 0.98)</w:t>
            </w:r>
          </w:p>
        </w:tc>
      </w:tr>
      <w:tr w:rsidR="00803A27" w:rsidRPr="00803A27" w14:paraId="110192BF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74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Compulsory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F1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36722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DF7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14714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EC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40.1%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B29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FF6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C8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E9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30466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C972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7C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31.2%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610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4108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</w:t>
            </w:r>
          </w:p>
        </w:tc>
      </w:tr>
      <w:tr w:rsidR="00803A27" w:rsidRPr="00803A27" w14:paraId="0DED3A04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DC4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Matric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DA69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28039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9614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8738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765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31.2%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228D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0.68 (0.66, 0.70)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C7A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0.78 (0.75, 0.81)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ABAF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19A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21026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48D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E42F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21.6%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4C2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0.61 (0.58, 0.63)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D78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0.75 (0.72, 0.78)</w:t>
            </w:r>
          </w:p>
        </w:tc>
      </w:tr>
      <w:tr w:rsidR="00803A27" w:rsidRPr="00803A27" w14:paraId="2704F809" w14:textId="77777777" w:rsidTr="00803A27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61A0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Higher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D7A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11554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AFCE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2802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D8C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24.3%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A4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0.48 (0.46, 0.50)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7F9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0.69 (0.66, 0.73)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30C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A29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9829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98D3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1698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001" w14:textId="77777777" w:rsidR="00803A27" w:rsidRPr="00803A27" w:rsidRDefault="00803A27" w:rsidP="00803A2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17.3%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8AE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0.46 (0.44, 0.49)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C52B" w14:textId="77777777" w:rsidR="00803A27" w:rsidRPr="00803A27" w:rsidRDefault="00803A27" w:rsidP="00803A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803A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0.75 (0.71, 0.80)</w:t>
            </w:r>
          </w:p>
        </w:tc>
      </w:tr>
    </w:tbl>
    <w:p w14:paraId="46AA3798" w14:textId="65BD560A" w:rsidR="00782D17" w:rsidRPr="003B3AEE" w:rsidRDefault="00803A27" w:rsidP="003B3AEE">
      <w:pPr>
        <w:rPr>
          <w:rFonts w:ascii="Calibri" w:hAnsi="Calibri"/>
          <w:sz w:val="20"/>
        </w:rPr>
        <w:sectPr w:rsidR="00782D17" w:rsidRPr="003B3AEE" w:rsidSect="0046197E"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4A5E09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>Odds-ratio linearly adjusted for residence location, age group, education level, and survey round</w:t>
      </w:r>
    </w:p>
    <w:p w14:paraId="19CEC355" w14:textId="613EB513" w:rsidR="00DE0DA0" w:rsidRPr="00DE0DA0" w:rsidRDefault="00DE0DA0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Figure S2: </w:t>
      </w:r>
      <w:r>
        <w:rPr>
          <w:rFonts w:ascii="Calibri" w:hAnsi="Calibri"/>
        </w:rPr>
        <w:t xml:space="preserve">Survey participation by age group over time. </w:t>
      </w:r>
      <w:r w:rsidRPr="00DE0DA0">
        <w:rPr>
          <w:rFonts w:ascii="Calibri" w:hAnsi="Calibri"/>
        </w:rPr>
        <w:t xml:space="preserve">Solid lines show the proportion of eligible participants who participate in any portion of the surveillance (HIV, general health, or sexual </w:t>
      </w:r>
      <w:proofErr w:type="spellStart"/>
      <w:r w:rsidRPr="00DE0DA0">
        <w:rPr>
          <w:rFonts w:ascii="Calibri" w:hAnsi="Calibri"/>
        </w:rPr>
        <w:t>behaviour</w:t>
      </w:r>
      <w:proofErr w:type="spellEnd"/>
      <w:r w:rsidRPr="00DE0DA0">
        <w:rPr>
          <w:rFonts w:ascii="Calibri" w:hAnsi="Calibri"/>
        </w:rPr>
        <w:t xml:space="preserve">), and dashed lines indicate the proportion of all eligible respondents who have complete data in the sexual </w:t>
      </w:r>
      <w:proofErr w:type="spellStart"/>
      <w:r w:rsidRPr="00DE0DA0">
        <w:rPr>
          <w:rFonts w:ascii="Calibri" w:hAnsi="Calibri"/>
        </w:rPr>
        <w:t>behaviour</w:t>
      </w:r>
      <w:proofErr w:type="spellEnd"/>
      <w:r w:rsidRPr="00DE0DA0">
        <w:rPr>
          <w:rFonts w:ascii="Calibri" w:hAnsi="Calibri"/>
        </w:rPr>
        <w:t xml:space="preserve"> survey.</w:t>
      </w:r>
      <w:r>
        <w:rPr>
          <w:rFonts w:ascii="Calibri" w:hAnsi="Calibri"/>
        </w:rPr>
        <w:t xml:space="preserve"> For men, partici</w:t>
      </w:r>
      <w:r w:rsidRPr="00DE0DA0">
        <w:rPr>
          <w:rFonts w:ascii="Calibri" w:hAnsi="Calibri"/>
        </w:rPr>
        <w:t xml:space="preserve">pation was about 10% to 15% higher amongst 17–24 year-olds than 25–34 or 35–54 year-olds. There was no difference in survey participation amongst the older two age groups, but 35–54 year-olds were less likely to have complete sexual </w:t>
      </w:r>
      <w:proofErr w:type="spellStart"/>
      <w:r w:rsidRPr="00DE0DA0">
        <w:rPr>
          <w:rFonts w:ascii="Calibri" w:hAnsi="Calibri"/>
        </w:rPr>
        <w:t>behaviour</w:t>
      </w:r>
      <w:proofErr w:type="spellEnd"/>
      <w:r w:rsidRPr="00DE0DA0">
        <w:rPr>
          <w:rFonts w:ascii="Calibri" w:hAnsi="Calibri"/>
        </w:rPr>
        <w:t xml:space="preserve"> data than were men 25–34 years. The differential in participation between age groups was smaller for women than for men, al- though the gradient in the proportion with complete sexual </w:t>
      </w:r>
      <w:proofErr w:type="spellStart"/>
      <w:r w:rsidRPr="00DE0DA0">
        <w:rPr>
          <w:rFonts w:ascii="Calibri" w:hAnsi="Calibri"/>
        </w:rPr>
        <w:t>behaviour</w:t>
      </w:r>
      <w:proofErr w:type="spellEnd"/>
      <w:r w:rsidRPr="00DE0DA0">
        <w:rPr>
          <w:rFonts w:ascii="Calibri" w:hAnsi="Calibri"/>
        </w:rPr>
        <w:t xml:space="preserve"> data was similar.</w:t>
      </w:r>
    </w:p>
    <w:p w14:paraId="243460D6" w14:textId="77777777" w:rsidR="00DE0DA0" w:rsidRDefault="00DE0DA0">
      <w:pPr>
        <w:rPr>
          <w:rFonts w:ascii="Calibri" w:hAnsi="Calibri"/>
          <w:b/>
        </w:rPr>
      </w:pPr>
    </w:p>
    <w:p w14:paraId="4182B690" w14:textId="0645EB97" w:rsidR="00DE0DA0" w:rsidRDefault="00DE0DA0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 wp14:anchorId="49FC8FF0" wp14:editId="5E349826">
            <wp:extent cx="5727700" cy="245328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45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4D7F" w14:textId="77777777" w:rsidR="00DE0DA0" w:rsidRDefault="00DE0DA0">
      <w:pPr>
        <w:rPr>
          <w:rFonts w:ascii="Calibri" w:hAnsi="Calibri"/>
          <w:b/>
        </w:rPr>
      </w:pPr>
    </w:p>
    <w:p w14:paraId="67408901" w14:textId="77777777" w:rsidR="00DE0DA0" w:rsidRDefault="00DE0DA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1911D295" w14:textId="22BDD27B" w:rsidR="009D2319" w:rsidRPr="006E621A" w:rsidRDefault="00E207E4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Table S3: </w:t>
      </w:r>
      <w:r>
        <w:rPr>
          <w:rFonts w:ascii="Calibri" w:hAnsi="Calibri"/>
        </w:rPr>
        <w:t>Predic</w:t>
      </w:r>
      <w:r w:rsidR="00BF4387">
        <w:rPr>
          <w:rFonts w:ascii="Calibri" w:hAnsi="Calibri"/>
        </w:rPr>
        <w:t>tors of sexual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behaviour</w:t>
      </w:r>
      <w:proofErr w:type="spellEnd"/>
      <w:r>
        <w:rPr>
          <w:rFonts w:ascii="Calibri" w:hAnsi="Calibri"/>
        </w:rPr>
        <w:t xml:space="preserve"> survey participation, adjusting for demographic characteristics</w:t>
      </w:r>
      <w:r w:rsidR="00BF4387">
        <w:rPr>
          <w:rFonts w:ascii="Calibri" w:hAnsi="Calibri"/>
        </w:rPr>
        <w:t xml:space="preserve"> and previous sexual </w:t>
      </w:r>
      <w:proofErr w:type="spellStart"/>
      <w:r w:rsidR="00BF4387">
        <w:rPr>
          <w:rFonts w:ascii="Calibri" w:hAnsi="Calibri"/>
        </w:rPr>
        <w:t>behaviour</w:t>
      </w:r>
      <w:proofErr w:type="spellEnd"/>
      <w:r w:rsidR="00BF4387">
        <w:rPr>
          <w:rFonts w:ascii="Calibri" w:hAnsi="Calibri"/>
        </w:rPr>
        <w:t xml:space="preserve"> reports</w:t>
      </w: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4707"/>
        <w:gridCol w:w="833"/>
        <w:gridCol w:w="865"/>
        <w:gridCol w:w="1175"/>
      </w:tblGrid>
      <w:tr w:rsidR="00782D17" w:rsidRPr="00782D17" w14:paraId="7DBC97DE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DBA82" w14:textId="77777777" w:rsidR="00782D17" w:rsidRPr="00782D17" w:rsidRDefault="00782D17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CFC3" w14:textId="77777777" w:rsidR="00782D17" w:rsidRPr="00782D17" w:rsidRDefault="00782D17" w:rsidP="00782D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5112" w14:textId="2C61E533" w:rsidR="00782D17" w:rsidRPr="00782D17" w:rsidRDefault="00782D17" w:rsidP="00782D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Adj</w:t>
            </w:r>
            <w:proofErr w:type="spellEnd"/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DE23B" w14:textId="77777777" w:rsidR="00782D17" w:rsidRPr="00782D17" w:rsidRDefault="00782D17" w:rsidP="00782D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</w:tr>
      <w:tr w:rsidR="00803A27" w:rsidRPr="00782D17" w14:paraId="6C4FBD89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2BB" w14:textId="23564456" w:rsidR="00803A27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First time eligible for participation in current round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ABE8" w14:textId="553FA46D" w:rsidR="00803A27" w:rsidRPr="00782D1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196307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34E" w14:textId="0F7B7FD9" w:rsidR="00803A27" w:rsidRPr="00782D1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0E0" w14:textId="46AC7614" w:rsidR="00803A27" w:rsidRPr="00782D1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(0.91, 0.97)</w:t>
            </w:r>
          </w:p>
        </w:tc>
      </w:tr>
      <w:tr w:rsidR="00803A27" w:rsidRPr="00782D17" w14:paraId="50164B3A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C5B" w14:textId="721485EC" w:rsidR="00803A27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Was eligible for participation in previous round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D694" w14:textId="2D5C5E28" w:rsidR="00803A27" w:rsidRPr="00782D1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196307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DC76" w14:textId="2C34A81A" w:rsidR="00803A27" w:rsidRPr="00782D1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5589" w14:textId="57352C3A" w:rsidR="00803A27" w:rsidRPr="00782D1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(1.03, 1.09)</w:t>
            </w:r>
          </w:p>
        </w:tc>
      </w:tr>
      <w:tr w:rsidR="00E207E4" w:rsidRPr="00782D17" w14:paraId="4C52DA38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9C6" w14:textId="1E733A85" w:rsidR="00E207E4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Completed sexual </w:t>
            </w:r>
            <w:proofErr w:type="spellStart"/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behaviour</w:t>
            </w:r>
            <w:proofErr w:type="spellEnd"/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survey in previous round, conditional on being eligible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92C" w14:textId="4CE64A74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131273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EDA" w14:textId="0FB4FD17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EF0" w14:textId="0AFEC37B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(1.88, 1.98)</w:t>
            </w:r>
          </w:p>
        </w:tc>
      </w:tr>
      <w:tr w:rsidR="00E207E4" w:rsidRPr="00782D17" w14:paraId="6AB9FB9E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0B1" w14:textId="0B5F65B0" w:rsidR="00E207E4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Participated in HIV testing in previous round, conditional on being eligible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383E" w14:textId="587D6A05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131273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001" w14:textId="1F35A349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1A04" w14:textId="30C4C864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(1.93, 2.04)</w:t>
            </w:r>
          </w:p>
        </w:tc>
      </w:tr>
      <w:tr w:rsidR="00E207E4" w:rsidRPr="00782D17" w14:paraId="2E9C0108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3A8" w14:textId="56FC3809" w:rsidR="00E207E4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Tested positive for HIV in previous round, conditional on participating in 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previous </w:t>
            </w:r>
            <w:r w:rsidRPr="00782D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HIV testing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round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6DC" w14:textId="3F7E1EC4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36332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62A" w14:textId="15D2FD00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6FF" w14:textId="7B4CCB29" w:rsidR="00E207E4" w:rsidRPr="00782D17" w:rsidRDefault="00E207E4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(0.82, 0.91)</w:t>
            </w:r>
          </w:p>
        </w:tc>
      </w:tr>
      <w:tr w:rsidR="00803A27" w:rsidRPr="00782D17" w14:paraId="761E6DE8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9B86" w14:textId="56398B2D" w:rsidR="00803A27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Multiple sexual partnerships at previous round, conditional on participating in 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previous </w:t>
            </w: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sexual behaviour survey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round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D2E3C" w14:textId="6BE69943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835E" w14:textId="0892997A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3A99A" w14:textId="7B1693CA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(0.86, 1.03)</w:t>
            </w:r>
          </w:p>
        </w:tc>
      </w:tr>
      <w:tr w:rsidR="00803A27" w:rsidRPr="00782D17" w14:paraId="2E711683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BEE9" w14:textId="3F752841" w:rsidR="00803A27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Concurrent sexual partnerships at previous round, conditional on participating in 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previous </w:t>
            </w: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sexual behaviour survey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round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DCCE2" w14:textId="7B55B792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C495" w14:textId="227051E7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50BC" w14:textId="4A02DA1E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(0.83, 1.08)</w:t>
            </w:r>
          </w:p>
        </w:tc>
      </w:tr>
      <w:tr w:rsidR="00803A27" w:rsidRPr="00782D17" w14:paraId="6BB0FDCF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0BFC" w14:textId="755001AC" w:rsidR="00803A27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Had casual partner at previous round, conditional on participating in 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previous </w:t>
            </w:r>
            <w:r w:rsidRPr="00803A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sexual behaviour survey</w:t>
            </w:r>
            <w:r w:rsidR="00025E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round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6BAE" w14:textId="06E0587B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E7B2" w14:textId="67AF20E7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90AC" w14:textId="448E1CED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(0.89, 1.05)</w:t>
            </w:r>
          </w:p>
        </w:tc>
      </w:tr>
      <w:tr w:rsidR="00803A27" w:rsidRPr="00782D17" w14:paraId="741A675D" w14:textId="77777777" w:rsidTr="006E621A">
        <w:trPr>
          <w:trHeight w:val="30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BF1E0" w14:textId="195D2424" w:rsidR="00803A27" w:rsidRPr="00782D17" w:rsidRDefault="00E207E4" w:rsidP="00782D1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Condom at last sex with regular partner at previous round, conditional on participating </w:t>
            </w:r>
            <w:r w:rsidR="00025E8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in previous round </w:t>
            </w:r>
            <w:r w:rsidRPr="00803A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and having a regular partner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EA6E" w14:textId="506A42BA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3F72" w14:textId="178EA6D3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EEF2E" w14:textId="56A2AA8B" w:rsidR="00803A27" w:rsidRDefault="00803A27" w:rsidP="00782D17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(0.92, 1.02)</w:t>
            </w:r>
          </w:p>
        </w:tc>
      </w:tr>
    </w:tbl>
    <w:p w14:paraId="79ED013E" w14:textId="2C6A7661" w:rsidR="009D2319" w:rsidRPr="00427A85" w:rsidRDefault="00782D17" w:rsidP="00782D17">
      <w:pPr>
        <w:rPr>
          <w:rFonts w:ascii="Calibri" w:hAnsi="Calibri"/>
          <w:sz w:val="20"/>
          <w:szCs w:val="20"/>
        </w:rPr>
      </w:pPr>
      <w:r w:rsidRPr="00427A85">
        <w:rPr>
          <w:rFonts w:ascii="Calibri" w:hAnsi="Calibri"/>
          <w:sz w:val="20"/>
          <w:szCs w:val="20"/>
        </w:rPr>
        <w:t>*Adju</w:t>
      </w:r>
      <w:r w:rsidR="00427A85" w:rsidRPr="00427A85">
        <w:rPr>
          <w:rFonts w:ascii="Calibri" w:hAnsi="Calibri"/>
          <w:sz w:val="20"/>
          <w:szCs w:val="20"/>
        </w:rPr>
        <w:t>sted odds ratio, adjusting for sex * a</w:t>
      </w:r>
      <w:r w:rsidRPr="00427A85">
        <w:rPr>
          <w:rFonts w:ascii="Calibri" w:hAnsi="Calibri"/>
          <w:sz w:val="20"/>
          <w:szCs w:val="20"/>
        </w:rPr>
        <w:t>ge</w:t>
      </w:r>
      <w:r w:rsidR="00427A85" w:rsidRPr="00427A85">
        <w:rPr>
          <w:rFonts w:ascii="Calibri" w:hAnsi="Calibri"/>
          <w:sz w:val="20"/>
          <w:szCs w:val="20"/>
        </w:rPr>
        <w:t xml:space="preserve"> g</w:t>
      </w:r>
      <w:r w:rsidRPr="00427A85">
        <w:rPr>
          <w:rFonts w:ascii="Calibri" w:hAnsi="Calibri"/>
          <w:sz w:val="20"/>
          <w:szCs w:val="20"/>
        </w:rPr>
        <w:t xml:space="preserve">roup, </w:t>
      </w:r>
      <w:r w:rsidR="00427A85" w:rsidRPr="00427A85">
        <w:rPr>
          <w:rFonts w:ascii="Calibri" w:hAnsi="Calibri"/>
          <w:sz w:val="20"/>
          <w:szCs w:val="20"/>
        </w:rPr>
        <w:t xml:space="preserve">resident </w:t>
      </w:r>
      <w:r w:rsidR="00803A27">
        <w:rPr>
          <w:rFonts w:ascii="Calibri" w:hAnsi="Calibri"/>
          <w:sz w:val="20"/>
          <w:szCs w:val="20"/>
        </w:rPr>
        <w:t>location, education level</w:t>
      </w:r>
      <w:r w:rsidR="00427A85" w:rsidRPr="00427A85">
        <w:rPr>
          <w:rFonts w:ascii="Calibri" w:hAnsi="Calibri"/>
          <w:sz w:val="20"/>
          <w:szCs w:val="20"/>
        </w:rPr>
        <w:t>, and survey round</w:t>
      </w:r>
    </w:p>
    <w:sectPr w:rsidR="009D2319" w:rsidRPr="00427A85" w:rsidSect="00782D17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2D4"/>
    <w:multiLevelType w:val="hybridMultilevel"/>
    <w:tmpl w:val="0E38F5E0"/>
    <w:lvl w:ilvl="0" w:tplc="132A8B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6E17"/>
    <w:multiLevelType w:val="hybridMultilevel"/>
    <w:tmpl w:val="68BA471E"/>
    <w:lvl w:ilvl="0" w:tplc="6FEC18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2"/>
    <w:rsid w:val="00025E87"/>
    <w:rsid w:val="00057EB6"/>
    <w:rsid w:val="0010130D"/>
    <w:rsid w:val="00104D01"/>
    <w:rsid w:val="001472A5"/>
    <w:rsid w:val="00187D71"/>
    <w:rsid w:val="001B46F1"/>
    <w:rsid w:val="00250000"/>
    <w:rsid w:val="002D46F0"/>
    <w:rsid w:val="003B3AEE"/>
    <w:rsid w:val="00427A85"/>
    <w:rsid w:val="0046197E"/>
    <w:rsid w:val="004A5E09"/>
    <w:rsid w:val="006C3144"/>
    <w:rsid w:val="006E621A"/>
    <w:rsid w:val="00782D17"/>
    <w:rsid w:val="00803A27"/>
    <w:rsid w:val="008176B4"/>
    <w:rsid w:val="008B27DA"/>
    <w:rsid w:val="008E3AD7"/>
    <w:rsid w:val="0093319B"/>
    <w:rsid w:val="009811FC"/>
    <w:rsid w:val="009D2319"/>
    <w:rsid w:val="00AB00BC"/>
    <w:rsid w:val="00B93B5B"/>
    <w:rsid w:val="00BF4387"/>
    <w:rsid w:val="00CE7352"/>
    <w:rsid w:val="00DB1E8B"/>
    <w:rsid w:val="00DE0DA0"/>
    <w:rsid w:val="00DE6BA8"/>
    <w:rsid w:val="00E207E4"/>
    <w:rsid w:val="00E238AA"/>
    <w:rsid w:val="00F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E0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Eaton</dc:creator>
  <cp:lastModifiedBy>nuala</cp:lastModifiedBy>
  <cp:revision>2</cp:revision>
  <dcterms:created xsi:type="dcterms:W3CDTF">2013-06-10T13:06:00Z</dcterms:created>
  <dcterms:modified xsi:type="dcterms:W3CDTF">2013-06-10T13:06:00Z</dcterms:modified>
</cp:coreProperties>
</file>