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3C" w:rsidRDefault="005E76D3">
      <w:bookmarkStart w:id="0" w:name="_GoBack"/>
      <w:bookmarkEnd w:id="0"/>
      <w:r>
        <w:t>APPENDIX</w:t>
      </w:r>
    </w:p>
    <w:p w:rsidR="00DE6483" w:rsidRDefault="00DE6483">
      <w:r>
        <w:t xml:space="preserve">The following tables show the distributions and rates used in the AIM model. Full descriptions of the data behind these numbers can be found in </w:t>
      </w:r>
      <w:r>
        <w:rPr>
          <w:b/>
        </w:rPr>
        <w:t>Stover J,</w:t>
      </w:r>
      <w:r>
        <w:t xml:space="preserve"> Brown T, Marston M. Updates to the Spectrum/Estimation and Projection Package (EPP) model to estimate HIV trends for adults and children (2012) </w:t>
      </w:r>
      <w:r>
        <w:rPr>
          <w:i/>
        </w:rPr>
        <w:t xml:space="preserve">Sex Trans Infect </w:t>
      </w:r>
      <w:r>
        <w:t xml:space="preserve">2012;88:i11-ii16. doi:10.1136/sextrans-2012-050640 and the AIM manual (Futures Institute, AIM: </w:t>
      </w:r>
      <w:r w:rsidRPr="00DE6483">
        <w:t>A Computer Program for Making HIV/AIDS Projections and Examining the Demographic and Social Impacts of AIDS</w:t>
      </w:r>
      <w:r>
        <w:t>, Futures Institute: Glastonbury, CT, January 2014 available at www.FuturesInstitute.org)</w:t>
      </w:r>
    </w:p>
    <w:p w:rsidR="005E76D3" w:rsidRDefault="005E76D3">
      <w:r>
        <w:t>Distribution of new infections by CD4 count and age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E76D3" w:rsidTr="005E7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E76D3" w:rsidRDefault="005E76D3">
            <w:r>
              <w:t>Age at infection</w:t>
            </w:r>
          </w:p>
        </w:tc>
        <w:tc>
          <w:tcPr>
            <w:tcW w:w="3117" w:type="dxa"/>
          </w:tcPr>
          <w:p w:rsidR="005E76D3" w:rsidRDefault="005E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of new infections starting at &gt;500 cells/µl</w:t>
            </w:r>
          </w:p>
        </w:tc>
        <w:tc>
          <w:tcPr>
            <w:tcW w:w="3117" w:type="dxa"/>
          </w:tcPr>
          <w:p w:rsidR="005E76D3" w:rsidRDefault="005E76D3" w:rsidP="005E76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 of new infections starting at 350-500 cells/µl</w:t>
            </w:r>
          </w:p>
        </w:tc>
      </w:tr>
      <w:tr w:rsidR="005E76D3" w:rsidTr="005E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E76D3" w:rsidRDefault="005E76D3">
            <w:r>
              <w:t>15-24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64.3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35.7</w:t>
            </w:r>
          </w:p>
        </w:tc>
      </w:tr>
      <w:tr w:rsidR="005E76D3" w:rsidTr="005E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E76D3" w:rsidRDefault="005E76D3">
            <w:r>
              <w:t>25-34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60.7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39.3</w:t>
            </w:r>
          </w:p>
        </w:tc>
      </w:tr>
      <w:tr w:rsidR="005E76D3" w:rsidTr="005E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E76D3" w:rsidRDefault="005E76D3">
            <w:r>
              <w:t>35-44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58.5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41.5</w:t>
            </w:r>
          </w:p>
        </w:tc>
      </w:tr>
      <w:tr w:rsidR="005E76D3" w:rsidTr="005E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:rsidR="005E76D3" w:rsidRDefault="005E76D3">
            <w:r>
              <w:t>45+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55.2</w:t>
            </w:r>
          </w:p>
        </w:tc>
        <w:tc>
          <w:tcPr>
            <w:tcW w:w="3117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44.8</w:t>
            </w:r>
          </w:p>
        </w:tc>
      </w:tr>
    </w:tbl>
    <w:p w:rsidR="005E76D3" w:rsidRDefault="005E76D3"/>
    <w:p w:rsidR="005E76D3" w:rsidRDefault="005E76D3">
      <w:r>
        <w:t>Median time (years) spent in each CD4 category by age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E76D3" w:rsidTr="005E76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CD4 Category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15-24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25-34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35-44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45+</w:t>
            </w:r>
          </w:p>
        </w:tc>
      </w:tr>
      <w:tr w:rsidR="005E76D3" w:rsidTr="005E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&gt;500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5.4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</w:tr>
      <w:tr w:rsidR="005E76D3" w:rsidTr="005E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350-500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4.5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2.8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1.9</w:t>
            </w:r>
          </w:p>
        </w:tc>
      </w:tr>
      <w:tr w:rsidR="005E76D3" w:rsidTr="005E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250-349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3.4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</w:t>
            </w:r>
          </w:p>
        </w:tc>
      </w:tr>
      <w:tr w:rsidR="005E76D3" w:rsidTr="005E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200-249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</w:t>
            </w:r>
          </w:p>
        </w:tc>
      </w:tr>
      <w:tr w:rsidR="005E76D3" w:rsidTr="005E76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100-199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1.6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</w:t>
            </w:r>
          </w:p>
        </w:tc>
      </w:tr>
      <w:tr w:rsidR="005E76D3" w:rsidTr="005E76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5E76D3" w:rsidRDefault="005E76D3">
            <w:r>
              <w:t>50-99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2.9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</w:t>
            </w:r>
          </w:p>
        </w:tc>
        <w:tc>
          <w:tcPr>
            <w:tcW w:w="1870" w:type="dxa"/>
          </w:tcPr>
          <w:p w:rsidR="005E76D3" w:rsidRDefault="005E76D3" w:rsidP="005E76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</w:t>
            </w:r>
          </w:p>
        </w:tc>
      </w:tr>
    </w:tbl>
    <w:p w:rsidR="005E76D3" w:rsidRDefault="005E76D3"/>
    <w:p w:rsidR="005E76D3" w:rsidRDefault="00B306CD">
      <w:r>
        <w:t>Annual rates of m</w:t>
      </w:r>
      <w:r w:rsidR="005E76D3">
        <w:t>ortality without ART by CD4 count</w:t>
      </w:r>
      <w:r>
        <w:t xml:space="preserve"> and age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255"/>
        <w:gridCol w:w="1053"/>
        <w:gridCol w:w="1053"/>
        <w:gridCol w:w="1053"/>
        <w:gridCol w:w="1053"/>
      </w:tblGrid>
      <w:tr w:rsidR="00B306CD" w:rsidRPr="00B306CD" w:rsidTr="00B30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/>
        </w:tc>
        <w:tc>
          <w:tcPr>
            <w:tcW w:w="1053" w:type="dxa"/>
          </w:tcPr>
          <w:p w:rsidR="00B306CD" w:rsidRPr="00B306CD" w:rsidRDefault="00B306C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06CD">
              <w:t>15 - 24</w:t>
            </w:r>
          </w:p>
        </w:tc>
        <w:tc>
          <w:tcPr>
            <w:tcW w:w="1053" w:type="dxa"/>
          </w:tcPr>
          <w:p w:rsidR="00B306CD" w:rsidRPr="00B306CD" w:rsidRDefault="00B306C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06CD">
              <w:t>25 - 34</w:t>
            </w:r>
          </w:p>
        </w:tc>
        <w:tc>
          <w:tcPr>
            <w:tcW w:w="1053" w:type="dxa"/>
          </w:tcPr>
          <w:p w:rsidR="00B306CD" w:rsidRPr="00B306CD" w:rsidRDefault="00B306C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06CD">
              <w:t>35 - 44</w:t>
            </w:r>
          </w:p>
        </w:tc>
        <w:tc>
          <w:tcPr>
            <w:tcW w:w="1053" w:type="dxa"/>
          </w:tcPr>
          <w:p w:rsidR="00B306CD" w:rsidRPr="00B306CD" w:rsidRDefault="00B306C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306CD">
              <w:t>45 -54</w:t>
            </w:r>
          </w:p>
        </w:tc>
      </w:tr>
      <w:tr w:rsidR="00B306CD" w:rsidRPr="00B306CD" w:rsidTr="00B3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 w:rsidRPr="00B306CD">
              <w:t>&gt; 500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0.005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0.005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0.005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0.005</w:t>
            </w:r>
          </w:p>
        </w:tc>
      </w:tr>
      <w:tr w:rsidR="00B306CD" w:rsidRPr="00B306CD" w:rsidTr="00B3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 w:rsidRPr="00B306CD">
              <w:t>350 - 500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0.011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0.010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0.013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0.013</w:t>
            </w:r>
          </w:p>
        </w:tc>
      </w:tr>
      <w:tr w:rsidR="00B306CD" w:rsidRPr="00B306CD" w:rsidTr="00B3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 w:rsidRPr="00B306CD">
              <w:t>250 - 349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0.036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0.032</w:t>
            </w:r>
          </w:p>
        </w:tc>
      </w:tr>
      <w:tr w:rsidR="00B306CD" w:rsidRPr="00B306CD" w:rsidTr="00B3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 w:rsidRPr="00B306CD">
              <w:t>200 - 249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0.061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0.080</w:t>
            </w:r>
          </w:p>
        </w:tc>
      </w:tr>
      <w:tr w:rsidR="00B306CD" w:rsidRPr="00B306CD" w:rsidTr="00B3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 w:rsidRPr="00B306CD">
              <w:t>100 - 199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0.185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0.258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0.203</w:t>
            </w:r>
          </w:p>
        </w:tc>
      </w:tr>
      <w:tr w:rsidR="00B306CD" w:rsidTr="00B30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 w:rsidRPr="00B306CD">
              <w:t>50 - 99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0.321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0.499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0.691</w:t>
            </w:r>
          </w:p>
        </w:tc>
        <w:tc>
          <w:tcPr>
            <w:tcW w:w="1053" w:type="dxa"/>
          </w:tcPr>
          <w:p w:rsidR="00B306CD" w:rsidRPr="00B306CD" w:rsidRDefault="00B306CD" w:rsidP="00B306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0.513</w:t>
            </w:r>
          </w:p>
        </w:tc>
      </w:tr>
      <w:tr w:rsidR="00B306CD" w:rsidTr="00B306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:rsidR="00B306CD" w:rsidRPr="00B306CD" w:rsidRDefault="00B306CD" w:rsidP="00590FBB">
            <w:r>
              <w:t>&lt;50</w:t>
            </w:r>
          </w:p>
        </w:tc>
        <w:tc>
          <w:tcPr>
            <w:tcW w:w="1053" w:type="dxa"/>
          </w:tcPr>
          <w:p w:rsid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0.737</w:t>
            </w:r>
          </w:p>
        </w:tc>
        <w:tc>
          <w:tcPr>
            <w:tcW w:w="1053" w:type="dxa"/>
          </w:tcPr>
          <w:p w:rsid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1.342</w:t>
            </w:r>
          </w:p>
        </w:tc>
        <w:tc>
          <w:tcPr>
            <w:tcW w:w="1053" w:type="dxa"/>
          </w:tcPr>
          <w:p w:rsid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1.851</w:t>
            </w:r>
          </w:p>
        </w:tc>
        <w:tc>
          <w:tcPr>
            <w:tcW w:w="1053" w:type="dxa"/>
          </w:tcPr>
          <w:p w:rsidR="00B306CD" w:rsidRDefault="00B306CD" w:rsidP="00B306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1.295</w:t>
            </w:r>
          </w:p>
        </w:tc>
      </w:tr>
    </w:tbl>
    <w:p w:rsidR="005E76D3" w:rsidRDefault="005E76D3" w:rsidP="00B306CD">
      <w:r>
        <w:tab/>
      </w:r>
    </w:p>
    <w:p w:rsidR="00B306CD" w:rsidRDefault="00B306CD">
      <w:r>
        <w:br w:type="page"/>
      </w:r>
    </w:p>
    <w:p w:rsidR="005E76D3" w:rsidRDefault="00B306CD">
      <w:r>
        <w:lastRenderedPageBreak/>
        <w:t>Annual mortality rates with ART by CD4 count at treatment initiation</w:t>
      </w:r>
    </w:p>
    <w:tbl>
      <w:tblPr>
        <w:tblStyle w:val="ListTable1Light"/>
        <w:tblW w:w="0" w:type="auto"/>
        <w:tblLook w:val="04A0" w:firstRow="1" w:lastRow="0" w:firstColumn="1" w:lastColumn="0" w:noHBand="0" w:noVBand="1"/>
      </w:tblPr>
      <w:tblGrid>
        <w:gridCol w:w="1975"/>
        <w:gridCol w:w="990"/>
        <w:gridCol w:w="990"/>
        <w:gridCol w:w="900"/>
        <w:gridCol w:w="810"/>
        <w:gridCol w:w="1080"/>
        <w:gridCol w:w="900"/>
        <w:gridCol w:w="900"/>
        <w:gridCol w:w="805"/>
      </w:tblGrid>
      <w:tr w:rsidR="00CE039D" w:rsidRPr="00CE039D" w:rsidTr="00CE0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Asia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Male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Female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0-6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0.039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0.066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0.084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0.124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0.096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7-12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0.039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0.028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Greater than 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East Africa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Male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Female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0-6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0.046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0.139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0.122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0.123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0.088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0.075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0.079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0.254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0.185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0.161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0.175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0.185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0.116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0.125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0.464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0.339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0.297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0.327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0.339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0.247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0.215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0.236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7-12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lastRenderedPageBreak/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0.026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0.082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0.060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0.064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Greater than 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Eastern Europe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Male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Female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0-6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0.038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7-12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Greater than 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lastRenderedPageBreak/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Latin America and Caribbean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Male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Female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0-6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0.028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0.027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0.098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0.080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0.054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0.084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0.140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0.211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0.171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0.096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0.144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7-12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0.026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0.038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Greater than 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Southern Africa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Male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Female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0-6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0.059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0.093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0.098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0.104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0.087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0.072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0.075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0.078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0.181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0.152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0.162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0.176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0.141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0.119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0.126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0.135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0.397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0.337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0.360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0.401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0.264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0.282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0.312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lastRenderedPageBreak/>
              <w:t>7-12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0.032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0.058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0.042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0.075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0.056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0.075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0.080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0.111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0.061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0.084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Greater than 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0.007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0.033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West Africa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Male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Female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/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15 - 24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25 - 34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35 - 44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45 -54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0-6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0.019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0.062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0.063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0.049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0.059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0.227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0.195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0.200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0.255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0.215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0.185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0.189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0.241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7-12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0.023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0.036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0.015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0.065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0.054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0.029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0.036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Greater than 12 months on treatment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&gt; 500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350 - 499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250 - 349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200 - 249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0.002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0.000</w:t>
            </w:r>
          </w:p>
        </w:tc>
      </w:tr>
      <w:tr w:rsidR="00CE039D" w:rsidRP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100 - 199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0.010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0.007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0.006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0.003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0.001</w:t>
            </w:r>
          </w:p>
        </w:tc>
      </w:tr>
      <w:tr w:rsidR="00CE039D" w:rsidRPr="00CE039D" w:rsidTr="00CE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50 - 99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0.026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0.017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0.014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0.016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0.018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0.011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  <w:tc>
          <w:tcPr>
            <w:tcW w:w="805" w:type="dxa"/>
          </w:tcPr>
          <w:p w:rsidR="00CE039D" w:rsidRPr="00CE039D" w:rsidRDefault="00CE039D" w:rsidP="00590F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E039D">
              <w:t>0.008</w:t>
            </w:r>
          </w:p>
        </w:tc>
      </w:tr>
      <w:tr w:rsidR="00CE039D" w:rsidTr="00CE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:rsidR="00CE039D" w:rsidRPr="00CE039D" w:rsidRDefault="00CE039D" w:rsidP="00590FBB">
            <w:r w:rsidRPr="00CE039D">
              <w:t>&lt; 50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0.049</w:t>
            </w:r>
          </w:p>
        </w:tc>
        <w:tc>
          <w:tcPr>
            <w:tcW w:w="99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0.029</w:t>
            </w:r>
          </w:p>
        </w:tc>
        <w:tc>
          <w:tcPr>
            <w:tcW w:w="81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0.037</w:t>
            </w:r>
          </w:p>
        </w:tc>
        <w:tc>
          <w:tcPr>
            <w:tcW w:w="108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0.035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  <w:tc>
          <w:tcPr>
            <w:tcW w:w="900" w:type="dxa"/>
          </w:tcPr>
          <w:p w:rsidR="00CE039D" w:rsidRP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0.020</w:t>
            </w:r>
          </w:p>
        </w:tc>
        <w:tc>
          <w:tcPr>
            <w:tcW w:w="805" w:type="dxa"/>
          </w:tcPr>
          <w:p w:rsidR="00CE039D" w:rsidRDefault="00CE039D" w:rsidP="00590F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039D">
              <w:t>0.024</w:t>
            </w:r>
          </w:p>
        </w:tc>
      </w:tr>
    </w:tbl>
    <w:p w:rsidR="00B306CD" w:rsidRDefault="00B306CD" w:rsidP="00CE039D"/>
    <w:p w:rsidR="00590FBB" w:rsidRDefault="00590FBB" w:rsidP="00CE039D"/>
    <w:p w:rsidR="00590FBB" w:rsidRDefault="00774A39" w:rsidP="00CE039D">
      <w:r>
        <w:t>Epidemiological parameter values in the Goals model</w:t>
      </w:r>
    </w:p>
    <w:tbl>
      <w:tblPr>
        <w:tblStyle w:val="ListTable1Light"/>
        <w:tblW w:w="9468" w:type="dxa"/>
        <w:tblLook w:val="0420" w:firstRow="1" w:lastRow="0" w:firstColumn="0" w:lastColumn="0" w:noHBand="0" w:noVBand="1"/>
      </w:tblPr>
      <w:tblGrid>
        <w:gridCol w:w="3888"/>
        <w:gridCol w:w="864"/>
        <w:gridCol w:w="4716"/>
      </w:tblGrid>
      <w:tr w:rsidR="00774A39" w:rsidTr="00774A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88" w:type="dxa"/>
          </w:tcPr>
          <w:p w:rsidR="00774A39" w:rsidRPr="000E5290" w:rsidRDefault="00774A39" w:rsidP="00A118B8">
            <w:pPr>
              <w:tabs>
                <w:tab w:val="left" w:pos="188"/>
              </w:tabs>
              <w:rPr>
                <w:b w:val="0"/>
              </w:rPr>
            </w:pPr>
            <w:r w:rsidRPr="000E5290">
              <w:t>Parameter</w:t>
            </w:r>
          </w:p>
        </w:tc>
        <w:tc>
          <w:tcPr>
            <w:tcW w:w="864" w:type="dxa"/>
          </w:tcPr>
          <w:p w:rsidR="00774A39" w:rsidRPr="000E5290" w:rsidRDefault="00774A39" w:rsidP="00A118B8">
            <w:pPr>
              <w:rPr>
                <w:b w:val="0"/>
              </w:rPr>
            </w:pPr>
            <w:r w:rsidRPr="000E5290">
              <w:t xml:space="preserve">Value </w:t>
            </w:r>
          </w:p>
        </w:tc>
        <w:tc>
          <w:tcPr>
            <w:tcW w:w="4716" w:type="dxa"/>
          </w:tcPr>
          <w:p w:rsidR="00774A39" w:rsidRPr="000E5290" w:rsidRDefault="00774A39" w:rsidP="00A118B8">
            <w:pPr>
              <w:rPr>
                <w:b w:val="0"/>
              </w:rPr>
            </w:pPr>
            <w:r w:rsidRPr="000E5290">
              <w:t>Source</w:t>
            </w:r>
          </w:p>
        </w:tc>
      </w:tr>
      <w:tr w:rsidR="00774A39" w:rsidRPr="00DE6483" w:rsidTr="0077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8" w:type="dxa"/>
          </w:tcPr>
          <w:p w:rsidR="00774A39" w:rsidRDefault="00774A39" w:rsidP="00A118B8">
            <w:pPr>
              <w:tabs>
                <w:tab w:val="left" w:pos="188"/>
              </w:tabs>
            </w:pPr>
            <w:r>
              <w:t>Transmission of HIV per act (female to male)</w:t>
            </w:r>
          </w:p>
        </w:tc>
        <w:tc>
          <w:tcPr>
            <w:tcW w:w="864" w:type="dxa"/>
          </w:tcPr>
          <w:p w:rsidR="00774A39" w:rsidRDefault="00774A39" w:rsidP="00A118B8">
            <w:r>
              <w:t>0.0011</w:t>
            </w:r>
          </w:p>
        </w:tc>
        <w:tc>
          <w:tcPr>
            <w:tcW w:w="4716" w:type="dxa"/>
          </w:tcPr>
          <w:p w:rsidR="00774A39" w:rsidRPr="00DE6483" w:rsidRDefault="00774A39" w:rsidP="00A118B8">
            <w:pPr>
              <w:rPr>
                <w:i/>
              </w:rPr>
            </w:pPr>
            <w:r w:rsidRPr="00DE6483">
              <w:t xml:space="preserve">Baggeley </w:t>
            </w:r>
            <w:r w:rsidRPr="00DE6483">
              <w:rPr>
                <w:i/>
              </w:rPr>
              <w:t>et al</w:t>
            </w:r>
            <w:r>
              <w:rPr>
                <w:rStyle w:val="EndnoteReference"/>
                <w:i/>
              </w:rPr>
              <w:endnoteReference w:id="1"/>
            </w:r>
            <w:r w:rsidRPr="00DE6483">
              <w:rPr>
                <w:i/>
              </w:rPr>
              <w:t>.</w:t>
            </w:r>
            <w:r w:rsidRPr="00DE6483">
              <w:t xml:space="preserve">, Gray </w:t>
            </w:r>
            <w:r w:rsidRPr="00DE6483">
              <w:rPr>
                <w:i/>
              </w:rPr>
              <w:t>et al.</w:t>
            </w:r>
          </w:p>
        </w:tc>
      </w:tr>
      <w:tr w:rsidR="00774A39" w:rsidTr="00774A39">
        <w:tc>
          <w:tcPr>
            <w:tcW w:w="3888" w:type="dxa"/>
          </w:tcPr>
          <w:p w:rsidR="00774A39" w:rsidRDefault="00774A39" w:rsidP="00A118B8">
            <w:pPr>
              <w:tabs>
                <w:tab w:val="left" w:pos="188"/>
              </w:tabs>
            </w:pPr>
            <w:r>
              <w:t>Multiplier on transmission per act for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</w:pPr>
            <w:r>
              <w:t>Male to female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</w:pPr>
            <w:r>
              <w:t>Presence of STI</w:t>
            </w:r>
          </w:p>
          <w:p w:rsidR="00774A39" w:rsidRDefault="00774A39" w:rsidP="00A118B8">
            <w:pPr>
              <w:pStyle w:val="ListParagraph"/>
              <w:tabs>
                <w:tab w:val="left" w:pos="188"/>
              </w:tabs>
            </w:pPr>
          </w:p>
          <w:p w:rsidR="00774A39" w:rsidRPr="00AB2A83" w:rsidRDefault="00774A39" w:rsidP="00774A39">
            <w:pPr>
              <w:pStyle w:val="ListParagraph"/>
              <w:numPr>
                <w:ilvl w:val="0"/>
                <w:numId w:val="2"/>
              </w:numPr>
              <w:tabs>
                <w:tab w:val="left" w:pos="188"/>
              </w:tabs>
              <w:spacing w:after="0" w:line="240" w:lineRule="auto"/>
            </w:pPr>
            <w:r>
              <w:t>MSM contacts</w:t>
            </w:r>
          </w:p>
        </w:tc>
        <w:tc>
          <w:tcPr>
            <w:tcW w:w="864" w:type="dxa"/>
          </w:tcPr>
          <w:p w:rsidR="00774A39" w:rsidRDefault="00774A39" w:rsidP="00A118B8"/>
          <w:p w:rsidR="00774A39" w:rsidRDefault="00774A39" w:rsidP="00A118B8">
            <w:r>
              <w:t>1.0</w:t>
            </w:r>
          </w:p>
          <w:p w:rsidR="00774A39" w:rsidRDefault="00774A39" w:rsidP="00A118B8">
            <w:r>
              <w:t>8</w:t>
            </w:r>
          </w:p>
          <w:p w:rsidR="00774A39" w:rsidRDefault="00774A39" w:rsidP="00A118B8"/>
          <w:p w:rsidR="00774A39" w:rsidRDefault="00774A39" w:rsidP="00A118B8">
            <w:r>
              <w:t>2.6</w:t>
            </w:r>
          </w:p>
        </w:tc>
        <w:tc>
          <w:tcPr>
            <w:tcW w:w="4716" w:type="dxa"/>
          </w:tcPr>
          <w:p w:rsidR="00774A39" w:rsidRDefault="00774A39" w:rsidP="00A118B8"/>
          <w:p w:rsidR="00774A39" w:rsidRDefault="00774A39" w:rsidP="00A118B8"/>
          <w:p w:rsidR="00774A39" w:rsidRDefault="00774A39" w:rsidP="00A118B8">
            <w:r>
              <w:t>Galvin and Cohen</w:t>
            </w:r>
            <w:r>
              <w:rPr>
                <w:rStyle w:val="EndnoteReference"/>
              </w:rPr>
              <w:endnoteReference w:id="2"/>
            </w:r>
            <w:r>
              <w:t>, 2.2-11.3</w:t>
            </w:r>
          </w:p>
          <w:p w:rsidR="00774A39" w:rsidRDefault="00774A39" w:rsidP="00A118B8">
            <w:r>
              <w:t xml:space="preserve">Powers </w:t>
            </w:r>
            <w:r>
              <w:rPr>
                <w:i/>
              </w:rPr>
              <w:t>et a.l</w:t>
            </w:r>
            <w:r>
              <w:rPr>
                <w:rStyle w:val="EndnoteReference"/>
                <w:i/>
              </w:rPr>
              <w:endnoteReference w:id="3"/>
            </w:r>
            <w:r>
              <w:rPr>
                <w:i/>
              </w:rPr>
              <w:t xml:space="preserve">. </w:t>
            </w:r>
            <w:r>
              <w:t>5.1-8.2</w:t>
            </w:r>
          </w:p>
          <w:p w:rsidR="00774A39" w:rsidRPr="00AB2A83" w:rsidRDefault="00774A39" w:rsidP="00A118B8">
            <w:r>
              <w:t xml:space="preserve">Vittinghoff </w:t>
            </w:r>
            <w:r>
              <w:rPr>
                <w:i/>
              </w:rPr>
              <w:t>et al</w:t>
            </w:r>
            <w:r>
              <w:rPr>
                <w:rStyle w:val="EndnoteReference"/>
                <w:i/>
              </w:rPr>
              <w:endnoteReference w:id="4"/>
            </w:r>
            <w:r>
              <w:rPr>
                <w:i/>
              </w:rPr>
              <w:t>.</w:t>
            </w:r>
            <w:r>
              <w:t xml:space="preserve"> </w:t>
            </w:r>
          </w:p>
        </w:tc>
      </w:tr>
      <w:tr w:rsidR="00774A39" w:rsidTr="00774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888" w:type="dxa"/>
          </w:tcPr>
          <w:p w:rsidR="00774A39" w:rsidRDefault="00774A39" w:rsidP="00A118B8">
            <w:pPr>
              <w:tabs>
                <w:tab w:val="left" w:pos="188"/>
              </w:tabs>
            </w:pPr>
            <w:r>
              <w:t>Relative infectiousness by stage of infection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Primary infection</w:t>
            </w:r>
          </w:p>
          <w:p w:rsidR="00774A39" w:rsidRDefault="00774A39" w:rsidP="00A118B8">
            <w:pPr>
              <w:pStyle w:val="ListParagraph"/>
              <w:tabs>
                <w:tab w:val="left" w:pos="188"/>
              </w:tabs>
            </w:pPr>
          </w:p>
          <w:p w:rsidR="00774A39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Asymptomatic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Symptomatic</w:t>
            </w:r>
          </w:p>
          <w:p w:rsidR="00774A39" w:rsidRPr="00DB20AD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On ART</w:t>
            </w:r>
          </w:p>
        </w:tc>
        <w:tc>
          <w:tcPr>
            <w:tcW w:w="864" w:type="dxa"/>
          </w:tcPr>
          <w:p w:rsidR="00774A39" w:rsidRDefault="00774A39" w:rsidP="00A118B8"/>
          <w:p w:rsidR="00774A39" w:rsidRDefault="00774A39" w:rsidP="00A118B8"/>
          <w:p w:rsidR="00774A39" w:rsidRDefault="00774A39" w:rsidP="00A118B8">
            <w:r>
              <w:t>9 –</w:t>
            </w:r>
          </w:p>
          <w:p w:rsidR="00774A39" w:rsidRDefault="00774A39" w:rsidP="00A118B8">
            <w:r>
              <w:t>40</w:t>
            </w:r>
          </w:p>
          <w:p w:rsidR="00774A39" w:rsidRDefault="00774A39" w:rsidP="00A118B8">
            <w:r>
              <w:t>1</w:t>
            </w:r>
          </w:p>
          <w:p w:rsidR="00774A39" w:rsidRDefault="00774A39" w:rsidP="00A118B8">
            <w:r>
              <w:t>7</w:t>
            </w:r>
          </w:p>
          <w:p w:rsidR="00774A39" w:rsidRDefault="00774A39" w:rsidP="00A118B8">
            <w:r>
              <w:t>0.04 – 0.08</w:t>
            </w:r>
          </w:p>
        </w:tc>
        <w:tc>
          <w:tcPr>
            <w:tcW w:w="4716" w:type="dxa"/>
          </w:tcPr>
          <w:p w:rsidR="00774A39" w:rsidRDefault="00774A39" w:rsidP="00A118B8"/>
          <w:p w:rsidR="00774A39" w:rsidRDefault="00774A39" w:rsidP="00A118B8"/>
          <w:p w:rsidR="00774A39" w:rsidRDefault="00774A39" w:rsidP="00A118B8">
            <w:r>
              <w:t xml:space="preserve">Boily </w:t>
            </w:r>
            <w:r>
              <w:rPr>
                <w:i/>
              </w:rPr>
              <w:t>et a.l</w:t>
            </w:r>
            <w:r>
              <w:rPr>
                <w:rStyle w:val="EndnoteReference"/>
                <w:i/>
              </w:rPr>
              <w:endnoteReference w:id="5"/>
            </w:r>
            <w:r>
              <w:rPr>
                <w:i/>
              </w:rPr>
              <w:t xml:space="preserve">. </w:t>
            </w:r>
            <w:r>
              <w:t>9.17 (4.47-18.81)</w:t>
            </w:r>
          </w:p>
          <w:p w:rsidR="00774A39" w:rsidRDefault="00774A39" w:rsidP="00A118B8">
            <w:r>
              <w:t>Pinkerton</w:t>
            </w:r>
            <w:r>
              <w:rPr>
                <w:rStyle w:val="EndnoteReference"/>
              </w:rPr>
              <w:endnoteReference w:id="6"/>
            </w:r>
            <w:r>
              <w:t xml:space="preserve"> </w:t>
            </w:r>
          </w:p>
          <w:p w:rsidR="00774A39" w:rsidRDefault="00774A39" w:rsidP="00A118B8">
            <w:r>
              <w:t>Reference stage</w:t>
            </w:r>
          </w:p>
          <w:p w:rsidR="00774A39" w:rsidRDefault="00774A39" w:rsidP="00A118B8">
            <w:pPr>
              <w:rPr>
                <w:i/>
              </w:rPr>
            </w:pPr>
            <w:r>
              <w:t xml:space="preserve">Boily </w:t>
            </w:r>
            <w:r>
              <w:rPr>
                <w:i/>
              </w:rPr>
              <w:t>et al</w:t>
            </w:r>
            <w:r w:rsidRPr="00BA1F98">
              <w:rPr>
                <w:i/>
                <w:vertAlign w:val="superscript"/>
              </w:rPr>
              <w:t>6</w:t>
            </w:r>
            <w:r>
              <w:rPr>
                <w:i/>
              </w:rPr>
              <w:t xml:space="preserve">. </w:t>
            </w:r>
            <w:r>
              <w:t xml:space="preserve">7.27 (4.45-11.88) </w:t>
            </w:r>
          </w:p>
          <w:p w:rsidR="00774A39" w:rsidRDefault="00774A39" w:rsidP="00A118B8">
            <w:pPr>
              <w:rPr>
                <w:i/>
              </w:rPr>
            </w:pPr>
            <w:r>
              <w:t xml:space="preserve">Cohen </w:t>
            </w:r>
            <w:r>
              <w:rPr>
                <w:i/>
              </w:rPr>
              <w:t>et al.</w:t>
            </w:r>
            <w:r>
              <w:rPr>
                <w:rStyle w:val="EndnoteReference"/>
                <w:i/>
              </w:rPr>
              <w:endnoteReference w:id="7"/>
            </w:r>
          </w:p>
          <w:p w:rsidR="00774A39" w:rsidRPr="0088752B" w:rsidRDefault="00774A39" w:rsidP="00A118B8">
            <w:r>
              <w:t xml:space="preserve">Attia </w:t>
            </w:r>
            <w:r>
              <w:rPr>
                <w:i/>
              </w:rPr>
              <w:t>et al.</w:t>
            </w:r>
            <w:r>
              <w:rPr>
                <w:rStyle w:val="EndnoteReference"/>
                <w:i/>
              </w:rPr>
              <w:endnoteReference w:id="8"/>
            </w:r>
          </w:p>
        </w:tc>
      </w:tr>
      <w:tr w:rsidR="00774A39" w:rsidTr="00774A39">
        <w:tc>
          <w:tcPr>
            <w:tcW w:w="3888" w:type="dxa"/>
          </w:tcPr>
          <w:p w:rsidR="00774A39" w:rsidRDefault="00774A39" w:rsidP="00A118B8">
            <w:pPr>
              <w:tabs>
                <w:tab w:val="left" w:pos="188"/>
              </w:tabs>
            </w:pPr>
            <w:r>
              <w:t>Efficacy in reducing HIV transmission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Condom use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Male circumcision</w:t>
            </w:r>
          </w:p>
          <w:p w:rsidR="00774A39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PrEP</w:t>
            </w:r>
          </w:p>
          <w:p w:rsidR="00774A39" w:rsidRDefault="00774A39" w:rsidP="00A118B8">
            <w:pPr>
              <w:pStyle w:val="ListParagraph"/>
              <w:tabs>
                <w:tab w:val="left" w:pos="188"/>
              </w:tabs>
            </w:pPr>
          </w:p>
          <w:p w:rsidR="00774A39" w:rsidRPr="00AB2A83" w:rsidRDefault="00774A39" w:rsidP="00774A39">
            <w:pPr>
              <w:pStyle w:val="ListParagraph"/>
              <w:numPr>
                <w:ilvl w:val="0"/>
                <w:numId w:val="1"/>
              </w:numPr>
              <w:tabs>
                <w:tab w:val="left" w:pos="188"/>
              </w:tabs>
              <w:spacing w:after="0" w:line="240" w:lineRule="auto"/>
            </w:pPr>
            <w:r>
              <w:t>Microbicide</w:t>
            </w:r>
          </w:p>
        </w:tc>
        <w:tc>
          <w:tcPr>
            <w:tcW w:w="864" w:type="dxa"/>
          </w:tcPr>
          <w:p w:rsidR="00774A39" w:rsidRDefault="00774A39" w:rsidP="00A118B8"/>
          <w:p w:rsidR="00774A39" w:rsidRDefault="00774A39" w:rsidP="00A118B8">
            <w:r>
              <w:t>0.8</w:t>
            </w:r>
          </w:p>
          <w:p w:rsidR="00774A39" w:rsidRDefault="00774A39" w:rsidP="00A118B8">
            <w:r>
              <w:t>0.6</w:t>
            </w:r>
          </w:p>
          <w:p w:rsidR="00774A39" w:rsidRDefault="00774A39" w:rsidP="00A118B8">
            <w:r>
              <w:t>0.55 – 0.73</w:t>
            </w:r>
          </w:p>
          <w:p w:rsidR="00774A39" w:rsidRDefault="00774A39" w:rsidP="00A118B8">
            <w:r>
              <w:t>0.6</w:t>
            </w:r>
          </w:p>
        </w:tc>
        <w:tc>
          <w:tcPr>
            <w:tcW w:w="4716" w:type="dxa"/>
          </w:tcPr>
          <w:p w:rsidR="00774A39" w:rsidRDefault="00774A39" w:rsidP="00A118B8"/>
          <w:p w:rsidR="00774A39" w:rsidRDefault="00774A39" w:rsidP="00A118B8">
            <w:r>
              <w:t>Weller and Davis</w:t>
            </w:r>
            <w:r>
              <w:rPr>
                <w:rStyle w:val="EndnoteReference"/>
              </w:rPr>
              <w:endnoteReference w:id="9"/>
            </w:r>
          </w:p>
          <w:p w:rsidR="00774A39" w:rsidRDefault="00774A39" w:rsidP="00A118B8">
            <w:r>
              <w:t xml:space="preserve">Auvert </w:t>
            </w:r>
            <w:r>
              <w:rPr>
                <w:i/>
              </w:rPr>
              <w:t>et al</w:t>
            </w:r>
            <w:r>
              <w:rPr>
                <w:rStyle w:val="EndnoteReference"/>
                <w:i/>
              </w:rPr>
              <w:endnoteReference w:id="10"/>
            </w:r>
            <w:r>
              <w:t xml:space="preserve">, Gray </w:t>
            </w:r>
            <w:r>
              <w:rPr>
                <w:i/>
              </w:rPr>
              <w:t>et al</w:t>
            </w:r>
            <w:r>
              <w:t>. (2007)</w:t>
            </w:r>
            <w:r>
              <w:rPr>
                <w:rStyle w:val="EndnoteReference"/>
              </w:rPr>
              <w:endnoteReference w:id="11"/>
            </w:r>
            <w:r>
              <w:t xml:space="preserve">, Bailey </w:t>
            </w:r>
            <w:r>
              <w:rPr>
                <w:i/>
              </w:rPr>
              <w:t>et al</w:t>
            </w:r>
            <w:r>
              <w:t>.</w:t>
            </w:r>
            <w:r>
              <w:rPr>
                <w:rStyle w:val="EndnoteReference"/>
              </w:rPr>
              <w:endnoteReference w:id="12"/>
            </w:r>
            <w:r>
              <w:t xml:space="preserve"> </w:t>
            </w:r>
          </w:p>
          <w:p w:rsidR="00774A39" w:rsidRPr="00F809A1" w:rsidRDefault="00774A39" w:rsidP="00A118B8">
            <w:r>
              <w:t xml:space="preserve">Grant </w:t>
            </w:r>
            <w:r>
              <w:rPr>
                <w:i/>
              </w:rPr>
              <w:t>et al.</w:t>
            </w:r>
            <w:r>
              <w:rPr>
                <w:rStyle w:val="EndnoteReference"/>
                <w:i/>
              </w:rPr>
              <w:endnoteReference w:id="13"/>
            </w:r>
            <w:r>
              <w:rPr>
                <w:i/>
              </w:rPr>
              <w:t xml:space="preserve"> </w:t>
            </w:r>
          </w:p>
          <w:p w:rsidR="00774A39" w:rsidRDefault="00774A39" w:rsidP="00A118B8">
            <w:r>
              <w:t>Partners PrEP Study</w:t>
            </w:r>
          </w:p>
          <w:p w:rsidR="00774A39" w:rsidRPr="00F809A1" w:rsidRDefault="00774A39" w:rsidP="00A118B8">
            <w:pPr>
              <w:rPr>
                <w:i/>
              </w:rPr>
            </w:pPr>
            <w:r>
              <w:t>Abdool Karim</w:t>
            </w:r>
            <w:r>
              <w:rPr>
                <w:i/>
              </w:rPr>
              <w:t xml:space="preserve"> et al.</w:t>
            </w:r>
            <w:r>
              <w:rPr>
                <w:rStyle w:val="EndnoteReference"/>
                <w:i/>
              </w:rPr>
              <w:endnoteReference w:id="14"/>
            </w:r>
            <w:r>
              <w:rPr>
                <w:i/>
              </w:rPr>
              <w:t xml:space="preserve"> </w:t>
            </w:r>
          </w:p>
        </w:tc>
      </w:tr>
    </w:tbl>
    <w:p w:rsidR="00774A39" w:rsidRDefault="00774A39" w:rsidP="00CE039D"/>
    <w:sectPr w:rsidR="00774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0D0" w:rsidRDefault="001C00D0" w:rsidP="00774A39">
      <w:pPr>
        <w:spacing w:after="0" w:line="240" w:lineRule="auto"/>
      </w:pPr>
      <w:r>
        <w:separator/>
      </w:r>
    </w:p>
  </w:endnote>
  <w:endnote w:type="continuationSeparator" w:id="0">
    <w:p w:rsidR="001C00D0" w:rsidRDefault="001C00D0" w:rsidP="00774A39">
      <w:pPr>
        <w:spacing w:after="0" w:line="240" w:lineRule="auto"/>
      </w:pPr>
      <w:r>
        <w:continuationSeparator/>
      </w:r>
    </w:p>
  </w:endnote>
  <w:endnote w:id="1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3014">
        <w:rPr>
          <w:rFonts w:cs="Times New Roman"/>
          <w:noProof/>
        </w:rPr>
        <w:t xml:space="preserve">Baggaley RF, Fraser C. Modelling sexual transmission of HIV: testing the assumptions, validating the predictions. Curr Opin HIV AIDS. 2010; </w:t>
      </w:r>
      <w:r w:rsidRPr="00B73014">
        <w:rPr>
          <w:rFonts w:cs="Times New Roman"/>
          <w:b/>
          <w:noProof/>
        </w:rPr>
        <w:t>5</w:t>
      </w:r>
      <w:r w:rsidRPr="00B73014">
        <w:rPr>
          <w:rFonts w:cs="Times New Roman"/>
          <w:noProof/>
        </w:rPr>
        <w:t>(4): 269-76.</w:t>
      </w:r>
    </w:p>
  </w:endnote>
  <w:endnote w:id="2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B00F0">
        <w:t>Galvin and Cohen, "The Role of Sexually Transmitted Diseases in HIV Transmission" Nature Reviews Microbiology Volume 3, January 2004, pps. 33-42</w:t>
      </w:r>
      <w:r>
        <w:t>.</w:t>
      </w:r>
    </w:p>
  </w:endnote>
  <w:endnote w:id="3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5C24">
        <w:t>Powers KA, Poole C, Pettifor AE, Cohen MS Rethinking the heterosexual infectivity of HIV-1: a systematic review and meta-analysis The Lancet Published on line August 5, 2008 DOI:10.1016/S1273-3099(08)70156-7.</w:t>
      </w:r>
    </w:p>
  </w:endnote>
  <w:endnote w:id="4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25C24">
        <w:t>Vittinghoff E, Douglas J, Judson F, McKirnan D, MacQueen K, Buchbinder SP. Per-Contact Risk of Human Immunodeficiency Virus Transmission</w:t>
      </w:r>
      <w:r>
        <w:t xml:space="preserve"> </w:t>
      </w:r>
      <w:r w:rsidRPr="00625C24">
        <w:t>between Male Sexual Partners Am J Epidemiol (1999)150:3;306-31 suggests 0.0016/0.0011</w:t>
      </w:r>
      <w:r>
        <w:t>.</w:t>
      </w:r>
    </w:p>
  </w:endnote>
  <w:endnote w:id="5">
    <w:p w:rsidR="00774A39" w:rsidRPr="00625C24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Boily MC, Baggaley RF, Wang L, Masse B, White RG, Hayes RJ, Alary M. Heterosexual risk of HIV-1 infection per sexual act: systematic review and meta-analysis of observational studies </w:t>
      </w:r>
      <w:r>
        <w:rPr>
          <w:i/>
        </w:rPr>
        <w:t xml:space="preserve">Lancet Infect Dis </w:t>
      </w:r>
      <w:r>
        <w:t>2009; 9: 118-29.</w:t>
      </w:r>
    </w:p>
  </w:endnote>
  <w:endnote w:id="6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B73014">
        <w:rPr>
          <w:rFonts w:cs="Times New Roman"/>
          <w:noProof/>
        </w:rPr>
        <w:t xml:space="preserve">Pinkerton SD. Probability of HIV transmission during acute infection in Rakai, Uganda. AIDS Behav. 2008; </w:t>
      </w:r>
      <w:r w:rsidRPr="00B73014">
        <w:rPr>
          <w:rFonts w:cs="Times New Roman"/>
          <w:b/>
          <w:noProof/>
        </w:rPr>
        <w:t>12</w:t>
      </w:r>
      <w:r w:rsidRPr="00B73014">
        <w:rPr>
          <w:rFonts w:cs="Times New Roman"/>
          <w:noProof/>
        </w:rPr>
        <w:t>(5): 677-84.</w:t>
      </w:r>
    </w:p>
  </w:endnote>
  <w:endnote w:id="7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Cohen MS, Chen YQ, McCauley M, Gamble T, Hosseinipour MC, Kumarasamy N, </w:t>
      </w:r>
      <w:r>
        <w:rPr>
          <w:i/>
        </w:rPr>
        <w:t>et al.</w:t>
      </w:r>
      <w:r>
        <w:t xml:space="preserve"> Prevention of HIV-1 Infection with Early Antriretroviral Therapy N Engl J Med 2011; 10.1056/NEJMoa1105243. </w:t>
      </w:r>
    </w:p>
  </w:endnote>
  <w:endnote w:id="8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952E43">
        <w:t>Attia S, Egger M, Muller M, Zwahlen M, Low N. Sexual transmission of HIV according to viral load  and antiretroviral therapy:  systematic review and meta-analysis. AIDS 2009, 23:1-8.</w:t>
      </w:r>
    </w:p>
  </w:endnote>
  <w:endnote w:id="9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D6CE3">
        <w:t>Weller S, Davis, K. Condom effectiveness in reducing heterosexual HIV transmission (Cochrane Review). In: The Cochrane Library, Issue 1, 2004. Chichester, UK: John Wiley &amp; Sons, Ltd.</w:t>
      </w:r>
    </w:p>
  </w:endnote>
  <w:endnote w:id="10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 w:rsidRPr="00DE6483">
        <w:t xml:space="preserve"> </w:t>
      </w:r>
      <w:r w:rsidRPr="00DE6483">
        <w:rPr>
          <w:rFonts w:cs="Times New Roman"/>
          <w:noProof/>
        </w:rPr>
        <w:t xml:space="preserve">Auvert B, Puren A, Taljaard D, Lagarde E, JoëlleTambekou-Sobngwi, RémiSitta. </w:t>
      </w:r>
      <w:r w:rsidRPr="00DB13B7">
        <w:rPr>
          <w:rFonts w:cs="Times New Roman"/>
          <w:noProof/>
        </w:rPr>
        <w:t>The impact of male circumcision on the female-to-male transmission of HIV : Results of the intervention trial : ANRS 1265.  IAS 2005: INSERM, France; 2005.</w:t>
      </w:r>
    </w:p>
  </w:endnote>
  <w:endnote w:id="11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B13B7">
        <w:rPr>
          <w:rFonts w:cs="Times New Roman"/>
          <w:noProof/>
        </w:rPr>
        <w:t xml:space="preserve">Bailey RC, Moses S, Parker CB, Agot K, Maclean I, Krieger JN, et al. Male circumcision for HIV prevention in young men in Kisumu, Kenya: a randomised controlled trial. Lancet. 2007; </w:t>
      </w:r>
      <w:r w:rsidRPr="00DB13B7">
        <w:rPr>
          <w:rFonts w:cs="Times New Roman"/>
          <w:b/>
          <w:noProof/>
        </w:rPr>
        <w:t>369</w:t>
      </w:r>
      <w:r w:rsidRPr="00DB13B7">
        <w:rPr>
          <w:rFonts w:cs="Times New Roman"/>
          <w:noProof/>
        </w:rPr>
        <w:t>(9562): 643-56.</w:t>
      </w:r>
    </w:p>
  </w:endnote>
  <w:endnote w:id="12">
    <w:p w:rsidR="00774A39" w:rsidRPr="00F4119D" w:rsidRDefault="00774A39" w:rsidP="00774A39">
      <w:pPr>
        <w:spacing w:after="0" w:line="240" w:lineRule="auto"/>
        <w:rPr>
          <w:sz w:val="20"/>
          <w:szCs w:val="20"/>
        </w:rPr>
      </w:pPr>
      <w:r>
        <w:rPr>
          <w:rStyle w:val="EndnoteReference"/>
        </w:rPr>
        <w:endnoteRef/>
      </w:r>
      <w:r>
        <w:t xml:space="preserve"> </w:t>
      </w:r>
      <w:r w:rsidRPr="00F4119D">
        <w:rPr>
          <w:sz w:val="20"/>
          <w:szCs w:val="20"/>
        </w:rPr>
        <w:t>Bailey RC, Moses S, Parker CB, Agot K, Maclean I, Krieger JN, et al. Male circumcision for HIV prevention in young men in Kisumu, Kenya: a randomised controlled trial. Lancet. 2007; 369(9562): 643-56.</w:t>
      </w:r>
    </w:p>
  </w:endnote>
  <w:endnote w:id="13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Grant RM, Lama JR, Anderson PL, McMahan V, Liu AY, Vargas L. Preexposure Chemoprophylaxis for HIV Prevention in Men Who Have Sex with Men New Engl J Med 2010, </w:t>
      </w:r>
      <w:r w:rsidRPr="00F4119D">
        <w:t>10.1056/NEJMoa1011205.</w:t>
      </w:r>
    </w:p>
  </w:endnote>
  <w:endnote w:id="14">
    <w:p w:rsidR="00774A39" w:rsidRDefault="00774A39" w:rsidP="00774A39">
      <w:pPr>
        <w:pStyle w:val="EndnoteText"/>
      </w:pPr>
      <w:r>
        <w:rPr>
          <w:rStyle w:val="EndnoteReference"/>
        </w:rPr>
        <w:endnoteRef/>
      </w:r>
      <w:r>
        <w:t xml:space="preserve"> Karim QA, Karim SSA, Frohlich J, Grobler AC, Baxter C, Mansoor LE, </w:t>
      </w:r>
      <w:r>
        <w:rPr>
          <w:i/>
        </w:rPr>
        <w:t xml:space="preserve">et al. </w:t>
      </w:r>
      <w:r>
        <w:t xml:space="preserve">Effectiveness and Safety of Tenofovir Gel, an Antoretroviral  Microbicide, for the Prevention of HIV Infection in Women. </w:t>
      </w:r>
      <w:r>
        <w:rPr>
          <w:i/>
        </w:rPr>
        <w:t>Science</w:t>
      </w:r>
      <w:r>
        <w:t xml:space="preserve"> 329; 1168-1174 (September 2010).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0D0" w:rsidRDefault="001C00D0" w:rsidP="00774A39">
      <w:pPr>
        <w:spacing w:after="0" w:line="240" w:lineRule="auto"/>
      </w:pPr>
      <w:r>
        <w:separator/>
      </w:r>
    </w:p>
  </w:footnote>
  <w:footnote w:type="continuationSeparator" w:id="0">
    <w:p w:rsidR="001C00D0" w:rsidRDefault="001C00D0" w:rsidP="00774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7FB6"/>
    <w:multiLevelType w:val="hybridMultilevel"/>
    <w:tmpl w:val="4F307D22"/>
    <w:lvl w:ilvl="0" w:tplc="AFEC6B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0DB5"/>
    <w:multiLevelType w:val="hybridMultilevel"/>
    <w:tmpl w:val="3D9AA89C"/>
    <w:lvl w:ilvl="0" w:tplc="F57E996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D3"/>
    <w:rsid w:val="001C00D0"/>
    <w:rsid w:val="00372AB3"/>
    <w:rsid w:val="00590FBB"/>
    <w:rsid w:val="005E76D3"/>
    <w:rsid w:val="00774A39"/>
    <w:rsid w:val="00B306CD"/>
    <w:rsid w:val="00B56F3C"/>
    <w:rsid w:val="00BF2749"/>
    <w:rsid w:val="00CE039D"/>
    <w:rsid w:val="00D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15008-38CA-4341-A040-F52A46A58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Table1Light">
    <w:name w:val="List Table 1 Light"/>
    <w:basedOn w:val="TableNormal"/>
    <w:uiPriority w:val="46"/>
    <w:rsid w:val="005E76D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74A39"/>
    <w:pPr>
      <w:spacing w:after="200" w:line="276" w:lineRule="auto"/>
      <w:ind w:left="720"/>
      <w:contextualSpacing/>
    </w:pPr>
    <w:rPr>
      <w:rFonts w:ascii="Times New Roman" w:eastAsiaTheme="minorEastAsia" w:hAnsi="Times New Roman"/>
      <w:sz w:val="24"/>
      <w:lang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4A39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4A39"/>
    <w:rPr>
      <w:rFonts w:ascii="Times New Roman" w:eastAsiaTheme="minorEastAsia" w:hAnsi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774A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1629</Words>
  <Characters>9290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Stover</dc:creator>
  <cp:keywords/>
  <dc:description/>
  <cp:lastModifiedBy>Michael Richards</cp:lastModifiedBy>
  <cp:revision>2</cp:revision>
  <dcterms:created xsi:type="dcterms:W3CDTF">2014-01-28T11:16:00Z</dcterms:created>
  <dcterms:modified xsi:type="dcterms:W3CDTF">2014-01-28T11:16:00Z</dcterms:modified>
</cp:coreProperties>
</file>