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5F" w:rsidRDefault="007A775F">
      <w:pPr>
        <w:pStyle w:val="CommentText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eastAsia="MS ??"/>
          <w:b/>
          <w:bCs/>
          <w:color w:val="auto"/>
          <w:sz w:val="24"/>
          <w:szCs w:val="24"/>
          <w:lang w:val="en-US"/>
        </w:rPr>
      </w:pPr>
      <w:r>
        <w:rPr>
          <w:rFonts w:eastAsia="MS ??"/>
          <w:b/>
          <w:bCs/>
          <w:color w:val="auto"/>
          <w:sz w:val="24"/>
          <w:szCs w:val="24"/>
          <w:lang w:val="en-US"/>
        </w:rPr>
        <w:t>SUPPLEMENTARY DATA</w:t>
      </w:r>
    </w:p>
    <w:p w:rsidR="007A775F" w:rsidRDefault="007A775F">
      <w:pPr>
        <w:pStyle w:val="CommentText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eastAsia="MS ??"/>
          <w:b/>
          <w:bCs/>
          <w:color w:val="auto"/>
          <w:sz w:val="24"/>
          <w:szCs w:val="24"/>
          <w:lang w:val="en-US"/>
        </w:rPr>
      </w:pPr>
      <w:r>
        <w:rPr>
          <w:rFonts w:eastAsia="MS ??"/>
          <w:b/>
          <w:bCs/>
          <w:color w:val="auto"/>
          <w:sz w:val="24"/>
          <w:szCs w:val="24"/>
          <w:lang w:val="en-US"/>
        </w:rPr>
        <w:t>Clinical tests</w:t>
      </w:r>
    </w:p>
    <w:p w:rsidR="007A775F" w:rsidRDefault="007A775F">
      <w:pPr>
        <w:pStyle w:val="CommentText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firstLine="806"/>
        <w:jc w:val="both"/>
        <w:rPr>
          <w:rFonts w:eastAsia="MS ??"/>
          <w:color w:val="auto"/>
          <w:sz w:val="24"/>
          <w:szCs w:val="24"/>
          <w:lang w:val="en-US"/>
        </w:rPr>
      </w:pPr>
      <w:r>
        <w:rPr>
          <w:rFonts w:eastAsia="MS ??"/>
          <w:color w:val="auto"/>
          <w:sz w:val="24"/>
          <w:szCs w:val="24"/>
          <w:lang w:val="en-US"/>
        </w:rPr>
        <w:t>Semen was collected as described previously (Gianella et al., 2012). From blood, CD4+ T-lymphocyte subsets were measured by flow-cytometry (LabCorp) and HIV RNA was quantified (Amplicor HIV Monitor Test, Roche Molecular Systems Inc.). The studies were conducted with appropriate written subject consent and were approved by the Human Research Protections Program at the University of California San Diego, Los Angeles Biomedical Research Institute at Harbor-UCLA Medical Center, and the University of Southern California.</w:t>
      </w:r>
    </w:p>
    <w:p w:rsidR="007A775F" w:rsidRDefault="007A775F">
      <w:pPr>
        <w:pStyle w:val="CommentText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firstLine="806"/>
        <w:jc w:val="both"/>
        <w:rPr>
          <w:rFonts w:eastAsia="MS ??"/>
          <w:color w:val="auto"/>
          <w:sz w:val="24"/>
          <w:szCs w:val="24"/>
          <w:lang w:val="en-US"/>
        </w:rPr>
      </w:pPr>
    </w:p>
    <w:p w:rsidR="007A775F" w:rsidRDefault="007A775F">
      <w:pPr>
        <w:widowControl w:val="0"/>
        <w:autoSpaceDE w:val="0"/>
        <w:autoSpaceDN w:val="0"/>
        <w:adjustRightInd w:val="0"/>
        <w:spacing w:after="240" w:line="480" w:lineRule="auto"/>
        <w:jc w:val="both"/>
        <w:rPr>
          <w:rFonts w:ascii="Times New Roman" w:eastAsia="MS ??" w:hAnsi="Times New Roman" w:cs="Times New Roman"/>
          <w:color w:val="auto"/>
          <w:sz w:val="24"/>
          <w:szCs w:val="24"/>
        </w:rPr>
      </w:pPr>
      <w:r>
        <w:rPr>
          <w:rFonts w:ascii="Times New Roman" w:eastAsia="MS ??" w:hAnsi="Times New Roman" w:cs="Times New Roman"/>
          <w:color w:val="auto"/>
          <w:sz w:val="24"/>
          <w:szCs w:val="24"/>
        </w:rPr>
        <w:t>Multiplex-bead-array assay for cytokines/chemokines quantification</w:t>
      </w:r>
      <w:r>
        <w:rPr>
          <w:rFonts w:ascii="Times New Roman" w:eastAsia="MS ??" w:hAnsi="Times New Roman" w:cs="Times New Roman"/>
          <w:color w:val="auto"/>
          <w:sz w:val="24"/>
          <w:szCs w:val="24"/>
        </w:rPr>
        <w:tab/>
      </w:r>
    </w:p>
    <w:p w:rsidR="007A775F" w:rsidRDefault="007A775F">
      <w:pPr>
        <w:widowControl w:val="0"/>
        <w:autoSpaceDE w:val="0"/>
        <w:autoSpaceDN w:val="0"/>
        <w:adjustRightInd w:val="0"/>
        <w:spacing w:after="240" w:line="480" w:lineRule="auto"/>
        <w:ind w:firstLine="720"/>
        <w:jc w:val="both"/>
        <w:rPr>
          <w:rFonts w:ascii="Times New Roman" w:eastAsia="MS ??" w:hAnsi="Times New Roman" w:cs="Times New Roman"/>
          <w:b w:val="0"/>
          <w:bCs w:val="0"/>
          <w:color w:val="auto"/>
          <w:sz w:val="24"/>
          <w:szCs w:val="24"/>
        </w:rPr>
      </w:pPr>
      <w:r>
        <w:rPr>
          <w:rFonts w:ascii="Times New Roman" w:hAnsi="Times New Roman" w:cs="Times New Roman"/>
          <w:b w:val="0"/>
          <w:bCs w:val="0"/>
          <w:color w:val="auto"/>
          <w:sz w:val="24"/>
          <w:szCs w:val="24"/>
        </w:rPr>
        <w:t>We measured the concentrations of 31 cytokines/chemokines involved in different immunological functions:</w:t>
      </w:r>
      <w:r>
        <w:rPr>
          <w:rFonts w:ascii="Times New Roman" w:eastAsia="MS ??" w:hAnsi="Times New Roman" w:cs="Times New Roman"/>
          <w:b w:val="0"/>
          <w:bCs w:val="0"/>
          <w:color w:val="auto"/>
          <w:sz w:val="24"/>
          <w:szCs w:val="24"/>
        </w:rPr>
        <w:t xml:space="preserve"> </w:t>
      </w:r>
    </w:p>
    <w:p w:rsidR="007A775F" w:rsidRDefault="007A775F">
      <w:pPr>
        <w:pStyle w:val="ListParagraph"/>
        <w:widowControl w:val="0"/>
        <w:numPr>
          <w:ilvl w:val="0"/>
          <w:numId w:val="1"/>
        </w:numPr>
        <w:autoSpaceDE w:val="0"/>
        <w:autoSpaceDN w:val="0"/>
        <w:adjustRightInd w:val="0"/>
        <w:spacing w:after="240" w:line="480" w:lineRule="auto"/>
        <w:ind w:left="540" w:hanging="540"/>
        <w:jc w:val="both"/>
        <w:rPr>
          <w:rFonts w:ascii="Times New Roman" w:hAnsi="Times New Roman" w:cs="Times New Roman"/>
          <w:b/>
          <w:bCs/>
        </w:rPr>
      </w:pPr>
      <w:r>
        <w:rPr>
          <w:rFonts w:ascii="Times New Roman" w:hAnsi="Times New Roman" w:cs="Times New Roman"/>
        </w:rPr>
        <w:t>Mediators of innate immunity, inflammation and chemotaxis (interleukin [IL]-1α, IL-1β, IL-6, IL-17, IL-18, IL-22, IL-33, IL-8 (CXCL8), MIG (CXCL9), IFN-inducible-protein [IP]-10 (CXCL10), I-TAC (CXCL11), TNF-α, lactoferrin, (monocyte-chemotactic-protein [MCP]-1 (CCL2), macrophage-inflammatory-protein [MIP]-1α (CCL3), MIP-1β (CCL4), regulated-on-activation-normally-T-cell-expressed-and-secreted [RANTES, CCL5], eotaxin (CCL11), MIP-3α (CCL20), GRO-α (CXCL1)).</w:t>
      </w:r>
    </w:p>
    <w:p w:rsidR="007A775F" w:rsidRDefault="007A775F">
      <w:pPr>
        <w:pStyle w:val="ListParagraph"/>
        <w:widowControl w:val="0"/>
        <w:numPr>
          <w:ilvl w:val="0"/>
          <w:numId w:val="1"/>
        </w:numPr>
        <w:autoSpaceDE w:val="0"/>
        <w:autoSpaceDN w:val="0"/>
        <w:adjustRightInd w:val="0"/>
        <w:spacing w:after="240" w:line="480" w:lineRule="auto"/>
        <w:ind w:left="540" w:hanging="540"/>
        <w:jc w:val="both"/>
        <w:rPr>
          <w:rFonts w:ascii="Times New Roman" w:hAnsi="Times New Roman" w:cs="Times New Roman"/>
          <w:color w:val="101010"/>
        </w:rPr>
      </w:pPr>
      <w:r>
        <w:rPr>
          <w:rFonts w:ascii="Times New Roman" w:hAnsi="Times New Roman" w:cs="Times New Roman"/>
        </w:rPr>
        <w:t>Mediator of hematopoiesis (macrophage-colony-stimulating-factor [M-CSF] and granulocyte-macrophage-colony-stimulating factor [GM-CSF]).</w:t>
      </w:r>
    </w:p>
    <w:p w:rsidR="007A775F" w:rsidRDefault="007A775F">
      <w:pPr>
        <w:pStyle w:val="ListParagraph"/>
        <w:widowControl w:val="0"/>
        <w:numPr>
          <w:ilvl w:val="0"/>
          <w:numId w:val="1"/>
        </w:numPr>
        <w:autoSpaceDE w:val="0"/>
        <w:autoSpaceDN w:val="0"/>
        <w:adjustRightInd w:val="0"/>
        <w:spacing w:after="240" w:line="480" w:lineRule="auto"/>
        <w:ind w:left="540" w:hanging="540"/>
        <w:jc w:val="both"/>
        <w:rPr>
          <w:rFonts w:ascii="Times New Roman" w:hAnsi="Times New Roman" w:cs="Times New Roman"/>
          <w:color w:val="101010"/>
        </w:rPr>
      </w:pPr>
      <w:r>
        <w:rPr>
          <w:rFonts w:ascii="Times New Roman" w:hAnsi="Times New Roman" w:cs="Times New Roman"/>
        </w:rPr>
        <w:t>Anti-inflammatory cytokine (IL-10, IL-13, transforming-growth-factor [TGF]-β).</w:t>
      </w:r>
    </w:p>
    <w:p w:rsidR="007A775F" w:rsidRDefault="007A775F">
      <w:pPr>
        <w:pStyle w:val="ListParagraph"/>
        <w:widowControl w:val="0"/>
        <w:numPr>
          <w:ilvl w:val="0"/>
          <w:numId w:val="1"/>
        </w:numPr>
        <w:autoSpaceDE w:val="0"/>
        <w:autoSpaceDN w:val="0"/>
        <w:adjustRightInd w:val="0"/>
        <w:spacing w:after="240" w:line="480" w:lineRule="auto"/>
        <w:ind w:left="540" w:hanging="540"/>
        <w:jc w:val="both"/>
        <w:rPr>
          <w:rFonts w:ascii="Times New Roman" w:hAnsi="Times New Roman" w:cs="Times New Roman"/>
          <w:color w:val="101010"/>
          <w:lang w:val="fr-FR"/>
        </w:rPr>
      </w:pPr>
      <w:r>
        <w:rPr>
          <w:rFonts w:ascii="Times New Roman" w:hAnsi="Times New Roman" w:cs="Times New Roman"/>
          <w:lang w:val="fr-FR"/>
        </w:rPr>
        <w:t>Mediators of lymphocytes activation, proliferation, and differentiation (IL-2, IL-7, IL-12, IL-15, IL-16, CCL3, CCL4, CCL5, CCL20, IFN-</w:t>
      </w:r>
      <w:r>
        <w:rPr>
          <w:rFonts w:ascii="Times New Roman" w:hAnsi="Times New Roman" w:cs="Times New Roman"/>
        </w:rPr>
        <w:t>γ</w:t>
      </w:r>
      <w:r>
        <w:rPr>
          <w:rFonts w:ascii="Times New Roman" w:hAnsi="Times New Roman" w:cs="Times New Roman"/>
          <w:lang w:val="fr-FR"/>
        </w:rPr>
        <w:t xml:space="preserve">). </w:t>
      </w:r>
    </w:p>
    <w:p w:rsidR="007A775F" w:rsidRDefault="007A775F">
      <w:pPr>
        <w:widowControl w:val="0"/>
        <w:autoSpaceDE w:val="0"/>
        <w:autoSpaceDN w:val="0"/>
        <w:adjustRightInd w:val="0"/>
        <w:spacing w:line="480" w:lineRule="auto"/>
        <w:jc w:val="both"/>
        <w:rPr>
          <w:rFonts w:ascii="Times New Roman" w:eastAsia="MS ??" w:hAnsi="Times New Roman" w:cs="Times New Roman"/>
          <w:b w:val="0"/>
          <w:bCs w:val="0"/>
          <w:sz w:val="24"/>
          <w:szCs w:val="24"/>
        </w:rPr>
      </w:pPr>
      <w:r>
        <w:rPr>
          <w:rFonts w:ascii="Times New Roman" w:eastAsia="MS ??" w:hAnsi="Times New Roman" w:cs="Times New Roman"/>
          <w:b w:val="0"/>
          <w:bCs w:val="0"/>
          <w:sz w:val="24"/>
          <w:szCs w:val="24"/>
        </w:rPr>
        <w:t>In consideration of their pleotropic effects, CCL3, CCL4, CCL5, CCL20 were included in two different functional groups, both as mediators of chemotaxis and as mediators of activation, proliferation, and differentiation of lymphocytes. All standards, capture and detection antibodies were purchased from R&amp;D (Minneapolis, MN) with the exception of IL-10 (BioLegend, San Diego, CA), IL-17A and IL-22 (Peprotech, Rocky Hill, NJ), IL-18 (eBioscience, San Diego, CA), IL-33 and M-CSF (R&amp;D Systems, Minneapolis, MN), and lactoferrin (Abcam, Cambridge, UK).</w:t>
      </w:r>
    </w:p>
    <w:p w:rsidR="007A775F" w:rsidRDefault="007A775F">
      <w:pPr>
        <w:spacing w:line="480" w:lineRule="auto"/>
        <w:jc w:val="both"/>
        <w:rPr>
          <w:rFonts w:ascii="Times New Roman" w:hAnsi="Times New Roman" w:cs="Times New Roman"/>
          <w:b w:val="0"/>
          <w:bCs w:val="0"/>
          <w:color w:val="auto"/>
          <w:sz w:val="24"/>
          <w:szCs w:val="24"/>
          <w:lang w:eastAsia="sv-SE"/>
        </w:rPr>
      </w:pPr>
      <w:r>
        <w:rPr>
          <w:rFonts w:ascii="Times New Roman" w:hAnsi="Times New Roman" w:cs="Times New Roman"/>
          <w:b w:val="0"/>
          <w:bCs w:val="0"/>
          <w:color w:val="auto"/>
          <w:sz w:val="24"/>
          <w:szCs w:val="24"/>
          <w:lang w:eastAsia="sv-SE"/>
        </w:rPr>
        <w:t xml:space="preserve">Values that were below the lower limit of detection (LLD) were reported as the midpoint between zero and the LLD (LLDs in pg/mL): </w:t>
      </w:r>
      <w:r>
        <w:rPr>
          <w:rFonts w:ascii="Times New Roman" w:hAnsi="Times New Roman" w:cs="Times New Roman"/>
          <w:b w:val="0"/>
          <w:bCs w:val="0"/>
          <w:sz w:val="24"/>
          <w:szCs w:val="24"/>
        </w:rPr>
        <w:t xml:space="preserve">IL-1α (1.00), IL-1β (1.00), IL-2 (2.60), IL-6 (2.60), IL-7 (2.60), IL-10 (16.40), IL-12 (9.20), IL-13 (41.00), IL-15 (9.80), IL-16 (3.00), IL-17A (4.00), IL-18 (17.4), IL-22 (4.00), IL-33 (5.20), CXCL1 (5.20), CXCL8 (1.00), CXCL9 (5.20), CXCL10 (5.20), CXCL11 (5.00), CCL2 (2.60), CCL3 (2.00), CCL4 (2.60), CCL5 (2.60), CCL11 (5.20), CCL20 (16.40), M-CSF (5.20), GM-CSF (6.60), IFN-γ (6.40), TNF-α (1.00), TGF-β (9.80), lactoferrin (131.00). </w:t>
      </w:r>
    </w:p>
    <w:p w:rsidR="007A775F" w:rsidRDefault="007A775F">
      <w:pPr>
        <w:widowControl w:val="0"/>
        <w:autoSpaceDE w:val="0"/>
        <w:autoSpaceDN w:val="0"/>
        <w:adjustRightInd w:val="0"/>
        <w:jc w:val="both"/>
        <w:rPr>
          <w:rFonts w:ascii="Times New Roman" w:eastAsia="MS ??" w:hAnsi="Times New Roman" w:cs="Times New Roman"/>
          <w:sz w:val="24"/>
          <w:szCs w:val="24"/>
        </w:rPr>
      </w:pPr>
      <w:r>
        <w:rPr>
          <w:rFonts w:ascii="Times New Roman" w:eastAsia="MS ??" w:hAnsi="Times New Roman" w:cs="Times New Roman"/>
          <w:sz w:val="24"/>
          <w:szCs w:val="24"/>
        </w:rPr>
        <w:t>REFERENCES:</w:t>
      </w:r>
    </w:p>
    <w:p w:rsidR="007A775F" w:rsidRDefault="007A775F">
      <w:pPr>
        <w:rPr>
          <w:rFonts w:ascii="Times New Roman" w:hAnsi="Times New Roman" w:cs="Times New Roman"/>
          <w:b w:val="0"/>
          <w:bCs w:val="0"/>
          <w:noProof/>
          <w:sz w:val="24"/>
          <w:szCs w:val="24"/>
        </w:rPr>
      </w:pPr>
      <w:r>
        <w:rPr>
          <w:rFonts w:ascii="Times New Roman" w:hAnsi="Times New Roman" w:cs="Times New Roman"/>
          <w:b w:val="0"/>
          <w:bCs w:val="0"/>
          <w:noProof/>
          <w:sz w:val="24"/>
          <w:szCs w:val="24"/>
        </w:rPr>
        <w:t>Gianella S, Strain MC, Rought SE, et al. Associations between virologic and immunologic dynamics in blood and in the male genital tract. J Virol 2012; 86:1307-15.</w:t>
      </w:r>
    </w:p>
    <w:p w:rsidR="007A775F" w:rsidRDefault="007A775F">
      <w:pPr>
        <w:rPr>
          <w:rFonts w:ascii="Times New Roman" w:hAnsi="Times New Roman" w:cs="Times New Roman"/>
          <w:b w:val="0"/>
          <w:bCs w:val="0"/>
          <w:noProof/>
          <w:sz w:val="24"/>
          <w:szCs w:val="24"/>
        </w:rPr>
      </w:pPr>
      <w:r>
        <w:rPr>
          <w:rFonts w:ascii="Times New Roman" w:hAnsi="Times New Roman" w:cs="Times New Roman"/>
          <w:b w:val="0"/>
          <w:bCs w:val="0"/>
          <w:noProof/>
          <w:sz w:val="24"/>
          <w:szCs w:val="24"/>
        </w:rPr>
        <w:br w:type="page"/>
      </w:r>
    </w:p>
    <w:tbl>
      <w:tblPr>
        <w:tblW w:w="9298" w:type="dxa"/>
        <w:tblInd w:w="-106" w:type="dxa"/>
        <w:tblLook w:val="0000"/>
      </w:tblPr>
      <w:tblGrid>
        <w:gridCol w:w="1310"/>
        <w:gridCol w:w="7988"/>
      </w:tblGrid>
      <w:tr w:rsidR="007A775F">
        <w:trPr>
          <w:trHeight w:val="320"/>
        </w:trPr>
        <w:tc>
          <w:tcPr>
            <w:tcW w:w="1310" w:type="dxa"/>
            <w:tcBorders>
              <w:top w:val="nil"/>
              <w:left w:val="nil"/>
              <w:bottom w:val="single" w:sz="8" w:space="0" w:color="auto"/>
              <w:right w:val="nil"/>
            </w:tcBorders>
            <w:noWrap/>
          </w:tcPr>
          <w:p w:rsidR="007A775F" w:rsidRDefault="007A775F">
            <w:pPr>
              <w:rPr>
                <w:rFonts w:ascii="Calibri" w:hAnsi="Calibri" w:cs="Calibri"/>
              </w:rPr>
            </w:pPr>
            <w:r>
              <w:rPr>
                <w:rFonts w:ascii="Calibri" w:hAnsi="Calibri" w:cs="Calibri"/>
              </w:rPr>
              <w:t xml:space="preserve">Class </w:t>
            </w:r>
          </w:p>
        </w:tc>
        <w:tc>
          <w:tcPr>
            <w:tcW w:w="7988" w:type="dxa"/>
            <w:tcBorders>
              <w:top w:val="nil"/>
              <w:left w:val="nil"/>
              <w:bottom w:val="single" w:sz="8" w:space="0" w:color="auto"/>
              <w:right w:val="nil"/>
            </w:tcBorders>
            <w:noWrap/>
          </w:tcPr>
          <w:p w:rsidR="007A775F" w:rsidRDefault="007A775F">
            <w:pPr>
              <w:rPr>
                <w:rFonts w:ascii="Calibri" w:hAnsi="Calibri" w:cs="Calibri"/>
              </w:rPr>
            </w:pPr>
            <w:r>
              <w:rPr>
                <w:rFonts w:ascii="Calibri" w:hAnsi="Calibri" w:cs="Calibri"/>
              </w:rPr>
              <w:t>Definitions for stage of HIV-1 infection</w:t>
            </w:r>
          </w:p>
        </w:tc>
      </w:tr>
      <w:tr w:rsidR="007A775F">
        <w:trPr>
          <w:trHeight w:val="1200"/>
        </w:trPr>
        <w:tc>
          <w:tcPr>
            <w:tcW w:w="1310" w:type="dxa"/>
            <w:tcBorders>
              <w:top w:val="nil"/>
              <w:left w:val="nil"/>
              <w:bottom w:val="nil"/>
              <w:right w:val="nil"/>
            </w:tcBorders>
            <w:noWrap/>
          </w:tcPr>
          <w:p w:rsidR="007A775F" w:rsidRDefault="007A775F">
            <w:pPr>
              <w:rPr>
                <w:rFonts w:ascii="Calibri" w:hAnsi="Calibri" w:cs="Calibri"/>
                <w:b w:val="0"/>
                <w:bCs w:val="0"/>
              </w:rPr>
            </w:pPr>
            <w:r>
              <w:rPr>
                <w:rFonts w:ascii="Calibri" w:hAnsi="Calibri" w:cs="Calibri"/>
                <w:b w:val="0"/>
                <w:bCs w:val="0"/>
              </w:rPr>
              <w:t>A1.0</w:t>
            </w:r>
          </w:p>
        </w:tc>
        <w:tc>
          <w:tcPr>
            <w:tcW w:w="7988" w:type="dxa"/>
            <w:tcBorders>
              <w:top w:val="nil"/>
              <w:left w:val="nil"/>
              <w:bottom w:val="nil"/>
              <w:right w:val="nil"/>
            </w:tcBorders>
          </w:tcPr>
          <w:p w:rsidR="007A775F" w:rsidRDefault="007A775F">
            <w:pPr>
              <w:rPr>
                <w:rFonts w:ascii="Calibri" w:hAnsi="Calibri" w:cs="Calibri"/>
                <w:b w:val="0"/>
                <w:bCs w:val="0"/>
              </w:rPr>
            </w:pPr>
            <w:r>
              <w:rPr>
                <w:rFonts w:ascii="Calibri" w:hAnsi="Calibri" w:cs="Calibri"/>
                <w:b w:val="0"/>
                <w:bCs w:val="0"/>
              </w:rPr>
              <w:t>If there is a first positive RNA† and negative enzyme immunoassay (EIA) within 7 days of the first positive RNA, and no prior within 7 days of the first positive RNA, and no prior positive/indeterminate western blot (WB), then EDI = first positive RNA date − 11 days. (~Fiebig Stages I-II)</w:t>
            </w:r>
          </w:p>
        </w:tc>
      </w:tr>
      <w:tr w:rsidR="007A775F">
        <w:trPr>
          <w:trHeight w:val="600"/>
        </w:trPr>
        <w:tc>
          <w:tcPr>
            <w:tcW w:w="1310" w:type="dxa"/>
            <w:tcBorders>
              <w:top w:val="nil"/>
              <w:left w:val="nil"/>
              <w:bottom w:val="nil"/>
              <w:right w:val="nil"/>
            </w:tcBorders>
            <w:noWrap/>
          </w:tcPr>
          <w:p w:rsidR="007A775F" w:rsidRDefault="007A775F">
            <w:pPr>
              <w:rPr>
                <w:rFonts w:ascii="Calibri" w:hAnsi="Calibri" w:cs="Calibri"/>
                <w:b w:val="0"/>
                <w:bCs w:val="0"/>
              </w:rPr>
            </w:pPr>
            <w:r>
              <w:rPr>
                <w:rFonts w:ascii="Calibri" w:hAnsi="Calibri" w:cs="Calibri"/>
                <w:b w:val="0"/>
                <w:bCs w:val="0"/>
              </w:rPr>
              <w:t>A2.0</w:t>
            </w:r>
          </w:p>
        </w:tc>
        <w:tc>
          <w:tcPr>
            <w:tcW w:w="7988" w:type="dxa"/>
            <w:tcBorders>
              <w:top w:val="nil"/>
              <w:left w:val="nil"/>
              <w:bottom w:val="nil"/>
              <w:right w:val="nil"/>
            </w:tcBorders>
          </w:tcPr>
          <w:p w:rsidR="007A775F" w:rsidRDefault="007A775F">
            <w:pPr>
              <w:rPr>
                <w:rFonts w:ascii="Calibri" w:hAnsi="Calibri" w:cs="Calibri"/>
                <w:b w:val="0"/>
                <w:bCs w:val="0"/>
              </w:rPr>
            </w:pPr>
            <w:r>
              <w:rPr>
                <w:rFonts w:ascii="Calibri" w:hAnsi="Calibri" w:cs="Calibri"/>
                <w:b w:val="0"/>
                <w:bCs w:val="0"/>
              </w:rPr>
              <w:t>If there is an indeterminate WB within 7 days of the first positive RNA, then EDI = first positive RNA date − 20 days. (~Fiebig Stages III-IV)</w:t>
            </w:r>
          </w:p>
        </w:tc>
      </w:tr>
      <w:tr w:rsidR="007A775F">
        <w:trPr>
          <w:trHeight w:val="1300"/>
        </w:trPr>
        <w:tc>
          <w:tcPr>
            <w:tcW w:w="1310" w:type="dxa"/>
            <w:tcBorders>
              <w:top w:val="nil"/>
              <w:left w:val="nil"/>
              <w:bottom w:val="nil"/>
              <w:right w:val="nil"/>
            </w:tcBorders>
            <w:noWrap/>
          </w:tcPr>
          <w:p w:rsidR="007A775F" w:rsidRDefault="007A775F">
            <w:pPr>
              <w:rPr>
                <w:rFonts w:ascii="Calibri" w:hAnsi="Calibri" w:cs="Calibri"/>
                <w:b w:val="0"/>
                <w:bCs w:val="0"/>
              </w:rPr>
            </w:pPr>
            <w:r>
              <w:rPr>
                <w:rFonts w:ascii="Calibri" w:hAnsi="Calibri" w:cs="Calibri"/>
                <w:b w:val="0"/>
                <w:bCs w:val="0"/>
              </w:rPr>
              <w:t>A3.0</w:t>
            </w:r>
          </w:p>
        </w:tc>
        <w:tc>
          <w:tcPr>
            <w:tcW w:w="7988" w:type="dxa"/>
            <w:tcBorders>
              <w:top w:val="nil"/>
              <w:left w:val="nil"/>
              <w:bottom w:val="nil"/>
              <w:right w:val="nil"/>
            </w:tcBorders>
          </w:tcPr>
          <w:p w:rsidR="007A775F" w:rsidRDefault="007A775F">
            <w:pPr>
              <w:rPr>
                <w:rFonts w:ascii="Calibri" w:hAnsi="Calibri" w:cs="Calibri"/>
                <w:b w:val="0"/>
                <w:bCs w:val="0"/>
              </w:rPr>
            </w:pPr>
            <w:r>
              <w:rPr>
                <w:rFonts w:ascii="Calibri" w:hAnsi="Calibri" w:cs="Calibri"/>
                <w:b w:val="0"/>
                <w:bCs w:val="0"/>
              </w:rPr>
              <w:t>If the last negative EIA or negative/indeterminate WB occurred ≤ 30 days before the first positive WB (with associated positive RNA), then EDI = midpoint of the positive WB date and the negative EIA or negative/indeterminate WB date (earlier of two) − 19 days. (~Fiebig Stage IV)</w:t>
            </w:r>
          </w:p>
        </w:tc>
      </w:tr>
      <w:tr w:rsidR="007A775F">
        <w:trPr>
          <w:trHeight w:val="600"/>
        </w:trPr>
        <w:tc>
          <w:tcPr>
            <w:tcW w:w="1310" w:type="dxa"/>
            <w:tcBorders>
              <w:top w:val="nil"/>
              <w:left w:val="nil"/>
              <w:bottom w:val="nil"/>
              <w:right w:val="nil"/>
            </w:tcBorders>
            <w:noWrap/>
          </w:tcPr>
          <w:p w:rsidR="007A775F" w:rsidRDefault="007A775F">
            <w:pPr>
              <w:rPr>
                <w:rFonts w:ascii="Calibri" w:hAnsi="Calibri" w:cs="Calibri"/>
                <w:b w:val="0"/>
                <w:bCs w:val="0"/>
              </w:rPr>
            </w:pPr>
            <w:r>
              <w:rPr>
                <w:rFonts w:ascii="Calibri" w:hAnsi="Calibri" w:cs="Calibri"/>
                <w:b w:val="0"/>
                <w:bCs w:val="0"/>
              </w:rPr>
              <w:t>A3.1</w:t>
            </w:r>
          </w:p>
        </w:tc>
        <w:tc>
          <w:tcPr>
            <w:tcW w:w="7988" w:type="dxa"/>
            <w:tcBorders>
              <w:top w:val="nil"/>
              <w:left w:val="nil"/>
              <w:bottom w:val="nil"/>
              <w:right w:val="nil"/>
            </w:tcBorders>
          </w:tcPr>
          <w:p w:rsidR="007A775F" w:rsidRDefault="007A775F">
            <w:pPr>
              <w:rPr>
                <w:rFonts w:ascii="Calibri" w:hAnsi="Calibri" w:cs="Calibri"/>
                <w:b w:val="0"/>
                <w:bCs w:val="0"/>
              </w:rPr>
            </w:pPr>
            <w:r>
              <w:rPr>
                <w:rFonts w:ascii="Calibri" w:hAnsi="Calibri" w:cs="Calibri"/>
                <w:b w:val="0"/>
                <w:bCs w:val="0"/>
              </w:rPr>
              <w:t>If the first positive WB p31/32 band is absent, then EDI = first positive</w:t>
            </w:r>
            <w:r>
              <w:rPr>
                <w:rFonts w:ascii="Calibri" w:hAnsi="Calibri" w:cs="Calibri"/>
                <w:b w:val="0"/>
                <w:bCs w:val="0"/>
              </w:rPr>
              <w:br/>
              <w:t>WB date − 89 days. (~Fiebig Stage V)</w:t>
            </w:r>
          </w:p>
        </w:tc>
      </w:tr>
      <w:tr w:rsidR="007A775F">
        <w:trPr>
          <w:trHeight w:val="960"/>
        </w:trPr>
        <w:tc>
          <w:tcPr>
            <w:tcW w:w="1310" w:type="dxa"/>
            <w:tcBorders>
              <w:top w:val="nil"/>
              <w:left w:val="nil"/>
              <w:bottom w:val="nil"/>
              <w:right w:val="nil"/>
            </w:tcBorders>
            <w:noWrap/>
          </w:tcPr>
          <w:p w:rsidR="007A775F" w:rsidRDefault="007A775F">
            <w:pPr>
              <w:rPr>
                <w:rFonts w:ascii="Calibri" w:hAnsi="Calibri" w:cs="Calibri"/>
                <w:b w:val="0"/>
                <w:bCs w:val="0"/>
              </w:rPr>
            </w:pPr>
            <w:r>
              <w:rPr>
                <w:rFonts w:ascii="Calibri" w:hAnsi="Calibri" w:cs="Calibri"/>
                <w:b w:val="0"/>
                <w:bCs w:val="0"/>
              </w:rPr>
              <w:t>E1.0A</w:t>
            </w:r>
          </w:p>
        </w:tc>
        <w:tc>
          <w:tcPr>
            <w:tcW w:w="7988" w:type="dxa"/>
            <w:tcBorders>
              <w:top w:val="nil"/>
              <w:left w:val="nil"/>
              <w:bottom w:val="nil"/>
              <w:right w:val="nil"/>
            </w:tcBorders>
          </w:tcPr>
          <w:p w:rsidR="007A775F" w:rsidRDefault="007A775F">
            <w:pPr>
              <w:rPr>
                <w:rFonts w:ascii="Calibri" w:hAnsi="Calibri" w:cs="Calibri"/>
                <w:b w:val="0"/>
                <w:bCs w:val="0"/>
              </w:rPr>
            </w:pPr>
            <w:r>
              <w:rPr>
                <w:rFonts w:ascii="Calibri" w:hAnsi="Calibri" w:cs="Calibri"/>
                <w:b w:val="0"/>
                <w:bCs w:val="0"/>
              </w:rPr>
              <w:t>If there is a detuned EIA (dtEIA) consistent with infection of  ~3 mo within 30 days of the first positive WB and CD4 count &gt; 200 or CD4% &gt; 14 within 30 days of the first positive WB, then EDI = first dtEIA date − 70 days. (Fiebig VI)</w:t>
            </w:r>
          </w:p>
        </w:tc>
      </w:tr>
      <w:tr w:rsidR="007A775F">
        <w:trPr>
          <w:trHeight w:val="900"/>
        </w:trPr>
        <w:tc>
          <w:tcPr>
            <w:tcW w:w="1310" w:type="dxa"/>
            <w:tcBorders>
              <w:top w:val="nil"/>
              <w:left w:val="nil"/>
              <w:bottom w:val="nil"/>
              <w:right w:val="nil"/>
            </w:tcBorders>
            <w:noWrap/>
          </w:tcPr>
          <w:p w:rsidR="007A775F" w:rsidRDefault="007A775F">
            <w:pPr>
              <w:rPr>
                <w:rFonts w:ascii="Calibri" w:hAnsi="Calibri" w:cs="Calibri"/>
                <w:b w:val="0"/>
                <w:bCs w:val="0"/>
              </w:rPr>
            </w:pPr>
            <w:r>
              <w:rPr>
                <w:rFonts w:ascii="Calibri" w:hAnsi="Calibri" w:cs="Calibri"/>
                <w:b w:val="0"/>
                <w:bCs w:val="0"/>
              </w:rPr>
              <w:t>E1.0B</w:t>
            </w:r>
          </w:p>
        </w:tc>
        <w:tc>
          <w:tcPr>
            <w:tcW w:w="7988" w:type="dxa"/>
            <w:tcBorders>
              <w:top w:val="nil"/>
              <w:left w:val="nil"/>
              <w:bottom w:val="nil"/>
              <w:right w:val="nil"/>
            </w:tcBorders>
          </w:tcPr>
          <w:p w:rsidR="007A775F" w:rsidRDefault="007A775F">
            <w:pPr>
              <w:rPr>
                <w:rFonts w:ascii="Calibri" w:hAnsi="Calibri" w:cs="Calibri"/>
                <w:b w:val="0"/>
                <w:bCs w:val="0"/>
              </w:rPr>
            </w:pPr>
            <w:r>
              <w:rPr>
                <w:rFonts w:ascii="Calibri" w:hAnsi="Calibri" w:cs="Calibri"/>
                <w:b w:val="0"/>
                <w:bCs w:val="0"/>
              </w:rPr>
              <w:t>If there is a dtEIA consistent with infection of ~3-6 mo within 30 days of</w:t>
            </w:r>
            <w:r>
              <w:rPr>
                <w:rFonts w:ascii="Calibri" w:hAnsi="Calibri" w:cs="Calibri"/>
                <w:b w:val="0"/>
                <w:bCs w:val="0"/>
              </w:rPr>
              <w:br/>
              <w:t>the first positive WB and CD4 count &gt; 200 or CD4% &gt; 14), then EDI =</w:t>
            </w:r>
            <w:r>
              <w:rPr>
                <w:rFonts w:ascii="Calibri" w:hAnsi="Calibri" w:cs="Calibri"/>
                <w:b w:val="0"/>
                <w:bCs w:val="0"/>
              </w:rPr>
              <w:br/>
              <w:t>first dtEIA date − 133 days. (Fiebig VI)</w:t>
            </w:r>
          </w:p>
        </w:tc>
      </w:tr>
      <w:tr w:rsidR="007A775F">
        <w:trPr>
          <w:trHeight w:val="900"/>
        </w:trPr>
        <w:tc>
          <w:tcPr>
            <w:tcW w:w="1310" w:type="dxa"/>
            <w:tcBorders>
              <w:top w:val="nil"/>
              <w:left w:val="nil"/>
              <w:bottom w:val="nil"/>
              <w:right w:val="nil"/>
            </w:tcBorders>
            <w:noWrap/>
          </w:tcPr>
          <w:p w:rsidR="007A775F" w:rsidRDefault="007A775F">
            <w:pPr>
              <w:rPr>
                <w:rFonts w:ascii="Calibri" w:hAnsi="Calibri" w:cs="Calibri"/>
                <w:b w:val="0"/>
                <w:bCs w:val="0"/>
              </w:rPr>
            </w:pPr>
            <w:r>
              <w:rPr>
                <w:rFonts w:ascii="Calibri" w:hAnsi="Calibri" w:cs="Calibri"/>
                <w:b w:val="0"/>
                <w:bCs w:val="0"/>
              </w:rPr>
              <w:t>E1.0C</w:t>
            </w:r>
          </w:p>
        </w:tc>
        <w:tc>
          <w:tcPr>
            <w:tcW w:w="7988" w:type="dxa"/>
            <w:tcBorders>
              <w:top w:val="nil"/>
              <w:left w:val="nil"/>
              <w:bottom w:val="nil"/>
              <w:right w:val="nil"/>
            </w:tcBorders>
          </w:tcPr>
          <w:p w:rsidR="007A775F" w:rsidRDefault="007A775F">
            <w:pPr>
              <w:rPr>
                <w:rFonts w:ascii="Calibri" w:hAnsi="Calibri" w:cs="Calibri"/>
                <w:b w:val="0"/>
                <w:bCs w:val="0"/>
              </w:rPr>
            </w:pPr>
            <w:r>
              <w:rPr>
                <w:rFonts w:ascii="Calibri" w:hAnsi="Calibri" w:cs="Calibri"/>
                <w:b w:val="0"/>
                <w:bCs w:val="0"/>
              </w:rPr>
              <w:t>If there is a dtEIA consistent with infection of ~6-12 mo within 30 days</w:t>
            </w:r>
            <w:r>
              <w:rPr>
                <w:rFonts w:ascii="Calibri" w:hAnsi="Calibri" w:cs="Calibri"/>
                <w:b w:val="0"/>
                <w:bCs w:val="0"/>
              </w:rPr>
              <w:br/>
              <w:t>of the first positive WB and CD4 count &gt; 200 or CD4% &gt; 14, then EDI =</w:t>
            </w:r>
            <w:r>
              <w:rPr>
                <w:rFonts w:ascii="Calibri" w:hAnsi="Calibri" w:cs="Calibri"/>
                <w:b w:val="0"/>
                <w:bCs w:val="0"/>
              </w:rPr>
              <w:br/>
              <w:t>first dtEIA date − 170 days. (Fiebig VI)</w:t>
            </w:r>
          </w:p>
        </w:tc>
      </w:tr>
      <w:tr w:rsidR="007A775F">
        <w:trPr>
          <w:trHeight w:val="920"/>
        </w:trPr>
        <w:tc>
          <w:tcPr>
            <w:tcW w:w="1310" w:type="dxa"/>
            <w:tcBorders>
              <w:top w:val="nil"/>
              <w:left w:val="nil"/>
              <w:bottom w:val="single" w:sz="8" w:space="0" w:color="auto"/>
              <w:right w:val="nil"/>
            </w:tcBorders>
            <w:noWrap/>
          </w:tcPr>
          <w:p w:rsidR="007A775F" w:rsidRDefault="007A775F">
            <w:pPr>
              <w:rPr>
                <w:rFonts w:ascii="Calibri" w:hAnsi="Calibri" w:cs="Calibri"/>
                <w:b w:val="0"/>
                <w:bCs w:val="0"/>
              </w:rPr>
            </w:pPr>
            <w:r>
              <w:rPr>
                <w:rFonts w:ascii="Calibri" w:hAnsi="Calibri" w:cs="Calibri"/>
                <w:b w:val="0"/>
                <w:bCs w:val="0"/>
              </w:rPr>
              <w:t>E2.0</w:t>
            </w:r>
          </w:p>
        </w:tc>
        <w:tc>
          <w:tcPr>
            <w:tcW w:w="7988" w:type="dxa"/>
            <w:tcBorders>
              <w:top w:val="nil"/>
              <w:left w:val="nil"/>
              <w:bottom w:val="single" w:sz="8" w:space="0" w:color="auto"/>
              <w:right w:val="nil"/>
            </w:tcBorders>
          </w:tcPr>
          <w:p w:rsidR="007A775F" w:rsidRDefault="007A775F">
            <w:pPr>
              <w:rPr>
                <w:rFonts w:ascii="Calibri" w:hAnsi="Calibri" w:cs="Calibri"/>
                <w:b w:val="0"/>
                <w:bCs w:val="0"/>
              </w:rPr>
            </w:pPr>
            <w:r>
              <w:rPr>
                <w:rFonts w:ascii="Calibri" w:hAnsi="Calibri" w:cs="Calibri"/>
                <w:b w:val="0"/>
                <w:bCs w:val="0"/>
              </w:rPr>
              <w:t>If there is a first positive WB and a negative EIA within 365 days</w:t>
            </w:r>
            <w:r>
              <w:rPr>
                <w:rFonts w:ascii="Calibri" w:hAnsi="Calibri" w:cs="Calibri"/>
                <w:b w:val="0"/>
                <w:bCs w:val="0"/>
              </w:rPr>
              <w:br/>
              <w:t>participant enrollment (Day 0), then EDI = midpoint between the last</w:t>
            </w:r>
            <w:r>
              <w:rPr>
                <w:rFonts w:ascii="Calibri" w:hAnsi="Calibri" w:cs="Calibri"/>
                <w:b w:val="0"/>
                <w:bCs w:val="0"/>
              </w:rPr>
              <w:br/>
              <w:t>negative EIA and Day 0. (Fiebig VI)</w:t>
            </w:r>
          </w:p>
        </w:tc>
      </w:tr>
    </w:tbl>
    <w:p w:rsidR="007A775F" w:rsidRDefault="007A775F">
      <w:pPr>
        <w:rPr>
          <w:rFonts w:ascii="Calibri" w:hAnsi="Calibri" w:cs="Calibri"/>
          <w:b w:val="0"/>
          <w:bCs w:val="0"/>
        </w:rPr>
        <w:sectPr w:rsidR="007A775F">
          <w:pgSz w:w="12240" w:h="15840"/>
          <w:pgMar w:top="1440" w:right="1440" w:bottom="1440" w:left="1440" w:header="720" w:footer="720" w:gutter="0"/>
          <w:cols w:space="720"/>
          <w:docGrid w:linePitch="360"/>
        </w:sectPr>
      </w:pPr>
    </w:p>
    <w:tbl>
      <w:tblPr>
        <w:tblW w:w="27716" w:type="dxa"/>
        <w:tblInd w:w="-106" w:type="dxa"/>
        <w:tblLayout w:type="fixed"/>
        <w:tblLook w:val="0000"/>
      </w:tblPr>
      <w:tblGrid>
        <w:gridCol w:w="9645"/>
        <w:gridCol w:w="18071"/>
      </w:tblGrid>
      <w:tr w:rsidR="007A775F">
        <w:trPr>
          <w:trHeight w:val="1080"/>
        </w:trPr>
        <w:tc>
          <w:tcPr>
            <w:tcW w:w="9645" w:type="dxa"/>
            <w:tcBorders>
              <w:top w:val="nil"/>
              <w:left w:val="nil"/>
              <w:bottom w:val="nil"/>
              <w:right w:val="nil"/>
            </w:tcBorders>
            <w:noWrap/>
          </w:tcPr>
          <w:p w:rsidR="007A775F" w:rsidRDefault="007A775F">
            <w:pPr>
              <w:tabs>
                <w:tab w:val="left" w:pos="2337"/>
              </w:tabs>
              <w:ind w:right="-108"/>
              <w:rPr>
                <w:rFonts w:ascii="Times New Roman" w:hAnsi="Times New Roman" w:cs="Times New Roman"/>
                <w:b w:val="0"/>
                <w:bCs w:val="0"/>
                <w:sz w:val="24"/>
                <w:szCs w:val="24"/>
              </w:rPr>
            </w:pPr>
            <w:r>
              <w:rPr>
                <w:rFonts w:ascii="Times New Roman" w:hAnsi="Times New Roman" w:cs="Times New Roman"/>
                <w:sz w:val="24"/>
                <w:szCs w:val="24"/>
                <w:u w:val="single"/>
              </w:rPr>
              <w:t>Supplemental Table 1:</w:t>
            </w:r>
            <w:r>
              <w:rPr>
                <w:rFonts w:ascii="Times New Roman" w:hAnsi="Times New Roman" w:cs="Times New Roman"/>
                <w:sz w:val="24"/>
                <w:szCs w:val="24"/>
              </w:rPr>
              <w:t xml:space="preserve"> </w:t>
            </w:r>
            <w:r>
              <w:rPr>
                <w:rFonts w:ascii="Times New Roman" w:hAnsi="Times New Roman" w:cs="Times New Roman"/>
                <w:b w:val="0"/>
                <w:bCs w:val="0"/>
                <w:sz w:val="24"/>
                <w:szCs w:val="24"/>
              </w:rPr>
              <w:t>Brief Summary of the Algorithm for Computing the Estimated Date of HIV-1 Infection.</w:t>
            </w:r>
          </w:p>
          <w:p w:rsidR="007A775F" w:rsidRDefault="007A775F">
            <w:pPr>
              <w:tabs>
                <w:tab w:val="left" w:pos="2337"/>
              </w:tabs>
              <w:ind w:right="-108"/>
              <w:rPr>
                <w:rFonts w:ascii="Calibri" w:hAnsi="Calibri" w:cs="Calibri"/>
                <w:b w:val="0"/>
                <w:bCs w:val="0"/>
              </w:rPr>
            </w:pPr>
            <w:r>
              <w:rPr>
                <w:rFonts w:ascii="Times New Roman" w:hAnsi="Times New Roman" w:cs="Times New Roman"/>
                <w:b w:val="0"/>
                <w:bCs w:val="0"/>
                <w:sz w:val="24"/>
                <w:szCs w:val="24"/>
              </w:rPr>
              <w:t>Each rule applied sequentially until EDI criteria satisfied.</w:t>
            </w:r>
            <w:r>
              <w:rPr>
                <w:rFonts w:ascii="Times New Roman" w:hAnsi="Times New Roman" w:cs="Times New Roman"/>
                <w:b w:val="0"/>
                <w:bCs w:val="0"/>
                <w:sz w:val="24"/>
                <w:szCs w:val="24"/>
              </w:rPr>
              <w:br/>
              <w:t>† Positive RNA was defined as a NAT/viral load exceeding the detectable level for a given assay.</w:t>
            </w:r>
          </w:p>
        </w:tc>
        <w:tc>
          <w:tcPr>
            <w:tcW w:w="18071" w:type="dxa"/>
            <w:tcBorders>
              <w:top w:val="nil"/>
              <w:left w:val="nil"/>
              <w:bottom w:val="nil"/>
              <w:right w:val="nil"/>
            </w:tcBorders>
          </w:tcPr>
          <w:p w:rsidR="007A775F" w:rsidRDefault="007A775F">
            <w:pPr>
              <w:rPr>
                <w:rFonts w:ascii="Calibri" w:hAnsi="Calibri" w:cs="Calibri"/>
              </w:rPr>
            </w:pPr>
          </w:p>
        </w:tc>
      </w:tr>
    </w:tbl>
    <w:p w:rsidR="007A775F" w:rsidRDefault="007A775F">
      <w:pPr>
        <w:rPr>
          <w:rFonts w:ascii="Times New Roman" w:hAnsi="Times New Roman" w:cs="Times New Roman"/>
        </w:rPr>
        <w:sectPr w:rsidR="007A775F">
          <w:type w:val="continuous"/>
          <w:pgSz w:w="12240" w:h="15840"/>
          <w:pgMar w:top="1440" w:right="1440" w:bottom="1440" w:left="1440" w:header="720" w:footer="720" w:gutter="0"/>
          <w:cols w:space="720"/>
          <w:docGrid w:linePitch="360"/>
        </w:sectPr>
      </w:pPr>
    </w:p>
    <w:p w:rsidR="007A775F" w:rsidRDefault="007A775F">
      <w:pPr>
        <w:rPr>
          <w:rFonts w:ascii="Times New Roman" w:eastAsia="MS ??" w:hAnsi="Times New Roman"/>
          <w:b w:val="0"/>
          <w:bCs w:val="0"/>
          <w:sz w:val="24"/>
          <w:szCs w:val="24"/>
        </w:rPr>
      </w:pPr>
    </w:p>
    <w:tbl>
      <w:tblPr>
        <w:tblW w:w="8661" w:type="dxa"/>
        <w:tblInd w:w="-106" w:type="dxa"/>
        <w:tblLayout w:type="fixed"/>
        <w:tblLook w:val="0000"/>
      </w:tblPr>
      <w:tblGrid>
        <w:gridCol w:w="82"/>
        <w:gridCol w:w="1226"/>
        <w:gridCol w:w="1758"/>
        <w:gridCol w:w="1848"/>
        <w:gridCol w:w="1758"/>
        <w:gridCol w:w="109"/>
        <w:gridCol w:w="1615"/>
        <w:gridCol w:w="265"/>
      </w:tblGrid>
      <w:tr w:rsidR="007A775F">
        <w:trPr>
          <w:gridAfter w:val="1"/>
          <w:wAfter w:w="265" w:type="dxa"/>
          <w:trHeight w:val="302"/>
        </w:trPr>
        <w:tc>
          <w:tcPr>
            <w:tcW w:w="1308" w:type="dxa"/>
            <w:gridSpan w:val="2"/>
            <w:tcBorders>
              <w:top w:val="nil"/>
              <w:left w:val="nil"/>
              <w:bottom w:val="nil"/>
              <w:right w:val="nil"/>
            </w:tcBorders>
            <w:noWrap/>
            <w:vAlign w:val="bottom"/>
          </w:tcPr>
          <w:p w:rsidR="007A775F" w:rsidRDefault="007A775F">
            <w:pPr>
              <w:jc w:val="center"/>
              <w:rPr>
                <w:rFonts w:ascii="Calibri" w:hAnsi="Calibri" w:cs="Calibri"/>
                <w:sz w:val="20"/>
                <w:szCs w:val="20"/>
              </w:rPr>
            </w:pPr>
          </w:p>
        </w:tc>
        <w:tc>
          <w:tcPr>
            <w:tcW w:w="1758" w:type="dxa"/>
            <w:tcBorders>
              <w:top w:val="nil"/>
              <w:left w:val="nil"/>
              <w:bottom w:val="nil"/>
              <w:right w:val="nil"/>
            </w:tcBorders>
            <w:noWrap/>
            <w:vAlign w:val="bottom"/>
          </w:tcPr>
          <w:p w:rsidR="007A775F" w:rsidRDefault="007A775F">
            <w:pPr>
              <w:jc w:val="center"/>
              <w:rPr>
                <w:rFonts w:ascii="Calibri" w:hAnsi="Calibri" w:cs="Calibri"/>
                <w:sz w:val="20"/>
                <w:szCs w:val="20"/>
              </w:rPr>
            </w:pPr>
            <w:r>
              <w:rPr>
                <w:rFonts w:ascii="Calibri" w:hAnsi="Calibri" w:cs="Calibri"/>
                <w:sz w:val="20"/>
                <w:szCs w:val="20"/>
              </w:rPr>
              <w:t>HIV- (controls)</w:t>
            </w:r>
          </w:p>
        </w:tc>
        <w:tc>
          <w:tcPr>
            <w:tcW w:w="1848" w:type="dxa"/>
            <w:tcBorders>
              <w:top w:val="nil"/>
              <w:left w:val="nil"/>
              <w:bottom w:val="nil"/>
              <w:right w:val="nil"/>
            </w:tcBorders>
            <w:noWrap/>
            <w:vAlign w:val="bottom"/>
          </w:tcPr>
          <w:p w:rsidR="007A775F" w:rsidRDefault="007A775F">
            <w:pPr>
              <w:jc w:val="center"/>
              <w:rPr>
                <w:rFonts w:ascii="Calibri" w:hAnsi="Calibri" w:cs="Calibri"/>
                <w:sz w:val="20"/>
                <w:szCs w:val="20"/>
              </w:rPr>
            </w:pPr>
            <w:r>
              <w:rPr>
                <w:rFonts w:ascii="Calibri" w:hAnsi="Calibri" w:cs="Calibri"/>
                <w:sz w:val="20"/>
                <w:szCs w:val="20"/>
              </w:rPr>
              <w:t>Early HIV+ART-</w:t>
            </w:r>
          </w:p>
        </w:tc>
        <w:tc>
          <w:tcPr>
            <w:tcW w:w="1758" w:type="dxa"/>
            <w:tcBorders>
              <w:top w:val="nil"/>
              <w:left w:val="nil"/>
              <w:bottom w:val="nil"/>
              <w:right w:val="nil"/>
            </w:tcBorders>
            <w:noWrap/>
            <w:vAlign w:val="bottom"/>
          </w:tcPr>
          <w:p w:rsidR="007A775F" w:rsidRDefault="007A775F">
            <w:pPr>
              <w:jc w:val="center"/>
              <w:rPr>
                <w:rFonts w:ascii="Calibri" w:hAnsi="Calibri" w:cs="Calibri"/>
                <w:sz w:val="20"/>
                <w:szCs w:val="20"/>
              </w:rPr>
            </w:pPr>
            <w:r>
              <w:rPr>
                <w:rFonts w:ascii="Calibri" w:hAnsi="Calibri" w:cs="Calibri"/>
                <w:sz w:val="20"/>
                <w:szCs w:val="20"/>
              </w:rPr>
              <w:t>Late HIV+ART-</w:t>
            </w:r>
          </w:p>
        </w:tc>
        <w:tc>
          <w:tcPr>
            <w:tcW w:w="1724" w:type="dxa"/>
            <w:gridSpan w:val="2"/>
            <w:tcBorders>
              <w:top w:val="nil"/>
              <w:left w:val="nil"/>
              <w:bottom w:val="nil"/>
              <w:right w:val="nil"/>
            </w:tcBorders>
            <w:noWrap/>
            <w:vAlign w:val="bottom"/>
          </w:tcPr>
          <w:p w:rsidR="007A775F" w:rsidRDefault="007A775F">
            <w:pPr>
              <w:tabs>
                <w:tab w:val="left" w:pos="195"/>
              </w:tabs>
              <w:ind w:left="105"/>
              <w:jc w:val="center"/>
              <w:rPr>
                <w:rFonts w:ascii="Calibri" w:hAnsi="Calibri" w:cs="Calibri"/>
                <w:sz w:val="20"/>
                <w:szCs w:val="20"/>
              </w:rPr>
            </w:pPr>
            <w:r>
              <w:rPr>
                <w:rFonts w:ascii="Calibri" w:hAnsi="Calibri" w:cs="Calibri"/>
                <w:sz w:val="20"/>
                <w:szCs w:val="20"/>
              </w:rPr>
              <w:t>Late HIV+ART+</w:t>
            </w:r>
          </w:p>
        </w:tc>
      </w:tr>
      <w:tr w:rsidR="007A775F">
        <w:trPr>
          <w:gridBefore w:val="1"/>
          <w:gridAfter w:val="1"/>
          <w:wBefore w:w="82" w:type="dxa"/>
          <w:wAfter w:w="265"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sz w:val="20"/>
                <w:szCs w:val="20"/>
              </w:rPr>
            </w:pPr>
          </w:p>
        </w:tc>
        <w:tc>
          <w:tcPr>
            <w:tcW w:w="175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(N=40)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(N=42)</w:t>
            </w:r>
          </w:p>
        </w:tc>
        <w:tc>
          <w:tcPr>
            <w:tcW w:w="1758" w:type="dxa"/>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(N=74)</w:t>
            </w:r>
          </w:p>
        </w:tc>
        <w:tc>
          <w:tcPr>
            <w:tcW w:w="1724" w:type="dxa"/>
            <w:gridSpan w:val="2"/>
            <w:tcBorders>
              <w:top w:val="nil"/>
              <w:left w:val="nil"/>
              <w:bottom w:val="nil"/>
              <w:right w:val="nil"/>
            </w:tcBorders>
            <w:noWrap/>
            <w:vAlign w:val="bottom"/>
          </w:tcPr>
          <w:p w:rsidR="007A775F" w:rsidRDefault="007A775F">
            <w:pPr>
              <w:ind w:left="195"/>
              <w:jc w:val="center"/>
              <w:rPr>
                <w:rFonts w:ascii="Calibri" w:hAnsi="Calibri" w:cs="Calibri"/>
                <w:b w:val="0"/>
                <w:bCs w:val="0"/>
                <w:sz w:val="20"/>
                <w:szCs w:val="20"/>
              </w:rPr>
            </w:pPr>
            <w:r>
              <w:rPr>
                <w:rFonts w:ascii="Calibri" w:hAnsi="Calibri" w:cs="Calibri"/>
                <w:b w:val="0"/>
                <w:bCs w:val="0"/>
                <w:sz w:val="20"/>
                <w:szCs w:val="20"/>
              </w:rPr>
              <w:t>(N=96)</w:t>
            </w:r>
          </w:p>
        </w:tc>
      </w:tr>
      <w:tr w:rsidR="007A775F">
        <w:trPr>
          <w:gridBefore w:val="1"/>
          <w:wBefore w:w="82" w:type="dxa"/>
          <w:trHeight w:val="302"/>
        </w:trPr>
        <w:tc>
          <w:tcPr>
            <w:tcW w:w="8579" w:type="dxa"/>
            <w:gridSpan w:val="7"/>
            <w:tcBorders>
              <w:top w:val="single" w:sz="4" w:space="0" w:color="auto"/>
              <w:left w:val="nil"/>
              <w:bottom w:val="nil"/>
              <w:right w:val="nil"/>
            </w:tcBorders>
            <w:noWrap/>
            <w:vAlign w:val="bottom"/>
          </w:tcPr>
          <w:p w:rsidR="007A775F" w:rsidRDefault="007A775F">
            <w:pPr>
              <w:rPr>
                <w:rFonts w:ascii="Calibri" w:hAnsi="Calibri" w:cs="Calibri"/>
                <w:sz w:val="20"/>
                <w:szCs w:val="20"/>
              </w:rPr>
            </w:pPr>
            <w:r>
              <w:rPr>
                <w:rFonts w:ascii="Times New Roman" w:hAnsi="Times New Roman" w:cs="Times New Roman"/>
              </w:rPr>
              <w:t xml:space="preserve">  </w:t>
            </w:r>
            <w:r>
              <w:rPr>
                <w:rFonts w:ascii="Calibri" w:hAnsi="Calibri" w:cs="Calibri"/>
              </w:rPr>
              <w:t>Mediators of Innate Immunity and Inflammation</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IL-1α</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0.50 (0.50-0.56)</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0.50 (0.50-1.13)</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0.50 (0.50-0.50)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0.50 (0.50-0.50)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IL-1β</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0.60 (0.50-1.94)</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1.14 (0.60-2.05)</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0.88 (0.50-2.10)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0.50 (0.50-0.80)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IL-6</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1.30 (1.30-7.41)</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1.30 (1.30-1.30)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1.30 (1.30-1.30)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1.30 (1.30-1.30)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IL-17</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2.00 (2.00-2.00)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2.00 (2.00-2.00)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(2.00-2.00)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(2.00-2.00)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IL-18</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9.80 (9.80-9.80)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47.9 (15.7-81.2)</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45.1 (15.7-82.7)</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22.0 (9.8-65.6)</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IL-22</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2.00 (2.00-2.00)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2.00 (2.00-2.00)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(2.00-2.00)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(2.00-2.00)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IL-33</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2.60 (2.60-2.60)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2.60 (2.60-2.60)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2.60 (2.60-2.60)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2.60 (2.60-2.60)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 xml:space="preserve">IL-8 </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0.66 (0.50-1.28)</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0.73 (0.50-1.20)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0.69 (0.50-0.1.24)</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0.50 (0.50-0.50)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MIG</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47.7 (33.2-66.0)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429.4 (150.2-606.2)</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180.5 (113.7-328.8)</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93.6 (61.6-191.2)</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IP-10</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6.42 (2.60-24.83)</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150.6(75.2-229.1)</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108.2 (69.0-204.6)</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103.7 (66.4-184.0)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I-TAC</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2.50 (2.50-2.50)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23.2 (12.1-51.6)</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21.2 (8.1-45.0)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18.9 (9.3-41.0)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TNF-α</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0.50 (0.50-0.50)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2.02 (0.67-3.91)</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1.03 (0.50-3.54)</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1.40 (0.80-2.45)</w:t>
            </w:r>
          </w:p>
        </w:tc>
      </w:tr>
      <w:tr w:rsidR="007A775F">
        <w:trPr>
          <w:gridBefore w:val="1"/>
          <w:wBefore w:w="82" w:type="dxa"/>
          <w:trHeight w:val="302"/>
        </w:trPr>
        <w:tc>
          <w:tcPr>
            <w:tcW w:w="1226" w:type="dxa"/>
            <w:tcBorders>
              <w:top w:val="nil"/>
              <w:left w:val="nil"/>
              <w:bottom w:val="single" w:sz="4" w:space="0" w:color="auto"/>
              <w:right w:val="nil"/>
            </w:tcBorders>
            <w:noWrap/>
            <w:vAlign w:val="bottom"/>
          </w:tcPr>
          <w:p w:rsidR="007A775F" w:rsidRDefault="007A775F">
            <w:pPr>
              <w:ind w:left="134" w:right="-60"/>
              <w:rPr>
                <w:rFonts w:ascii="Calibri" w:hAnsi="Calibri" w:cs="Calibri"/>
                <w:b w:val="0"/>
                <w:bCs w:val="0"/>
                <w:sz w:val="20"/>
                <w:szCs w:val="20"/>
              </w:rPr>
            </w:pPr>
            <w:r>
              <w:rPr>
                <w:rFonts w:ascii="Calibri" w:hAnsi="Calibri" w:cs="Calibri"/>
                <w:b w:val="0"/>
                <w:bCs w:val="0"/>
                <w:sz w:val="20"/>
                <w:szCs w:val="20"/>
              </w:rPr>
              <w:t>Lactoferrin</w:t>
            </w:r>
          </w:p>
        </w:tc>
        <w:tc>
          <w:tcPr>
            <w:tcW w:w="1758" w:type="dxa"/>
            <w:tcBorders>
              <w:top w:val="nil"/>
              <w:left w:val="nil"/>
              <w:bottom w:val="single" w:sz="4" w:space="0" w:color="auto"/>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220.1 (220.1-727.8)</w:t>
            </w:r>
          </w:p>
        </w:tc>
        <w:tc>
          <w:tcPr>
            <w:tcW w:w="1848" w:type="dxa"/>
            <w:tcBorders>
              <w:top w:val="nil"/>
              <w:left w:val="nil"/>
              <w:bottom w:val="single" w:sz="4" w:space="0" w:color="auto"/>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535.5 (65.5-2050)</w:t>
            </w:r>
          </w:p>
        </w:tc>
        <w:tc>
          <w:tcPr>
            <w:tcW w:w="1867"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297.2 (65.5-1477)</w:t>
            </w:r>
          </w:p>
        </w:tc>
        <w:tc>
          <w:tcPr>
            <w:tcW w:w="1880"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65.5 (65.5-65.5)</w:t>
            </w:r>
          </w:p>
        </w:tc>
      </w:tr>
      <w:tr w:rsidR="007A775F">
        <w:trPr>
          <w:gridBefore w:val="1"/>
          <w:wBefore w:w="82" w:type="dxa"/>
          <w:trHeight w:val="302"/>
        </w:trPr>
        <w:tc>
          <w:tcPr>
            <w:tcW w:w="4832" w:type="dxa"/>
            <w:gridSpan w:val="3"/>
            <w:tcBorders>
              <w:top w:val="single" w:sz="4" w:space="0" w:color="auto"/>
              <w:left w:val="nil"/>
              <w:bottom w:val="nil"/>
              <w:right w:val="nil"/>
            </w:tcBorders>
            <w:noWrap/>
            <w:vAlign w:val="bottom"/>
          </w:tcPr>
          <w:p w:rsidR="007A775F" w:rsidRDefault="007A775F">
            <w:pPr>
              <w:ind w:left="134"/>
              <w:rPr>
                <w:rFonts w:ascii="Calibri" w:hAnsi="Calibri" w:cs="Calibri"/>
                <w:sz w:val="20"/>
                <w:szCs w:val="20"/>
              </w:rPr>
            </w:pPr>
            <w:r>
              <w:rPr>
                <w:rFonts w:ascii="Calibri" w:hAnsi="Calibri" w:cs="Calibri"/>
              </w:rPr>
              <w:t>Mediator of Haematopoiesis</w:t>
            </w:r>
          </w:p>
        </w:tc>
        <w:tc>
          <w:tcPr>
            <w:tcW w:w="1867" w:type="dxa"/>
            <w:gridSpan w:val="2"/>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c>
          <w:tcPr>
            <w:tcW w:w="1880" w:type="dxa"/>
            <w:gridSpan w:val="2"/>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M-CSF</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2.60 (2.60-2.60)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2.60 (2.60-2.60)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2.60 (2.60-2.60)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2.60 (2.60-2.60)</w:t>
            </w:r>
          </w:p>
        </w:tc>
      </w:tr>
      <w:tr w:rsidR="007A775F">
        <w:trPr>
          <w:gridBefore w:val="1"/>
          <w:wBefore w:w="82" w:type="dxa"/>
          <w:trHeight w:val="302"/>
        </w:trPr>
        <w:tc>
          <w:tcPr>
            <w:tcW w:w="1226" w:type="dxa"/>
            <w:tcBorders>
              <w:top w:val="nil"/>
              <w:left w:val="nil"/>
              <w:bottom w:val="single" w:sz="4" w:space="0" w:color="auto"/>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GM-CSF</w:t>
            </w:r>
          </w:p>
        </w:tc>
        <w:tc>
          <w:tcPr>
            <w:tcW w:w="1758" w:type="dxa"/>
            <w:tcBorders>
              <w:top w:val="nil"/>
              <w:left w:val="nil"/>
              <w:bottom w:val="single" w:sz="4" w:space="0" w:color="auto"/>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3.30 (3.30-20.25)</w:t>
            </w:r>
          </w:p>
        </w:tc>
        <w:tc>
          <w:tcPr>
            <w:tcW w:w="1848" w:type="dxa"/>
            <w:tcBorders>
              <w:top w:val="nil"/>
              <w:left w:val="nil"/>
              <w:bottom w:val="single" w:sz="4" w:space="0" w:color="auto"/>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3.30 (3.30-16.2)</w:t>
            </w:r>
          </w:p>
        </w:tc>
        <w:tc>
          <w:tcPr>
            <w:tcW w:w="1867"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3.30 (3.30-18.6)</w:t>
            </w:r>
          </w:p>
        </w:tc>
        <w:tc>
          <w:tcPr>
            <w:tcW w:w="1880"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3.30 (3.30-3.30)</w:t>
            </w:r>
          </w:p>
        </w:tc>
      </w:tr>
      <w:tr w:rsidR="007A775F">
        <w:trPr>
          <w:gridBefore w:val="1"/>
          <w:wBefore w:w="82" w:type="dxa"/>
          <w:trHeight w:val="302"/>
        </w:trPr>
        <w:tc>
          <w:tcPr>
            <w:tcW w:w="2984" w:type="dxa"/>
            <w:gridSpan w:val="2"/>
            <w:tcBorders>
              <w:top w:val="single" w:sz="4" w:space="0" w:color="auto"/>
              <w:left w:val="nil"/>
              <w:bottom w:val="nil"/>
              <w:right w:val="nil"/>
            </w:tcBorders>
            <w:noWrap/>
            <w:vAlign w:val="bottom"/>
          </w:tcPr>
          <w:p w:rsidR="007A775F" w:rsidRDefault="007A775F">
            <w:pPr>
              <w:ind w:left="134"/>
              <w:rPr>
                <w:rFonts w:ascii="Calibri" w:hAnsi="Calibri" w:cs="Calibri"/>
                <w:sz w:val="20"/>
                <w:szCs w:val="20"/>
              </w:rPr>
            </w:pPr>
            <w:r>
              <w:rPr>
                <w:rFonts w:ascii="Calibri" w:hAnsi="Calibri" w:cs="Calibri"/>
              </w:rPr>
              <w:t>Mediators of Chemotaxis</w:t>
            </w:r>
          </w:p>
        </w:tc>
        <w:tc>
          <w:tcPr>
            <w:tcW w:w="1848" w:type="dxa"/>
            <w:tcBorders>
              <w:top w:val="single" w:sz="4" w:space="0" w:color="auto"/>
              <w:left w:val="nil"/>
              <w:bottom w:val="nil"/>
              <w:right w:val="nil"/>
            </w:tcBorders>
            <w:noWrap/>
            <w:vAlign w:val="bottom"/>
          </w:tcPr>
          <w:p w:rsidR="007A775F" w:rsidRDefault="007A775F">
            <w:pPr>
              <w:ind w:left="134"/>
              <w:rPr>
                <w:rFonts w:ascii="Calibri" w:hAnsi="Calibri" w:cs="Calibri"/>
                <w:sz w:val="20"/>
                <w:szCs w:val="20"/>
              </w:rPr>
            </w:pPr>
          </w:p>
        </w:tc>
        <w:tc>
          <w:tcPr>
            <w:tcW w:w="1867" w:type="dxa"/>
            <w:gridSpan w:val="2"/>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c>
          <w:tcPr>
            <w:tcW w:w="1880" w:type="dxa"/>
            <w:gridSpan w:val="2"/>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MCP-1</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31.6 (22.0-55.3)</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76.1 (53.9-101.9)</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73.4 (50.9-98.5)</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129.4 (64.2-199.1)</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MIP-1α</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1.00 (1.00-1.00)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22.3 (4.64-34.1)</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4.64 (1.00-22.32)</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1.00 (1.00-6.85)</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MIP-1β</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16.0 (12.3-25.3)</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17.5 (12.9-24.3)</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21.2 (16.0-27.8)</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17.7 (13.1-26.7)</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RANTES</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829.2 (437.2-1546)</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1544 (1091-1950)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1351 (931.0-1906)</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1138 (558-1540)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Eotaxin</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231.6 (163.2-390.7)</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364.2 (269.8-470.3)</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343.0 (255.1-501.0)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582.8 (369.9-751.2)</w:t>
            </w:r>
          </w:p>
        </w:tc>
      </w:tr>
      <w:tr w:rsidR="007A775F">
        <w:trPr>
          <w:gridBefore w:val="1"/>
          <w:wBefore w:w="82" w:type="dxa"/>
          <w:trHeight w:val="302"/>
        </w:trPr>
        <w:tc>
          <w:tcPr>
            <w:tcW w:w="1226" w:type="dxa"/>
            <w:tcBorders>
              <w:top w:val="nil"/>
              <w:left w:val="nil"/>
              <w:bottom w:val="single" w:sz="4" w:space="0" w:color="auto"/>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MIP-3α</w:t>
            </w:r>
          </w:p>
        </w:tc>
        <w:tc>
          <w:tcPr>
            <w:tcW w:w="1758" w:type="dxa"/>
            <w:tcBorders>
              <w:top w:val="nil"/>
              <w:left w:val="nil"/>
              <w:bottom w:val="single" w:sz="4" w:space="0" w:color="auto"/>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8.20 (8.20-8.20)</w:t>
            </w:r>
          </w:p>
        </w:tc>
        <w:tc>
          <w:tcPr>
            <w:tcW w:w="1848" w:type="dxa"/>
            <w:tcBorders>
              <w:top w:val="nil"/>
              <w:left w:val="nil"/>
              <w:bottom w:val="single" w:sz="4" w:space="0" w:color="auto"/>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8.20 (8.20-8.20)</w:t>
            </w:r>
          </w:p>
        </w:tc>
        <w:tc>
          <w:tcPr>
            <w:tcW w:w="1867"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8.20 (8.20-8.20)</w:t>
            </w:r>
          </w:p>
        </w:tc>
        <w:tc>
          <w:tcPr>
            <w:tcW w:w="1880"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17.7 (13.1-26.7)</w:t>
            </w:r>
          </w:p>
        </w:tc>
      </w:tr>
      <w:tr w:rsidR="007A775F">
        <w:trPr>
          <w:gridBefore w:val="1"/>
          <w:wBefore w:w="82" w:type="dxa"/>
          <w:trHeight w:val="302"/>
        </w:trPr>
        <w:tc>
          <w:tcPr>
            <w:tcW w:w="4832" w:type="dxa"/>
            <w:gridSpan w:val="3"/>
            <w:tcBorders>
              <w:top w:val="single" w:sz="4" w:space="0" w:color="auto"/>
              <w:left w:val="nil"/>
              <w:bottom w:val="nil"/>
              <w:right w:val="nil"/>
            </w:tcBorders>
            <w:noWrap/>
            <w:vAlign w:val="bottom"/>
          </w:tcPr>
          <w:p w:rsidR="007A775F" w:rsidRDefault="007A775F">
            <w:pPr>
              <w:ind w:left="134"/>
              <w:rPr>
                <w:rFonts w:ascii="Calibri" w:hAnsi="Calibri" w:cs="Calibri"/>
                <w:sz w:val="20"/>
                <w:szCs w:val="20"/>
              </w:rPr>
            </w:pPr>
            <w:r>
              <w:rPr>
                <w:rFonts w:ascii="Calibri" w:hAnsi="Calibri" w:cs="Calibri"/>
              </w:rPr>
              <w:t>Anti-inflammatory Cytokine</w:t>
            </w:r>
          </w:p>
        </w:tc>
        <w:tc>
          <w:tcPr>
            <w:tcW w:w="1867" w:type="dxa"/>
            <w:gridSpan w:val="2"/>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c>
          <w:tcPr>
            <w:tcW w:w="1880" w:type="dxa"/>
            <w:gridSpan w:val="2"/>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IL-10</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52.3 (14.1-110.6)</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67.6 (48.2-115.9)</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48.2 (32.4-134.6)</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8.20 (8.20-189.2)</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IL-13</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20.5 (20.5-20.5)</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20.5 (20.5-20.5)</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20.5 (20.5-20.5)</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20.5 (20.5-20.5)</w:t>
            </w:r>
          </w:p>
        </w:tc>
      </w:tr>
      <w:tr w:rsidR="007A775F">
        <w:trPr>
          <w:gridBefore w:val="1"/>
          <w:wBefore w:w="82" w:type="dxa"/>
          <w:trHeight w:val="302"/>
        </w:trPr>
        <w:tc>
          <w:tcPr>
            <w:tcW w:w="1226" w:type="dxa"/>
            <w:tcBorders>
              <w:top w:val="nil"/>
              <w:left w:val="nil"/>
              <w:bottom w:val="single" w:sz="4" w:space="0" w:color="auto"/>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TGF-β</w:t>
            </w:r>
          </w:p>
        </w:tc>
        <w:tc>
          <w:tcPr>
            <w:tcW w:w="1758" w:type="dxa"/>
            <w:tcBorders>
              <w:top w:val="nil"/>
              <w:left w:val="nil"/>
              <w:bottom w:val="single" w:sz="4" w:space="0" w:color="auto"/>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4.90 (4.90-28.75)</w:t>
            </w:r>
          </w:p>
        </w:tc>
        <w:tc>
          <w:tcPr>
            <w:tcW w:w="1848" w:type="dxa"/>
            <w:tcBorders>
              <w:top w:val="nil"/>
              <w:left w:val="nil"/>
              <w:bottom w:val="single" w:sz="4" w:space="0" w:color="auto"/>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4.90 (4.90-4.90)</w:t>
            </w:r>
          </w:p>
        </w:tc>
        <w:tc>
          <w:tcPr>
            <w:tcW w:w="1867"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4.90 (4.90-4.90)</w:t>
            </w:r>
          </w:p>
        </w:tc>
        <w:tc>
          <w:tcPr>
            <w:tcW w:w="1880"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4.90 (4.90-4.90)</w:t>
            </w:r>
          </w:p>
        </w:tc>
      </w:tr>
      <w:tr w:rsidR="007A775F">
        <w:trPr>
          <w:gridBefore w:val="1"/>
          <w:wBefore w:w="82" w:type="dxa"/>
          <w:trHeight w:val="302"/>
        </w:trPr>
        <w:tc>
          <w:tcPr>
            <w:tcW w:w="8579" w:type="dxa"/>
            <w:gridSpan w:val="7"/>
            <w:tcBorders>
              <w:top w:val="single" w:sz="4" w:space="0" w:color="auto"/>
              <w:left w:val="nil"/>
              <w:bottom w:val="nil"/>
              <w:right w:val="nil"/>
            </w:tcBorders>
            <w:noWrap/>
            <w:vAlign w:val="bottom"/>
          </w:tcPr>
          <w:p w:rsidR="007A775F" w:rsidRDefault="007A775F">
            <w:pPr>
              <w:rPr>
                <w:rFonts w:ascii="Calibri" w:hAnsi="Calibri" w:cs="Calibri"/>
              </w:rPr>
            </w:pPr>
            <w:r>
              <w:rPr>
                <w:rFonts w:ascii="Calibri" w:hAnsi="Calibri" w:cs="Calibri"/>
              </w:rPr>
              <w:t xml:space="preserve">  Mediators of Activation, Proliferation, and Differentiation of Lymphocytes</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IL-2</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7.18 (1.30-27.31)</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19.7 (2.35-42.1)</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3.03 (1.30-38.6)</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1.30 (1.30-6.10)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IL-7</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1.30 (1.30-1.30)</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1.30 (1.30-1.30)</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1.30 (1.30-1.30)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1.30 (1.30-1.30)</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IL-12</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4.60 (4.60-382.9)</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17.8 (4.60-487.2)</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4.60 (4.60-112.0)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4.60 (4.60-81.1)</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IL-15</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72.3 (50.1-126.3)</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64.5 (21-119)</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71.5 (19.2-122.4)</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11.4 (4.90-36.75)</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IL-16</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372.1 (267.9-566.4)</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584.0 (455.0-957.5)</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486.4 (342.2-929.8)</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157.1 (97.2-217.2)</w:t>
            </w:r>
          </w:p>
        </w:tc>
      </w:tr>
      <w:tr w:rsidR="007A775F">
        <w:trPr>
          <w:gridBefore w:val="1"/>
          <w:wBefore w:w="82" w:type="dxa"/>
          <w:trHeight w:val="302"/>
        </w:trPr>
        <w:tc>
          <w:tcPr>
            <w:tcW w:w="1226" w:type="dxa"/>
            <w:tcBorders>
              <w:top w:val="nil"/>
              <w:left w:val="nil"/>
              <w:bottom w:val="nil"/>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IFN-γ</w:t>
            </w:r>
          </w:p>
        </w:tc>
        <w:tc>
          <w:tcPr>
            <w:tcW w:w="1758" w:type="dxa"/>
            <w:tcBorders>
              <w:top w:val="nil"/>
              <w:left w:val="nil"/>
              <w:bottom w:val="nil"/>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3.20 (3.20-35.36)</w:t>
            </w:r>
          </w:p>
        </w:tc>
        <w:tc>
          <w:tcPr>
            <w:tcW w:w="1848"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3.20 (3.20-5.19)</w:t>
            </w:r>
          </w:p>
        </w:tc>
        <w:tc>
          <w:tcPr>
            <w:tcW w:w="1867"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3.20 (3.20-3.20)</w:t>
            </w:r>
          </w:p>
        </w:tc>
        <w:tc>
          <w:tcPr>
            <w:tcW w:w="1880"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3.20 (3.20-3.20)</w:t>
            </w:r>
          </w:p>
        </w:tc>
      </w:tr>
      <w:tr w:rsidR="007A775F">
        <w:trPr>
          <w:gridBefore w:val="1"/>
          <w:wBefore w:w="82" w:type="dxa"/>
          <w:trHeight w:val="302"/>
        </w:trPr>
        <w:tc>
          <w:tcPr>
            <w:tcW w:w="1226" w:type="dxa"/>
            <w:tcBorders>
              <w:top w:val="nil"/>
              <w:left w:val="nil"/>
              <w:bottom w:val="single" w:sz="4" w:space="0" w:color="auto"/>
              <w:right w:val="nil"/>
            </w:tcBorders>
            <w:noWrap/>
            <w:vAlign w:val="bottom"/>
          </w:tcPr>
          <w:p w:rsidR="007A775F" w:rsidRDefault="007A775F">
            <w:pPr>
              <w:ind w:left="134"/>
              <w:rPr>
                <w:rFonts w:ascii="Calibri" w:hAnsi="Calibri" w:cs="Calibri"/>
                <w:b w:val="0"/>
                <w:bCs w:val="0"/>
                <w:sz w:val="20"/>
                <w:szCs w:val="20"/>
              </w:rPr>
            </w:pPr>
            <w:r>
              <w:rPr>
                <w:rFonts w:ascii="Calibri" w:hAnsi="Calibri" w:cs="Calibri"/>
                <w:b w:val="0"/>
                <w:bCs w:val="0"/>
                <w:sz w:val="20"/>
                <w:szCs w:val="20"/>
              </w:rPr>
              <w:t>GRO-α</w:t>
            </w:r>
          </w:p>
        </w:tc>
        <w:tc>
          <w:tcPr>
            <w:tcW w:w="1758" w:type="dxa"/>
            <w:tcBorders>
              <w:top w:val="nil"/>
              <w:left w:val="nil"/>
              <w:bottom w:val="single" w:sz="4" w:space="0" w:color="auto"/>
              <w:right w:val="nil"/>
            </w:tcBorders>
            <w:noWrap/>
            <w:vAlign w:val="bottom"/>
          </w:tcPr>
          <w:p w:rsidR="007A775F" w:rsidRDefault="007A775F">
            <w:pPr>
              <w:ind w:left="134" w:right="-149"/>
              <w:jc w:val="center"/>
              <w:rPr>
                <w:rFonts w:ascii="Calibri" w:hAnsi="Calibri" w:cs="Calibri"/>
                <w:b w:val="0"/>
                <w:bCs w:val="0"/>
                <w:sz w:val="20"/>
                <w:szCs w:val="20"/>
              </w:rPr>
            </w:pPr>
            <w:r>
              <w:rPr>
                <w:rFonts w:ascii="Calibri" w:hAnsi="Calibri" w:cs="Calibri"/>
                <w:b w:val="0"/>
                <w:bCs w:val="0"/>
                <w:sz w:val="20"/>
                <w:szCs w:val="20"/>
              </w:rPr>
              <w:t>10.71 (2.60-39.85)</w:t>
            </w:r>
          </w:p>
        </w:tc>
        <w:tc>
          <w:tcPr>
            <w:tcW w:w="1848" w:type="dxa"/>
            <w:tcBorders>
              <w:top w:val="nil"/>
              <w:left w:val="nil"/>
              <w:bottom w:val="single" w:sz="4" w:space="0" w:color="auto"/>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15.6 (8.41-34.5)</w:t>
            </w:r>
          </w:p>
        </w:tc>
        <w:tc>
          <w:tcPr>
            <w:tcW w:w="1867"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11.9 (7.64-34.1)</w:t>
            </w:r>
          </w:p>
        </w:tc>
        <w:tc>
          <w:tcPr>
            <w:tcW w:w="1880"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2.60 (2.60-6.40)</w:t>
            </w:r>
          </w:p>
        </w:tc>
      </w:tr>
    </w:tbl>
    <w:p w:rsidR="007A775F" w:rsidRDefault="007A775F">
      <w:pPr>
        <w:ind w:right="90"/>
        <w:rPr>
          <w:rFonts w:ascii="Times New Roman" w:hAnsi="Times New Roman" w:cs="Times New Roman"/>
          <w:b w:val="0"/>
          <w:bCs w:val="0"/>
          <w:sz w:val="24"/>
          <w:szCs w:val="24"/>
        </w:rPr>
      </w:pPr>
      <w:r>
        <w:rPr>
          <w:rFonts w:ascii="Times New Roman" w:hAnsi="Times New Roman" w:cs="Times New Roman"/>
          <w:sz w:val="24"/>
          <w:szCs w:val="24"/>
          <w:u w:val="single"/>
        </w:rPr>
        <w:t>Supplemental Table 2</w:t>
      </w:r>
      <w:r>
        <w:rPr>
          <w:rFonts w:ascii="Times New Roman" w:hAnsi="Times New Roman" w:cs="Times New Roman"/>
          <w:b w:val="0"/>
          <w:bCs w:val="0"/>
          <w:sz w:val="24"/>
          <w:szCs w:val="24"/>
        </w:rPr>
        <w:t>: Comparison of cytokine/chemokine levels (pg/mL) in blood plasma between four groups, namely HIV-uninfected individuals, ART-naïve early HIV-infected individuals, ART-naïve individuals in a later stage of HIV infection and HIV-infected individuals on long-term ART and with undetectable HIV RNA levels in blood. Median and interquartile range (IQR) is shown for each cytokine/chemokine.</w:t>
      </w:r>
    </w:p>
    <w:p w:rsidR="007A775F" w:rsidRDefault="007A775F">
      <w:pPr>
        <w:rPr>
          <w:rFonts w:ascii="Times New Roman" w:hAnsi="Times New Roman" w:cs="Times New Roman"/>
          <w:b w:val="0"/>
          <w:bCs w:val="0"/>
          <w:sz w:val="24"/>
          <w:szCs w:val="24"/>
        </w:rPr>
      </w:pPr>
      <w:r>
        <w:rPr>
          <w:rFonts w:ascii="Times New Roman" w:hAnsi="Times New Roman" w:cs="Times New Roman"/>
          <w:b w:val="0"/>
          <w:bCs w:val="0"/>
          <w:sz w:val="24"/>
          <w:szCs w:val="24"/>
        </w:rPr>
        <w:br w:type="page"/>
      </w:r>
    </w:p>
    <w:p w:rsidR="007A775F" w:rsidRDefault="007A775F">
      <w:pPr>
        <w:ind w:right="90"/>
        <w:rPr>
          <w:rFonts w:ascii="Times New Roman" w:hAnsi="Times New Roman" w:cs="Times New Roman"/>
          <w:b w:val="0"/>
          <w:bCs w:val="0"/>
          <w:sz w:val="24"/>
          <w:szCs w:val="24"/>
        </w:rPr>
      </w:pPr>
    </w:p>
    <w:tbl>
      <w:tblPr>
        <w:tblpPr w:leftFromText="180" w:rightFromText="180" w:vertAnchor="text" w:horzAnchor="page" w:tblpX="1729" w:tblpY="-179"/>
        <w:tblW w:w="8809" w:type="dxa"/>
        <w:tblLayout w:type="fixed"/>
        <w:tblLook w:val="0000"/>
      </w:tblPr>
      <w:tblGrid>
        <w:gridCol w:w="77"/>
        <w:gridCol w:w="927"/>
        <w:gridCol w:w="1413"/>
        <w:gridCol w:w="471"/>
        <w:gridCol w:w="1489"/>
        <w:gridCol w:w="341"/>
        <w:gridCol w:w="132"/>
        <w:gridCol w:w="1489"/>
        <w:gridCol w:w="172"/>
        <w:gridCol w:w="301"/>
        <w:gridCol w:w="1508"/>
        <w:gridCol w:w="94"/>
        <w:gridCol w:w="301"/>
        <w:gridCol w:w="94"/>
      </w:tblGrid>
      <w:tr w:rsidR="007A775F">
        <w:trPr>
          <w:gridAfter w:val="3"/>
          <w:wAfter w:w="488"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sz w:val="20"/>
                <w:szCs w:val="20"/>
              </w:rPr>
            </w:pPr>
          </w:p>
        </w:tc>
        <w:tc>
          <w:tcPr>
            <w:tcW w:w="1413" w:type="dxa"/>
            <w:tcBorders>
              <w:top w:val="nil"/>
              <w:left w:val="nil"/>
              <w:bottom w:val="nil"/>
              <w:right w:val="nil"/>
            </w:tcBorders>
            <w:noWrap/>
            <w:vAlign w:val="bottom"/>
          </w:tcPr>
          <w:p w:rsidR="007A775F" w:rsidRDefault="007A775F">
            <w:pPr>
              <w:jc w:val="center"/>
              <w:rPr>
                <w:rFonts w:ascii="Calibri" w:hAnsi="Calibri" w:cs="Calibri"/>
                <w:sz w:val="20"/>
                <w:szCs w:val="20"/>
              </w:rPr>
            </w:pPr>
            <w:r>
              <w:rPr>
                <w:rFonts w:ascii="Calibri" w:hAnsi="Calibri" w:cs="Calibri"/>
                <w:sz w:val="20"/>
                <w:szCs w:val="20"/>
              </w:rPr>
              <w:t>HIV-</w:t>
            </w:r>
          </w:p>
        </w:tc>
        <w:tc>
          <w:tcPr>
            <w:tcW w:w="1960" w:type="dxa"/>
            <w:gridSpan w:val="2"/>
            <w:tcBorders>
              <w:top w:val="nil"/>
              <w:left w:val="nil"/>
              <w:bottom w:val="nil"/>
              <w:right w:val="nil"/>
            </w:tcBorders>
            <w:noWrap/>
            <w:vAlign w:val="bottom"/>
          </w:tcPr>
          <w:p w:rsidR="007A775F" w:rsidRDefault="007A775F">
            <w:pPr>
              <w:ind w:left="630"/>
              <w:jc w:val="center"/>
              <w:rPr>
                <w:rFonts w:ascii="Calibri" w:hAnsi="Calibri" w:cs="Calibri"/>
                <w:sz w:val="20"/>
                <w:szCs w:val="20"/>
              </w:rPr>
            </w:pPr>
            <w:r>
              <w:rPr>
                <w:rFonts w:ascii="Calibri" w:hAnsi="Calibri" w:cs="Calibri"/>
                <w:sz w:val="20"/>
                <w:szCs w:val="20"/>
              </w:rPr>
              <w:t>Early HIV+ART-</w:t>
            </w:r>
          </w:p>
        </w:tc>
        <w:tc>
          <w:tcPr>
            <w:tcW w:w="1962" w:type="dxa"/>
            <w:gridSpan w:val="3"/>
            <w:tcBorders>
              <w:top w:val="nil"/>
              <w:left w:val="nil"/>
              <w:bottom w:val="nil"/>
              <w:right w:val="nil"/>
            </w:tcBorders>
            <w:noWrap/>
            <w:vAlign w:val="bottom"/>
          </w:tcPr>
          <w:p w:rsidR="007A775F" w:rsidRDefault="007A775F">
            <w:pPr>
              <w:tabs>
                <w:tab w:val="left" w:pos="633"/>
              </w:tabs>
              <w:ind w:left="633"/>
              <w:jc w:val="center"/>
              <w:rPr>
                <w:rFonts w:ascii="Calibri" w:hAnsi="Calibri" w:cs="Calibri"/>
                <w:sz w:val="20"/>
                <w:szCs w:val="20"/>
              </w:rPr>
            </w:pPr>
            <w:r>
              <w:rPr>
                <w:rFonts w:ascii="Calibri" w:hAnsi="Calibri" w:cs="Calibri"/>
                <w:sz w:val="20"/>
                <w:szCs w:val="20"/>
              </w:rPr>
              <w:t>Late HIV+ART-</w:t>
            </w:r>
          </w:p>
        </w:tc>
        <w:tc>
          <w:tcPr>
            <w:tcW w:w="1981" w:type="dxa"/>
            <w:gridSpan w:val="3"/>
            <w:tcBorders>
              <w:top w:val="nil"/>
              <w:left w:val="nil"/>
              <w:bottom w:val="nil"/>
              <w:right w:val="nil"/>
            </w:tcBorders>
            <w:noWrap/>
            <w:vAlign w:val="bottom"/>
          </w:tcPr>
          <w:p w:rsidR="007A775F" w:rsidRDefault="007A775F">
            <w:pPr>
              <w:ind w:left="453"/>
              <w:jc w:val="center"/>
              <w:rPr>
                <w:rFonts w:ascii="Calibri" w:hAnsi="Calibri" w:cs="Calibri"/>
                <w:sz w:val="20"/>
                <w:szCs w:val="20"/>
              </w:rPr>
            </w:pPr>
            <w:r>
              <w:rPr>
                <w:rFonts w:ascii="Calibri" w:hAnsi="Calibri" w:cs="Calibri"/>
                <w:sz w:val="20"/>
                <w:szCs w:val="20"/>
              </w:rPr>
              <w:t>late</w:t>
            </w:r>
            <w:bookmarkStart w:id="0" w:name="_GoBack"/>
            <w:bookmarkEnd w:id="0"/>
            <w:r>
              <w:rPr>
                <w:rFonts w:ascii="Calibri" w:hAnsi="Calibri" w:cs="Calibri"/>
                <w:sz w:val="20"/>
                <w:szCs w:val="20"/>
              </w:rPr>
              <w:t xml:space="preserve"> HIV+ART+</w:t>
            </w:r>
          </w:p>
        </w:tc>
      </w:tr>
      <w:tr w:rsidR="007A775F">
        <w:trPr>
          <w:gridAfter w:val="3"/>
          <w:wAfter w:w="488"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p>
        </w:tc>
        <w:tc>
          <w:tcPr>
            <w:tcW w:w="1413" w:type="dxa"/>
            <w:tcBorders>
              <w:top w:val="nil"/>
              <w:left w:val="nil"/>
              <w:bottom w:val="nil"/>
              <w:right w:val="nil"/>
            </w:tcBorders>
            <w:noWrap/>
            <w:vAlign w:val="bottom"/>
          </w:tcPr>
          <w:p w:rsidR="007A775F" w:rsidRDefault="007A775F">
            <w:pPr>
              <w:ind w:left="134"/>
              <w:jc w:val="center"/>
              <w:rPr>
                <w:rFonts w:ascii="Calibri" w:hAnsi="Calibri" w:cs="Calibri"/>
                <w:b w:val="0"/>
                <w:bCs w:val="0"/>
                <w:sz w:val="20"/>
                <w:szCs w:val="20"/>
              </w:rPr>
            </w:pPr>
            <w:r>
              <w:rPr>
                <w:rFonts w:ascii="Calibri" w:hAnsi="Calibri" w:cs="Calibri"/>
                <w:b w:val="0"/>
                <w:bCs w:val="0"/>
                <w:sz w:val="20"/>
                <w:szCs w:val="20"/>
              </w:rPr>
              <w:t>(N=40)</w:t>
            </w:r>
          </w:p>
        </w:tc>
        <w:tc>
          <w:tcPr>
            <w:tcW w:w="1960" w:type="dxa"/>
            <w:gridSpan w:val="2"/>
            <w:tcBorders>
              <w:top w:val="nil"/>
              <w:left w:val="nil"/>
              <w:bottom w:val="nil"/>
              <w:right w:val="nil"/>
            </w:tcBorders>
            <w:noWrap/>
            <w:vAlign w:val="bottom"/>
          </w:tcPr>
          <w:p w:rsidR="007A775F" w:rsidRDefault="007A775F">
            <w:pPr>
              <w:ind w:left="630"/>
              <w:jc w:val="center"/>
              <w:rPr>
                <w:rFonts w:ascii="Calibri" w:hAnsi="Calibri" w:cs="Calibri"/>
                <w:b w:val="0"/>
                <w:bCs w:val="0"/>
                <w:sz w:val="20"/>
                <w:szCs w:val="20"/>
              </w:rPr>
            </w:pPr>
            <w:r>
              <w:rPr>
                <w:rFonts w:ascii="Calibri" w:hAnsi="Calibri" w:cs="Calibri"/>
                <w:b w:val="0"/>
                <w:bCs w:val="0"/>
                <w:sz w:val="20"/>
                <w:szCs w:val="20"/>
              </w:rPr>
              <w:t>(N=42)</w:t>
            </w:r>
          </w:p>
        </w:tc>
        <w:tc>
          <w:tcPr>
            <w:tcW w:w="1962" w:type="dxa"/>
            <w:gridSpan w:val="3"/>
            <w:tcBorders>
              <w:top w:val="nil"/>
              <w:left w:val="nil"/>
              <w:bottom w:val="nil"/>
              <w:right w:val="nil"/>
            </w:tcBorders>
            <w:noWrap/>
            <w:vAlign w:val="bottom"/>
          </w:tcPr>
          <w:p w:rsidR="007A775F" w:rsidRDefault="007A775F">
            <w:pPr>
              <w:ind w:left="543"/>
              <w:jc w:val="center"/>
              <w:rPr>
                <w:rFonts w:ascii="Calibri" w:hAnsi="Calibri" w:cs="Calibri"/>
                <w:b w:val="0"/>
                <w:bCs w:val="0"/>
                <w:sz w:val="20"/>
                <w:szCs w:val="20"/>
              </w:rPr>
            </w:pPr>
            <w:r>
              <w:rPr>
                <w:rFonts w:ascii="Calibri" w:hAnsi="Calibri" w:cs="Calibri"/>
                <w:b w:val="0"/>
                <w:bCs w:val="0"/>
                <w:sz w:val="20"/>
                <w:szCs w:val="20"/>
              </w:rPr>
              <w:t>(N=74)</w:t>
            </w:r>
          </w:p>
        </w:tc>
        <w:tc>
          <w:tcPr>
            <w:tcW w:w="1981" w:type="dxa"/>
            <w:gridSpan w:val="3"/>
            <w:tcBorders>
              <w:top w:val="nil"/>
              <w:left w:val="nil"/>
              <w:bottom w:val="nil"/>
              <w:right w:val="nil"/>
            </w:tcBorders>
            <w:noWrap/>
            <w:vAlign w:val="bottom"/>
          </w:tcPr>
          <w:p w:rsidR="007A775F" w:rsidRDefault="007A775F">
            <w:pPr>
              <w:ind w:left="273"/>
              <w:jc w:val="center"/>
              <w:rPr>
                <w:rFonts w:ascii="Calibri" w:hAnsi="Calibri" w:cs="Calibri"/>
                <w:b w:val="0"/>
                <w:bCs w:val="0"/>
                <w:sz w:val="20"/>
                <w:szCs w:val="20"/>
              </w:rPr>
            </w:pPr>
            <w:r>
              <w:rPr>
                <w:rFonts w:ascii="Calibri" w:hAnsi="Calibri" w:cs="Calibri"/>
                <w:b w:val="0"/>
                <w:bCs w:val="0"/>
                <w:sz w:val="20"/>
                <w:szCs w:val="20"/>
              </w:rPr>
              <w:t>(N=96)</w:t>
            </w:r>
          </w:p>
        </w:tc>
      </w:tr>
      <w:tr w:rsidR="007A775F">
        <w:trPr>
          <w:gridBefore w:val="1"/>
          <w:gridAfter w:val="2"/>
          <w:wBefore w:w="78" w:type="dxa"/>
          <w:wAfter w:w="394" w:type="dxa"/>
          <w:trHeight w:val="296"/>
        </w:trPr>
        <w:tc>
          <w:tcPr>
            <w:tcW w:w="8337" w:type="dxa"/>
            <w:gridSpan w:val="11"/>
            <w:tcBorders>
              <w:top w:val="single" w:sz="4" w:space="0" w:color="auto"/>
              <w:left w:val="nil"/>
              <w:bottom w:val="nil"/>
              <w:right w:val="nil"/>
            </w:tcBorders>
            <w:noWrap/>
            <w:vAlign w:val="bottom"/>
          </w:tcPr>
          <w:p w:rsidR="007A775F" w:rsidRDefault="007A775F">
            <w:pPr>
              <w:rPr>
                <w:rFonts w:ascii="Calibri" w:hAnsi="Calibri" w:cs="Calibri"/>
                <w:sz w:val="20"/>
                <w:szCs w:val="20"/>
              </w:rPr>
            </w:pPr>
            <w:r>
              <w:rPr>
                <w:rFonts w:ascii="Calibri" w:hAnsi="Calibri" w:cs="Calibri"/>
              </w:rPr>
              <w:t>Mediators of Innate Immunity and Inflammation</w:t>
            </w:r>
          </w:p>
        </w:tc>
      </w:tr>
      <w:tr w:rsidR="007A775F">
        <w:trPr>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IL-1α</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69.7 (37.5-187.8)</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24.3 (9.50-55.2)</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31.9 (16.8-94.7)</w:t>
            </w:r>
          </w:p>
        </w:tc>
        <w:tc>
          <w:tcPr>
            <w:tcW w:w="1996" w:type="dxa"/>
            <w:gridSpan w:val="4"/>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35.2 (18.74-93.17)</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IL-1β</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14.2 (5.85-40.6)</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4.65 (1.70-7.90)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6.40 (3.70-19.3)</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6.32 (2.88-23.2)</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IL-6</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44.0 (9.11-130.6)</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17.6 (1.30-71.9)</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18.7 (6.90-74.7)</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100.9 (36.4-213.9)</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IL-17</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(2.00-2.00)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(2.00-4.00)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(2.00-7.20)</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2.00 (2.00-2.00)</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IL-18</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9.80 (8.72-9.80)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9.80 (9.80-9.80)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9.80 (9.80-16.3)</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9.80 (9.80-9.80)</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IL-22</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2.00 (2.00-8.84)</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10.4 (2.00-62.3)</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8.80 (2.70-38.0)</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85.5 (47.6-123.8)</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IL-33</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8.43 (2.60-31.9)</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2.60 (2.60-2.60)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2.60 (2.60-2.60)</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2.60 (2.60-14.6)</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 xml:space="preserve">IL-8 </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1246 (604.2-2699)</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1013 (402.8-1656)</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1042 (625.1-2065)</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2489 (1457-3810)</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MIG</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83’842 (43213-227489)</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282’681 (55519-588993)</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174’658 (84368-380731)</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27’735 (14908-77210)</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IP-10</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59’410 (45343-87928)</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70’231 (27106-147542)</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55’877 (34635-109084)</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25’896 (18376-52453)</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I-TAC</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5659 (4093-9083)</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12936 (4396-36536)</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12231 (6642-25651)</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7607 (3459-17852)</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TNF-α</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1.58 (0.50-4.30)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2.35 (0.50-5.40)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4.25 (0.50-8.10)</w:t>
            </w:r>
          </w:p>
        </w:tc>
        <w:tc>
          <w:tcPr>
            <w:tcW w:w="1902" w:type="dxa"/>
            <w:gridSpan w:val="3"/>
            <w:tcBorders>
              <w:top w:val="nil"/>
              <w:left w:val="nil"/>
              <w:bottom w:val="nil"/>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0.50 (0.50-2.88)</w:t>
            </w:r>
          </w:p>
        </w:tc>
      </w:tr>
      <w:tr w:rsidR="007A775F">
        <w:trPr>
          <w:gridAfter w:val="1"/>
          <w:wAfter w:w="94" w:type="dxa"/>
          <w:trHeight w:val="296"/>
        </w:trPr>
        <w:tc>
          <w:tcPr>
            <w:tcW w:w="1005" w:type="dxa"/>
            <w:gridSpan w:val="2"/>
            <w:tcBorders>
              <w:top w:val="nil"/>
              <w:left w:val="nil"/>
              <w:bottom w:val="single" w:sz="4" w:space="0" w:color="auto"/>
              <w:right w:val="nil"/>
            </w:tcBorders>
            <w:noWrap/>
            <w:vAlign w:val="bottom"/>
          </w:tcPr>
          <w:p w:rsidR="007A775F" w:rsidRDefault="007A775F">
            <w:pPr>
              <w:ind w:right="-112"/>
              <w:rPr>
                <w:rFonts w:ascii="Calibri" w:hAnsi="Calibri" w:cs="Calibri"/>
                <w:b w:val="0"/>
                <w:bCs w:val="0"/>
                <w:sz w:val="20"/>
                <w:szCs w:val="20"/>
              </w:rPr>
            </w:pPr>
            <w:r>
              <w:rPr>
                <w:rFonts w:ascii="Calibri" w:hAnsi="Calibri" w:cs="Calibri"/>
                <w:b w:val="0"/>
                <w:bCs w:val="0"/>
                <w:sz w:val="20"/>
                <w:szCs w:val="20"/>
              </w:rPr>
              <w:t>Lactoferrin</w:t>
            </w:r>
          </w:p>
        </w:tc>
        <w:tc>
          <w:tcPr>
            <w:tcW w:w="1884"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2037 (65.5-5617)</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2036 (93.6-3032)</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1448 (547.2-2481)</w:t>
            </w:r>
          </w:p>
        </w:tc>
        <w:tc>
          <w:tcPr>
            <w:tcW w:w="1902" w:type="dxa"/>
            <w:gridSpan w:val="3"/>
            <w:tcBorders>
              <w:top w:val="nil"/>
              <w:left w:val="nil"/>
              <w:bottom w:val="single" w:sz="4" w:space="0" w:color="auto"/>
              <w:right w:val="nil"/>
            </w:tcBorders>
            <w:noWrap/>
            <w:vAlign w:val="bottom"/>
          </w:tcPr>
          <w:p w:rsidR="007A775F" w:rsidRDefault="007A775F">
            <w:pPr>
              <w:ind w:right="144"/>
              <w:jc w:val="center"/>
              <w:rPr>
                <w:rFonts w:ascii="Calibri" w:hAnsi="Calibri" w:cs="Calibri"/>
                <w:b w:val="0"/>
                <w:bCs w:val="0"/>
                <w:sz w:val="20"/>
                <w:szCs w:val="20"/>
              </w:rPr>
            </w:pPr>
            <w:r>
              <w:rPr>
                <w:rFonts w:ascii="Calibri" w:hAnsi="Calibri" w:cs="Calibri"/>
                <w:b w:val="0"/>
                <w:bCs w:val="0"/>
                <w:sz w:val="20"/>
                <w:szCs w:val="20"/>
              </w:rPr>
              <w:t>3731 (2361-7354)</w:t>
            </w:r>
          </w:p>
        </w:tc>
      </w:tr>
      <w:tr w:rsidR="007A775F">
        <w:trPr>
          <w:gridBefore w:val="1"/>
          <w:gridAfter w:val="2"/>
          <w:wBefore w:w="78" w:type="dxa"/>
          <w:wAfter w:w="395" w:type="dxa"/>
          <w:trHeight w:val="296"/>
        </w:trPr>
        <w:tc>
          <w:tcPr>
            <w:tcW w:w="4641" w:type="dxa"/>
            <w:gridSpan w:val="5"/>
            <w:tcBorders>
              <w:top w:val="nil"/>
              <w:left w:val="nil"/>
              <w:bottom w:val="nil"/>
              <w:right w:val="nil"/>
            </w:tcBorders>
            <w:noWrap/>
            <w:vAlign w:val="bottom"/>
          </w:tcPr>
          <w:p w:rsidR="007A775F" w:rsidRDefault="007A775F">
            <w:pPr>
              <w:ind w:left="-36"/>
              <w:rPr>
                <w:rFonts w:ascii="Calibri" w:hAnsi="Calibri" w:cs="Calibri"/>
                <w:sz w:val="20"/>
                <w:szCs w:val="20"/>
              </w:rPr>
            </w:pPr>
            <w:r>
              <w:rPr>
                <w:rFonts w:ascii="Calibri" w:hAnsi="Calibri" w:cs="Calibri"/>
              </w:rPr>
              <w:t>Mediator of Haematopoiesis</w:t>
            </w:r>
          </w:p>
        </w:tc>
        <w:tc>
          <w:tcPr>
            <w:tcW w:w="1793" w:type="dxa"/>
            <w:gridSpan w:val="3"/>
            <w:tcBorders>
              <w:top w:val="nil"/>
              <w:left w:val="nil"/>
              <w:bottom w:val="nil"/>
              <w:right w:val="nil"/>
            </w:tcBorders>
            <w:noWrap/>
            <w:vAlign w:val="bottom"/>
          </w:tcPr>
          <w:p w:rsidR="007A775F" w:rsidRDefault="007A775F">
            <w:pPr>
              <w:rPr>
                <w:rFonts w:ascii="Calibri" w:hAnsi="Calibri" w:cs="Calibri"/>
                <w:sz w:val="20"/>
                <w:szCs w:val="20"/>
              </w:rPr>
            </w:pPr>
          </w:p>
        </w:tc>
        <w:tc>
          <w:tcPr>
            <w:tcW w:w="1902" w:type="dxa"/>
            <w:gridSpan w:val="3"/>
            <w:tcBorders>
              <w:top w:val="nil"/>
              <w:left w:val="nil"/>
              <w:bottom w:val="nil"/>
              <w:right w:val="nil"/>
            </w:tcBorders>
            <w:noWrap/>
            <w:vAlign w:val="bottom"/>
          </w:tcPr>
          <w:p w:rsidR="007A775F" w:rsidRDefault="007A775F">
            <w:pPr>
              <w:rPr>
                <w:rFonts w:ascii="Calibri" w:hAnsi="Calibri" w:cs="Calibri"/>
                <w:sz w:val="20"/>
                <w:szCs w:val="20"/>
              </w:rPr>
            </w:pP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M-CSF</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552.1 (350.0-1061)</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767.4 (366.8-1676)</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552.9 (265.4-987.0)</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746.8 (509.3-987.1)</w:t>
            </w:r>
          </w:p>
        </w:tc>
      </w:tr>
      <w:tr w:rsidR="007A775F">
        <w:trPr>
          <w:gridAfter w:val="1"/>
          <w:wAfter w:w="94" w:type="dxa"/>
          <w:trHeight w:val="296"/>
        </w:trPr>
        <w:tc>
          <w:tcPr>
            <w:tcW w:w="1005" w:type="dxa"/>
            <w:gridSpan w:val="2"/>
            <w:tcBorders>
              <w:top w:val="nil"/>
              <w:left w:val="nil"/>
              <w:bottom w:val="single" w:sz="4" w:space="0" w:color="auto"/>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GM-CSF</w:t>
            </w:r>
          </w:p>
        </w:tc>
        <w:tc>
          <w:tcPr>
            <w:tcW w:w="1884"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3.30 (3.30-13.26)</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3.30 (3.30-3.30)</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3.30 (3.30-3.30)</w:t>
            </w:r>
          </w:p>
        </w:tc>
        <w:tc>
          <w:tcPr>
            <w:tcW w:w="190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27.1 (8.1-51.0)</w:t>
            </w:r>
          </w:p>
        </w:tc>
      </w:tr>
      <w:tr w:rsidR="007A775F">
        <w:trPr>
          <w:gridAfter w:val="1"/>
          <w:wAfter w:w="94" w:type="dxa"/>
          <w:trHeight w:val="296"/>
        </w:trPr>
        <w:tc>
          <w:tcPr>
            <w:tcW w:w="4851" w:type="dxa"/>
            <w:gridSpan w:val="7"/>
            <w:tcBorders>
              <w:top w:val="single" w:sz="4" w:space="0" w:color="auto"/>
              <w:left w:val="nil"/>
              <w:bottom w:val="nil"/>
              <w:right w:val="nil"/>
            </w:tcBorders>
            <w:noWrap/>
            <w:vAlign w:val="bottom"/>
          </w:tcPr>
          <w:p w:rsidR="007A775F" w:rsidRDefault="007A775F">
            <w:pPr>
              <w:rPr>
                <w:rFonts w:ascii="Calibri" w:hAnsi="Calibri" w:cs="Calibri"/>
                <w:sz w:val="20"/>
                <w:szCs w:val="20"/>
              </w:rPr>
            </w:pPr>
            <w:r>
              <w:rPr>
                <w:rFonts w:ascii="Calibri" w:hAnsi="Calibri" w:cs="Calibri"/>
              </w:rPr>
              <w:t>Mediators of Chemotaxis</w:t>
            </w:r>
          </w:p>
        </w:tc>
        <w:tc>
          <w:tcPr>
            <w:tcW w:w="1962" w:type="dxa"/>
            <w:gridSpan w:val="3"/>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c>
          <w:tcPr>
            <w:tcW w:w="1902" w:type="dxa"/>
            <w:gridSpan w:val="3"/>
            <w:tcBorders>
              <w:top w:val="single" w:sz="4" w:space="0" w:color="auto"/>
              <w:left w:val="nil"/>
              <w:bottom w:val="nil"/>
              <w:right w:val="nil"/>
            </w:tcBorders>
            <w:noWrap/>
            <w:vAlign w:val="bottom"/>
          </w:tcPr>
          <w:p w:rsidR="007A775F" w:rsidRDefault="007A775F">
            <w:pPr>
              <w:rPr>
                <w:rFonts w:ascii="Calibri" w:hAnsi="Calibri" w:cs="Calibri"/>
                <w:sz w:val="20"/>
                <w:szCs w:val="20"/>
              </w:rPr>
            </w:pP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MCP-1</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1779 (860.2-3301)</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1529 (568.5-2465)</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1223 (611.6-2225)</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2243 (1089-4597)</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MIP-1α</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1.00 (1.00-1.00)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22.3 (140.2-357.8)</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4.64 (1.00-22.32)</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1.00 (1.00-6.85)</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MIP-1β</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96.8 (45.5-241.1)</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59.0  (30.2-90.6)</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79.3 (34.0-163.7)</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363.0 (201.0-643.8)</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RANTES</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220.1 (147.2-474.2)</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321.8 (122.4-528.1)</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254.6 (159.4-516.5)</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473.3 (318.6-801.4)</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Eotaxin</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170.2 (82.8-272.1)</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362.9 (205.9-512.2)</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190.5 (116.1-367.7)</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431.6 (276.5-614.1)</w:t>
            </w:r>
          </w:p>
        </w:tc>
      </w:tr>
      <w:tr w:rsidR="007A775F">
        <w:trPr>
          <w:gridAfter w:val="1"/>
          <w:wAfter w:w="94" w:type="dxa"/>
          <w:trHeight w:val="296"/>
        </w:trPr>
        <w:tc>
          <w:tcPr>
            <w:tcW w:w="1005" w:type="dxa"/>
            <w:gridSpan w:val="2"/>
            <w:tcBorders>
              <w:top w:val="nil"/>
              <w:left w:val="nil"/>
              <w:bottom w:val="single" w:sz="4" w:space="0" w:color="auto"/>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MIP-3α</w:t>
            </w:r>
          </w:p>
        </w:tc>
        <w:tc>
          <w:tcPr>
            <w:tcW w:w="1884"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2785 (2174-5820)</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3447 (2474-5904)</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3501 (2565-6193)</w:t>
            </w:r>
          </w:p>
        </w:tc>
        <w:tc>
          <w:tcPr>
            <w:tcW w:w="190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5176 (3482-8014)</w:t>
            </w:r>
          </w:p>
        </w:tc>
      </w:tr>
      <w:tr w:rsidR="007A775F">
        <w:trPr>
          <w:gridBefore w:val="1"/>
          <w:gridAfter w:val="2"/>
          <w:wBefore w:w="78" w:type="dxa"/>
          <w:wAfter w:w="395" w:type="dxa"/>
          <w:trHeight w:val="296"/>
        </w:trPr>
        <w:tc>
          <w:tcPr>
            <w:tcW w:w="4641" w:type="dxa"/>
            <w:gridSpan w:val="5"/>
            <w:tcBorders>
              <w:top w:val="nil"/>
              <w:left w:val="nil"/>
              <w:bottom w:val="nil"/>
              <w:right w:val="nil"/>
            </w:tcBorders>
            <w:noWrap/>
            <w:vAlign w:val="bottom"/>
          </w:tcPr>
          <w:p w:rsidR="007A775F" w:rsidRDefault="007A775F">
            <w:pPr>
              <w:ind w:left="-126"/>
              <w:rPr>
                <w:rFonts w:ascii="Calibri" w:hAnsi="Calibri" w:cs="Calibri"/>
                <w:sz w:val="20"/>
                <w:szCs w:val="20"/>
              </w:rPr>
            </w:pPr>
            <w:r>
              <w:rPr>
                <w:rFonts w:ascii="Calibri" w:hAnsi="Calibri" w:cs="Calibri"/>
              </w:rPr>
              <w:t>Anti-inflammatory Cytokine</w:t>
            </w:r>
          </w:p>
        </w:tc>
        <w:tc>
          <w:tcPr>
            <w:tcW w:w="1793" w:type="dxa"/>
            <w:gridSpan w:val="3"/>
            <w:tcBorders>
              <w:top w:val="nil"/>
              <w:left w:val="nil"/>
              <w:bottom w:val="nil"/>
              <w:right w:val="nil"/>
            </w:tcBorders>
            <w:noWrap/>
            <w:vAlign w:val="bottom"/>
          </w:tcPr>
          <w:p w:rsidR="007A775F" w:rsidRDefault="007A775F">
            <w:pPr>
              <w:rPr>
                <w:rFonts w:ascii="Calibri" w:hAnsi="Calibri" w:cs="Calibri"/>
                <w:sz w:val="20"/>
                <w:szCs w:val="20"/>
              </w:rPr>
            </w:pPr>
          </w:p>
        </w:tc>
        <w:tc>
          <w:tcPr>
            <w:tcW w:w="1902" w:type="dxa"/>
            <w:gridSpan w:val="3"/>
            <w:tcBorders>
              <w:top w:val="nil"/>
              <w:left w:val="nil"/>
              <w:bottom w:val="nil"/>
              <w:right w:val="nil"/>
            </w:tcBorders>
            <w:noWrap/>
            <w:vAlign w:val="bottom"/>
          </w:tcPr>
          <w:p w:rsidR="007A775F" w:rsidRDefault="007A775F">
            <w:pPr>
              <w:rPr>
                <w:rFonts w:ascii="Calibri" w:hAnsi="Calibri" w:cs="Calibri"/>
                <w:sz w:val="20"/>
                <w:szCs w:val="20"/>
              </w:rPr>
            </w:pP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IL-10</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8.20 (8.20-150.0)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8.20 (8.20-8.20)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8.20 (8.20-219.0)</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8.20 (8.20-189.2)</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IL-13</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20.5 (20.5-20.5)</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20.5 (20.5-182.9)</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20.5(20.5-20.5)</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20.5 (20.5-104.0)</w:t>
            </w:r>
          </w:p>
        </w:tc>
      </w:tr>
      <w:tr w:rsidR="007A775F">
        <w:trPr>
          <w:gridAfter w:val="1"/>
          <w:wAfter w:w="94" w:type="dxa"/>
          <w:trHeight w:val="296"/>
        </w:trPr>
        <w:tc>
          <w:tcPr>
            <w:tcW w:w="1005" w:type="dxa"/>
            <w:gridSpan w:val="2"/>
            <w:tcBorders>
              <w:top w:val="nil"/>
              <w:left w:val="nil"/>
              <w:bottom w:val="single" w:sz="4" w:space="0" w:color="auto"/>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TGF-β</w:t>
            </w:r>
          </w:p>
        </w:tc>
        <w:tc>
          <w:tcPr>
            <w:tcW w:w="1884"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2192 (1579-4077)</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1000 (432.3-1910)</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1759 (794.1-3014)</w:t>
            </w:r>
          </w:p>
        </w:tc>
        <w:tc>
          <w:tcPr>
            <w:tcW w:w="190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487.8 (209.5-1279)</w:t>
            </w:r>
          </w:p>
        </w:tc>
      </w:tr>
      <w:tr w:rsidR="007A775F">
        <w:trPr>
          <w:gridAfter w:val="1"/>
          <w:wAfter w:w="93" w:type="dxa"/>
          <w:trHeight w:val="296"/>
        </w:trPr>
        <w:tc>
          <w:tcPr>
            <w:tcW w:w="8716" w:type="dxa"/>
            <w:gridSpan w:val="13"/>
            <w:tcBorders>
              <w:top w:val="single" w:sz="4" w:space="0" w:color="auto"/>
              <w:left w:val="nil"/>
              <w:bottom w:val="nil"/>
              <w:right w:val="nil"/>
            </w:tcBorders>
            <w:noWrap/>
            <w:vAlign w:val="bottom"/>
          </w:tcPr>
          <w:p w:rsidR="007A775F" w:rsidRDefault="007A775F">
            <w:pPr>
              <w:rPr>
                <w:rFonts w:ascii="Calibri" w:hAnsi="Calibri" w:cs="Calibri"/>
                <w:sz w:val="20"/>
                <w:szCs w:val="20"/>
              </w:rPr>
            </w:pPr>
            <w:r>
              <w:rPr>
                <w:rFonts w:ascii="Calibri" w:hAnsi="Calibri" w:cs="Calibri"/>
              </w:rPr>
              <w:t>Mediators of Activation, Proliferation, and Differentiation of Lymphocytes</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IL-2</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38.9 (26.7-59.2)</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99.9 (41.6-176.2)</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74.0 (33.3-117.0)</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114.4 (85.5-159.9)</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IL-7</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1451 (1092-1866)</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2796 (1463-4294)</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2039 (1583-3387)</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1932 (1382-2768)</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IL-12</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4.60 (4.60-4.60)</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4.60 (4.60-95.8)</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41.5 (4.60-112.0)</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4.60 (4.60-4.60)</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IL-15</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49.1 (50.1-126.3)</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54.6 (4.90-171.4)</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88.0 (4.90-165.6)</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239.7 (167.8-329.4)</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IL-16</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372.1 (20.8-222.8)</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22.9 (1.50-81.2)</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41.0 (10.3-231.2)</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328.3 (210.3-809.4)</w:t>
            </w:r>
          </w:p>
        </w:tc>
      </w:tr>
      <w:tr w:rsidR="007A775F">
        <w:trPr>
          <w:gridAfter w:val="1"/>
          <w:wAfter w:w="94" w:type="dxa"/>
          <w:trHeight w:val="296"/>
        </w:trPr>
        <w:tc>
          <w:tcPr>
            <w:tcW w:w="1005" w:type="dxa"/>
            <w:gridSpan w:val="2"/>
            <w:tcBorders>
              <w:top w:val="nil"/>
              <w:left w:val="nil"/>
              <w:bottom w:val="nil"/>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IFN-γ</w:t>
            </w:r>
          </w:p>
        </w:tc>
        <w:tc>
          <w:tcPr>
            <w:tcW w:w="1884" w:type="dxa"/>
            <w:gridSpan w:val="2"/>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3.20 (3.20-16.8)</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149.1 (3.20-287.4)</w:t>
            </w:r>
          </w:p>
        </w:tc>
        <w:tc>
          <w:tcPr>
            <w:tcW w:w="196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106.6 (3.20-214.2)</w:t>
            </w:r>
          </w:p>
        </w:tc>
        <w:tc>
          <w:tcPr>
            <w:tcW w:w="1902" w:type="dxa"/>
            <w:gridSpan w:val="3"/>
            <w:tcBorders>
              <w:top w:val="nil"/>
              <w:left w:val="nil"/>
              <w:bottom w:val="nil"/>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93.0 (36.6-159.6)</w:t>
            </w:r>
          </w:p>
        </w:tc>
      </w:tr>
      <w:tr w:rsidR="007A775F">
        <w:trPr>
          <w:gridAfter w:val="1"/>
          <w:wAfter w:w="94" w:type="dxa"/>
          <w:trHeight w:val="296"/>
        </w:trPr>
        <w:tc>
          <w:tcPr>
            <w:tcW w:w="1005" w:type="dxa"/>
            <w:gridSpan w:val="2"/>
            <w:tcBorders>
              <w:top w:val="nil"/>
              <w:left w:val="nil"/>
              <w:bottom w:val="single" w:sz="4" w:space="0" w:color="auto"/>
              <w:right w:val="nil"/>
            </w:tcBorders>
            <w:noWrap/>
            <w:vAlign w:val="bottom"/>
          </w:tcPr>
          <w:p w:rsidR="007A775F" w:rsidRDefault="007A775F">
            <w:pPr>
              <w:rPr>
                <w:rFonts w:ascii="Calibri" w:hAnsi="Calibri" w:cs="Calibri"/>
                <w:b w:val="0"/>
                <w:bCs w:val="0"/>
                <w:sz w:val="20"/>
                <w:szCs w:val="20"/>
              </w:rPr>
            </w:pPr>
            <w:r>
              <w:rPr>
                <w:rFonts w:ascii="Calibri" w:hAnsi="Calibri" w:cs="Calibri"/>
                <w:b w:val="0"/>
                <w:bCs w:val="0"/>
                <w:sz w:val="20"/>
                <w:szCs w:val="20"/>
              </w:rPr>
              <w:t>GRO-α</w:t>
            </w:r>
          </w:p>
        </w:tc>
        <w:tc>
          <w:tcPr>
            <w:tcW w:w="1884" w:type="dxa"/>
            <w:gridSpan w:val="2"/>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5035 (3216-11485)</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3184 (1310-10049)</w:t>
            </w:r>
          </w:p>
        </w:tc>
        <w:tc>
          <w:tcPr>
            <w:tcW w:w="196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4518 (2153-8516)</w:t>
            </w:r>
          </w:p>
        </w:tc>
        <w:tc>
          <w:tcPr>
            <w:tcW w:w="1902" w:type="dxa"/>
            <w:gridSpan w:val="3"/>
            <w:tcBorders>
              <w:top w:val="nil"/>
              <w:left w:val="nil"/>
              <w:bottom w:val="single" w:sz="4" w:space="0" w:color="auto"/>
              <w:right w:val="nil"/>
            </w:tcBorders>
            <w:noWrap/>
            <w:vAlign w:val="bottom"/>
          </w:tcPr>
          <w:p w:rsidR="007A775F" w:rsidRDefault="007A775F">
            <w:pPr>
              <w:jc w:val="center"/>
              <w:rPr>
                <w:rFonts w:ascii="Calibri" w:hAnsi="Calibri" w:cs="Calibri"/>
                <w:b w:val="0"/>
                <w:bCs w:val="0"/>
                <w:sz w:val="20"/>
                <w:szCs w:val="20"/>
              </w:rPr>
            </w:pPr>
            <w:r>
              <w:rPr>
                <w:rFonts w:ascii="Calibri" w:hAnsi="Calibri" w:cs="Calibri"/>
                <w:b w:val="0"/>
                <w:bCs w:val="0"/>
                <w:sz w:val="20"/>
                <w:szCs w:val="20"/>
              </w:rPr>
              <w:t>7620 (4677-13738)</w:t>
            </w:r>
          </w:p>
        </w:tc>
      </w:tr>
    </w:tbl>
    <w:p w:rsidR="007A775F" w:rsidRDefault="007A775F">
      <w:pPr>
        <w:rPr>
          <w:rFonts w:ascii="Times New Roman" w:hAnsi="Times New Roman" w:cs="Times New Roman"/>
          <w:b w:val="0"/>
          <w:bCs w:val="0"/>
          <w:sz w:val="24"/>
          <w:szCs w:val="24"/>
        </w:rPr>
      </w:pPr>
    </w:p>
    <w:p w:rsidR="007A775F" w:rsidRDefault="007A775F">
      <w:pPr>
        <w:rPr>
          <w:rFonts w:ascii="Times New Roman" w:hAnsi="Times New Roman" w:cs="Times New Roman"/>
          <w:b w:val="0"/>
          <w:bCs w:val="0"/>
          <w:sz w:val="24"/>
          <w:szCs w:val="24"/>
        </w:rPr>
      </w:pPr>
      <w:r>
        <w:rPr>
          <w:rFonts w:ascii="Times New Roman" w:hAnsi="Times New Roman" w:cs="Times New Roman"/>
          <w:sz w:val="24"/>
          <w:szCs w:val="24"/>
          <w:u w:val="single"/>
        </w:rPr>
        <w:t>Supplemental Table 3</w:t>
      </w:r>
      <w:r>
        <w:rPr>
          <w:rFonts w:ascii="Times New Roman" w:hAnsi="Times New Roman" w:cs="Times New Roman"/>
          <w:sz w:val="24"/>
          <w:szCs w:val="24"/>
        </w:rPr>
        <w:t xml:space="preserve">: </w:t>
      </w:r>
      <w:r>
        <w:rPr>
          <w:rFonts w:ascii="Times New Roman" w:hAnsi="Times New Roman" w:cs="Times New Roman"/>
          <w:b w:val="0"/>
          <w:bCs w:val="0"/>
          <w:sz w:val="24"/>
          <w:szCs w:val="24"/>
        </w:rPr>
        <w:t>Comparison of cytokine/chemokine levels (pg/mL) in seminal plasma between four groups, namely HIV-uninfected individuals, ART-naïve early HIV-infected individuals, ART-naïve individuals in a later stage of HIV infection and HIV-infected individuals on long-term ART and with undetectable HIV RNA levels in blood. Median and interquartile range (IQR) is shown for each cytokine/chemokine.</w:t>
      </w:r>
    </w:p>
    <w:p w:rsidR="007A775F" w:rsidRDefault="007A775F">
      <w:pPr>
        <w:rPr>
          <w:rFonts w:ascii="Times New Roman" w:hAnsi="Times New Roman" w:cs="Times New Roman"/>
        </w:rPr>
      </w:pPr>
    </w:p>
    <w:sectPr w:rsidR="007A775F" w:rsidSect="007A7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00B0500000000000000"/>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0D2"/>
    <w:multiLevelType w:val="hybridMultilevel"/>
    <w:tmpl w:val="B9F442B6"/>
    <w:lvl w:ilvl="0" w:tplc="59CED116">
      <w:start w:val="1"/>
      <w:numFmt w:val="lowerRoman"/>
      <w:lvlText w:val="(%1)"/>
      <w:lvlJc w:val="left"/>
      <w:pPr>
        <w:ind w:left="1740" w:hanging="102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75F"/>
    <w:rsid w:val="007A77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bC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Pr>
      <w:rFonts w:ascii="Times New Roman" w:eastAsia="?????? Pro W3" w:hAnsi="Times New Roman" w:cs="Times New Roman"/>
      <w:color w:val="000000"/>
      <w:sz w:val="20"/>
      <w:szCs w:val="20"/>
      <w:lang w:val="de-DE"/>
    </w:rPr>
  </w:style>
  <w:style w:type="paragraph" w:styleId="ListParagraph">
    <w:name w:val="List Paragraph"/>
    <w:basedOn w:val="Normal"/>
    <w:uiPriority w:val="99"/>
    <w:qFormat/>
    <w:pPr>
      <w:ind w:left="720"/>
    </w:pPr>
    <w:rPr>
      <w:rFonts w:ascii="Cambria" w:eastAsia="MS ??" w:hAnsi="Cambria" w:cs="Cambria"/>
      <w:b w:val="0"/>
      <w:bCs w:val="0"/>
      <w:color w:val="auto"/>
      <w:sz w:val="24"/>
      <w:szCs w:val="24"/>
      <w:lang w:eastAsia="ja-JP"/>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b/>
      <w:bCs/>
      <w:color w:val="000000"/>
      <w:sz w:val="18"/>
      <w:szCs w:val="18"/>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b/>
      <w:bCs/>
      <w:color w:val="000000"/>
      <w:sz w:val="20"/>
      <w:szCs w:val="20"/>
    </w:rPr>
  </w:style>
  <w:style w:type="paragraph" w:styleId="CommentSubject">
    <w:name w:val="annotation subject"/>
    <w:basedOn w:val="CommentText"/>
    <w:next w:val="CommentText"/>
    <w:link w:val="CommentSubjectChar"/>
    <w:uiPriority w:val="99"/>
  </w:style>
  <w:style w:type="character" w:customStyle="1" w:styleId="CommentSubjectChar">
    <w:name w:val="Comment Subject Char"/>
    <w:basedOn w:val="CommentTextChar"/>
    <w:link w:val="CommentSubject"/>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1604</Words>
  <Characters>9147</Characters>
  <Application>Microsoft Office Outlook</Application>
  <DocSecurity>0</DocSecurity>
  <Lines>0</Lines>
  <Paragraphs>0</Paragraphs>
  <ScaleCrop>false</ScaleCrop>
  <Company>NICHD/NIH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dc:title>
  <dc:subject/>
  <dc:creator>NICHD NICHD</dc:creator>
  <cp:keywords/>
  <dc:description/>
  <cp:lastModifiedBy>TEESLWW</cp:lastModifiedBy>
  <cp:revision>2</cp:revision>
  <cp:lastPrinted>2015-06-03T18:31:00Z</cp:lastPrinted>
  <dcterms:created xsi:type="dcterms:W3CDTF">2015-12-03T09:30:00Z</dcterms:created>
  <dcterms:modified xsi:type="dcterms:W3CDTF">2015-12-03T09:30:00Z</dcterms:modified>
</cp:coreProperties>
</file>