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D1" w:rsidRDefault="00E674D1">
      <w:pPr>
        <w:jc w:val="center"/>
        <w:rPr>
          <w:b/>
          <w:bCs/>
          <w:sz w:val="24"/>
          <w:szCs w:val="24"/>
        </w:rPr>
      </w:pPr>
      <w:r>
        <w:rPr>
          <w:b/>
          <w:bCs/>
          <w:sz w:val="24"/>
          <w:szCs w:val="24"/>
        </w:rPr>
        <w:t>Supplemental information</w:t>
      </w:r>
    </w:p>
    <w:p w:rsidR="00E674D1" w:rsidRDefault="00E674D1">
      <w:pPr>
        <w:rPr>
          <w:sz w:val="24"/>
          <w:szCs w:val="24"/>
        </w:rPr>
      </w:pPr>
    </w:p>
    <w:p w:rsidR="00E674D1" w:rsidRDefault="00E674D1">
      <w:pPr>
        <w:spacing w:line="360" w:lineRule="auto"/>
        <w:ind w:left="-360" w:right="-540"/>
        <w:jc w:val="both"/>
        <w:rPr>
          <w:sz w:val="24"/>
          <w:szCs w:val="24"/>
        </w:rPr>
      </w:pPr>
      <w:r>
        <w:rPr>
          <w:b/>
          <w:bCs/>
          <w:sz w:val="24"/>
          <w:szCs w:val="24"/>
        </w:rPr>
        <w:t xml:space="preserve">Animal studies. </w:t>
      </w:r>
      <w:r>
        <w:rPr>
          <w:sz w:val="24"/>
          <w:szCs w:val="24"/>
        </w:rPr>
        <w:t>Five juvenile pigtailed macaques (</w:t>
      </w:r>
      <w:r>
        <w:rPr>
          <w:i/>
          <w:iCs/>
          <w:sz w:val="24"/>
          <w:szCs w:val="24"/>
        </w:rPr>
        <w:t>Macaca nemestrina</w:t>
      </w:r>
      <w:r>
        <w:rPr>
          <w:sz w:val="24"/>
          <w:szCs w:val="24"/>
        </w:rPr>
        <w:t xml:space="preserve">) were inoculated i.v. with SIV/Delta B670 and SIV/17E-Fr, as previously described (see main text). At 12 days p.i., three animals started ART with a combination of tenofovir (30 mg/kg SID subq. for two weeks, then 10 mg/kg), darunavir (480 mg/kg BID p.o.), ritonavir (24 mg/kg BID p.o.), and the integrase inhibitor L000870812 (10 mg/kg BID p.o.). </w:t>
      </w:r>
    </w:p>
    <w:p w:rsidR="00E674D1" w:rsidRDefault="00E674D1">
      <w:pPr>
        <w:spacing w:line="360" w:lineRule="auto"/>
        <w:ind w:left="-360" w:right="-540"/>
        <w:jc w:val="both"/>
        <w:rPr>
          <w:sz w:val="24"/>
          <w:szCs w:val="24"/>
        </w:rPr>
      </w:pPr>
      <w:r>
        <w:rPr>
          <w:sz w:val="24"/>
          <w:szCs w:val="24"/>
        </w:rPr>
        <w:t xml:space="preserve">At day 515 p.i. (503 days after ART initiation), one animal (Mn0) was mock-treated while two animals (Mn1, Mn2) were treated with ingenol-B (0.4 mg/kg/day for 30 days, then 0.6 mg/kg/day for 10 days). The concentration of ingenol-B was based on previous toxicology studies done in dogs and did not cause detectable side effects (Fig. S1). After a 15-day interruption, Mn1 and Mn2 were treated with ingenol-B (0.5 mg/kg/day) and vorinostat (6 mg/kg subq. infusion 4 times) for 10 days. ART was continued until the terminal time point. Macaques Mn0 and Mn2 remained asymptomatic throughout infection and were euthanized at days 627 and 628 p.i., respectively. Macaque Mn1 developed neurological symptoms and was euthanized at day 617 p.i. </w:t>
      </w:r>
    </w:p>
    <w:p w:rsidR="00E674D1" w:rsidRDefault="00E674D1">
      <w:pPr>
        <w:spacing w:line="360" w:lineRule="auto"/>
        <w:ind w:left="-360" w:right="-540"/>
        <w:jc w:val="both"/>
        <w:rPr>
          <w:b/>
          <w:bCs/>
          <w:sz w:val="24"/>
          <w:szCs w:val="24"/>
        </w:rPr>
      </w:pPr>
      <w:r>
        <w:rPr>
          <w:sz w:val="24"/>
          <w:szCs w:val="24"/>
        </w:rPr>
        <w:t xml:space="preserve">Another group of two macaques (Mn3, Mn4) was part of a six-animal cohort used for viral rebound studies. Because the main goal was to use an ART regimen with higher penetrance in the CNS, atazanavir was used in the place of darunavir, as suggested by Dr. Scott Letendre </w:t>
      </w:r>
      <w:r>
        <w:rPr>
          <w:sz w:val="24"/>
          <w:szCs w:val="24"/>
        </w:rPr>
        <w:fldChar w:fldCharType="begin">
          <w:fldData xml:space="preserve">PEVuZE5vdGU+PENpdGU+PEF1dGhvcj5MZXRlbmRyZTwvQXV0aG9yPjxZZWFyPjIwMDg8L1llYXI+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</w:fldData>
        </w:fldChar>
      </w:r>
      <w:r>
        <w:rPr>
          <w:sz w:val="24"/>
          <w:szCs w:val="24"/>
        </w:rPr>
        <w:instrText xml:space="preserve"> ADDIN EN.CITE </w:instrText>
      </w:r>
      <w:r>
        <w:rPr>
          <w:sz w:val="24"/>
          <w:szCs w:val="24"/>
        </w:rPr>
        <w:fldChar w:fldCharType="begin">
          <w:fldData xml:space="preserve">PEVuZE5vdGU+PENpdGU+PEF1dGhvcj5MZXRlbmRyZTwvQXV0aG9yPjxZZWFyPjIwMDg8L1llYXI+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(1)</w:t>
      </w:r>
      <w:r>
        <w:rPr>
          <w:sz w:val="24"/>
          <w:szCs w:val="24"/>
        </w:rPr>
        <w:fldChar w:fldCharType="end"/>
      </w:r>
      <w:r>
        <w:rPr>
          <w:sz w:val="24"/>
          <w:szCs w:val="24"/>
        </w:rPr>
        <w:t xml:space="preserve">. Animals started ART at 12 days p.i. with a combination of tenofovir (30 mg/kg SID subq. for two weeks, then 10 mg/kg), atazanavir (270 mg/kg BID p.o.), ritonavir (24 mg/kg BID p.o.), and L000870812 (10 mg/kg BID p.o.). At 120 p.i., several animals in the cohort showed signs of antiretroviral resistance. To maintain the cohort uniform, atazanavir was changed in all animals to darunavir (480 mg/kg BID p.o.). Once animals were virally suppressed, atazanavir treatment resumed and darunavir was stopped </w:t>
      </w:r>
      <w:bookmarkStart w:id="0" w:name="_GoBack"/>
      <w:bookmarkEnd w:id="0"/>
      <w:r>
        <w:rPr>
          <w:sz w:val="24"/>
          <w:szCs w:val="24"/>
        </w:rPr>
        <w:t>(189 days p.i.). However, animal Mn3 started showing signs of ART resistance and had to return to darunavir at 225 days p.i. to lower plasma VL. For animal Mn4, ART was withdrawn at day 232 p.i. and euthanasia performed four days later. For animal Mn3, ART was withdrawn at day 292 p.i. and euthanasia performed three days later.</w:t>
      </w: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sz w:val="24"/>
          <w:szCs w:val="24"/>
        </w:rPr>
      </w:pPr>
      <w:r>
        <w:rPr>
          <w:b/>
          <w:bCs/>
          <w:sz w:val="24"/>
          <w:szCs w:val="24"/>
        </w:rPr>
        <w:t>Table S1.</w:t>
      </w:r>
      <w:r>
        <w:rPr>
          <w:sz w:val="24"/>
          <w:szCs w:val="24"/>
        </w:rPr>
        <w:t xml:space="preserve"> Description of human cohort from Johns Hopkins University. </w:t>
      </w:r>
    </w:p>
    <w:p w:rsidR="00E674D1" w:rsidRDefault="00E674D1">
      <w:pPr>
        <w:spacing w:line="276" w:lineRule="auto"/>
        <w:ind w:left="-360" w:right="-540"/>
        <w:jc w:val="both"/>
      </w:pPr>
    </w:p>
    <w:p w:rsidR="00E674D1" w:rsidRDefault="00E674D1">
      <w:pPr>
        <w:spacing w:line="276" w:lineRule="auto"/>
        <w:ind w:left="-360" w:right="-540"/>
        <w:jc w:val="cen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486pt;height:111.75pt;visibility:visible">
            <v:imagedata r:id="rId4" o:title=""/>
          </v:shape>
        </w:pict>
      </w:r>
    </w:p>
    <w:p w:rsidR="00E674D1" w:rsidRDefault="00E674D1">
      <w:pPr>
        <w:spacing w:line="276" w:lineRule="auto"/>
        <w:ind w:left="-270" w:right="-90"/>
        <w:jc w:val="both"/>
      </w:pPr>
      <w:r>
        <w:rPr>
          <w:sz w:val="18"/>
          <w:szCs w:val="18"/>
        </w:rPr>
        <w:t xml:space="preserve">Abbreviations: ABC: abacavir; ATV: atazanavir; DRV: darunavir; EFV: efavirenz; FTC: emtricitabine; RAL: raltegravir; TDF: tenofovir; ZDV: zidovudine; /r: boosted with ritonavir. </w:t>
      </w:r>
    </w:p>
    <w:p w:rsidR="00E674D1" w:rsidRDefault="00E674D1">
      <w:pPr>
        <w:spacing w:line="276" w:lineRule="auto"/>
        <w:ind w:left="-360" w:right="-540"/>
        <w:jc w:val="both"/>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b/>
          <w:bCs/>
          <w:sz w:val="24"/>
          <w:szCs w:val="24"/>
        </w:rPr>
      </w:pPr>
    </w:p>
    <w:p w:rsidR="00E674D1" w:rsidRDefault="00E674D1">
      <w:pPr>
        <w:spacing w:line="276" w:lineRule="auto"/>
        <w:ind w:left="-360" w:right="-540"/>
        <w:jc w:val="both"/>
        <w:rPr>
          <w:sz w:val="24"/>
          <w:szCs w:val="24"/>
        </w:rPr>
      </w:pPr>
      <w:r>
        <w:rPr>
          <w:b/>
          <w:bCs/>
          <w:sz w:val="24"/>
          <w:szCs w:val="24"/>
        </w:rPr>
        <w:t>Table S2.</w:t>
      </w:r>
      <w:r>
        <w:rPr>
          <w:sz w:val="24"/>
          <w:szCs w:val="24"/>
        </w:rPr>
        <w:t xml:space="preserve"> Description of human cohort from Université Libre de Bruxelles.</w:t>
      </w:r>
    </w:p>
    <w:p w:rsidR="00E674D1" w:rsidRDefault="00E674D1">
      <w:pPr>
        <w:spacing w:line="276" w:lineRule="auto"/>
        <w:ind w:left="-360" w:right="-540"/>
        <w:jc w:val="both"/>
      </w:pPr>
    </w:p>
    <w:p w:rsidR="00E674D1" w:rsidRDefault="00E674D1">
      <w:pPr>
        <w:spacing w:line="276" w:lineRule="auto"/>
        <w:ind w:left="-360" w:right="-540"/>
        <w:jc w:val="both"/>
        <w:rPr>
          <w:sz w:val="18"/>
          <w:szCs w:val="18"/>
        </w:rPr>
      </w:pPr>
      <w:r>
        <w:rPr>
          <w:noProof/>
          <w:sz w:val="18"/>
          <w:szCs w:val="18"/>
          <w:lang w:eastAsia="en-US"/>
        </w:rPr>
        <w:pict>
          <v:shape id="Picture 12" o:spid="_x0000_i1026" type="#_x0000_t75" style="width:536.25pt;height:122.25pt;visibility:visible">
            <v:imagedata r:id="rId5" o:title=""/>
          </v:shape>
        </w:pict>
      </w:r>
      <w:r>
        <w:rPr>
          <w:sz w:val="18"/>
          <w:szCs w:val="18"/>
        </w:rPr>
        <w:t>Abbreviations: ABC: abacavir; ATV: atazanavir; EFV: efavirenz; FTC: emtricitabine; NVP: nevirapine; TDF: tenofovir; ZDV: zidovudine; /r: boosted with ritonavir.</w:t>
      </w: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sz w:val="24"/>
          <w:szCs w:val="24"/>
        </w:rPr>
      </w:pPr>
      <w:r>
        <w:rPr>
          <w:b/>
          <w:bCs/>
          <w:sz w:val="24"/>
          <w:szCs w:val="24"/>
        </w:rPr>
        <w:t xml:space="preserve">Table S3. </w:t>
      </w:r>
      <w:r>
        <w:rPr>
          <w:sz w:val="24"/>
          <w:szCs w:val="24"/>
        </w:rPr>
        <w:t xml:space="preserve">Levels of darunavir (DRV), ritonavir (RTV), integrase inhibitor L-870812, and tenofovir (TFV) in tissues of Mn0, Pt1, and Pt2, measured by </w:t>
      </w:r>
      <w:r>
        <w:rPr>
          <w:sz w:val="24"/>
          <w:szCs w:val="24"/>
          <w:lang/>
        </w:rPr>
        <w:t>liquid chromatography–mass spectrometry (</w:t>
      </w:r>
      <w:r>
        <w:rPr>
          <w:sz w:val="24"/>
          <w:szCs w:val="24"/>
        </w:rPr>
        <w:t xml:space="preserve">CFAR clinical pharmacology and analytical chemistry core - </w:t>
      </w:r>
      <w:r>
        <w:rPr>
          <w:sz w:val="24"/>
          <w:szCs w:val="24"/>
          <w:lang/>
        </w:rPr>
        <w:t>University of North Carolina)</w:t>
      </w:r>
      <w:r>
        <w:rPr>
          <w:sz w:val="24"/>
          <w:szCs w:val="24"/>
        </w:rPr>
        <w:t xml:space="preserve">. </w:t>
      </w:r>
    </w:p>
    <w:tbl>
      <w:tblPr>
        <w:tblW w:w="6854" w:type="dxa"/>
        <w:jc w:val="center"/>
        <w:tblLayout w:type="fixed"/>
        <w:tblLook w:val="0000"/>
      </w:tblPr>
      <w:tblGrid>
        <w:gridCol w:w="570"/>
        <w:gridCol w:w="1755"/>
        <w:gridCol w:w="1017"/>
        <w:gridCol w:w="832"/>
        <w:gridCol w:w="924"/>
        <w:gridCol w:w="1017"/>
        <w:gridCol w:w="739"/>
      </w:tblGrid>
      <w:tr w:rsidR="00E674D1">
        <w:trPr>
          <w:trHeight w:val="572"/>
          <w:jc w:val="center"/>
        </w:trPr>
        <w:tc>
          <w:tcPr>
            <w:tcW w:w="2325" w:type="dxa"/>
            <w:gridSpan w:val="2"/>
            <w:tcBorders>
              <w:top w:val="single" w:sz="8" w:space="0" w:color="auto"/>
              <w:left w:val="single" w:sz="8" w:space="0" w:color="auto"/>
              <w:bottom w:val="single" w:sz="8" w:space="0" w:color="auto"/>
              <w:right w:val="single" w:sz="8" w:space="0" w:color="000000"/>
            </w:tcBorders>
            <w:shd w:val="clear" w:color="000000" w:fill="F2F2F2"/>
            <w:vAlign w:val="center"/>
          </w:tcPr>
          <w:p w:rsidR="00E674D1" w:rsidRDefault="00E674D1">
            <w:pPr>
              <w:jc w:val="center"/>
              <w:rPr>
                <w:rFonts w:ascii="Calibri" w:hAnsi="Calibri" w:cs="Calibri"/>
                <w:b/>
                <w:bCs/>
                <w:color w:val="000000"/>
                <w:sz w:val="16"/>
                <w:szCs w:val="16"/>
                <w:lang w:eastAsia="en-US"/>
              </w:rPr>
            </w:pPr>
            <w:r>
              <w:rPr>
                <w:rFonts w:ascii="Calibri" w:hAnsi="Calibri" w:cs="Calibri"/>
                <w:b/>
                <w:bCs/>
                <w:color w:val="000000"/>
                <w:sz w:val="16"/>
                <w:szCs w:val="16"/>
                <w:lang w:eastAsia="en-US"/>
              </w:rPr>
              <w:t>Sample ID</w:t>
            </w:r>
          </w:p>
        </w:tc>
        <w:tc>
          <w:tcPr>
            <w:tcW w:w="1017" w:type="dxa"/>
            <w:tcBorders>
              <w:top w:val="single" w:sz="8" w:space="0" w:color="auto"/>
              <w:left w:val="nil"/>
              <w:bottom w:val="nil"/>
              <w:right w:val="single" w:sz="8" w:space="0" w:color="auto"/>
            </w:tcBorders>
            <w:shd w:val="clear" w:color="000000" w:fill="F2F2F2"/>
            <w:vAlign w:val="center"/>
          </w:tcPr>
          <w:p w:rsidR="00E674D1" w:rsidRDefault="00E674D1">
            <w:pPr>
              <w:jc w:val="center"/>
              <w:rPr>
                <w:rFonts w:ascii="Calibri" w:hAnsi="Calibri" w:cs="Calibri"/>
                <w:b/>
                <w:bCs/>
                <w:color w:val="000000"/>
                <w:sz w:val="16"/>
                <w:szCs w:val="16"/>
                <w:lang w:eastAsia="en-US"/>
              </w:rPr>
            </w:pPr>
            <w:r>
              <w:rPr>
                <w:rFonts w:ascii="Calibri" w:hAnsi="Calibri" w:cs="Calibri"/>
                <w:b/>
                <w:bCs/>
                <w:color w:val="000000"/>
                <w:sz w:val="16"/>
                <w:szCs w:val="16"/>
                <w:lang w:eastAsia="en-US"/>
              </w:rPr>
              <w:t>Tissue Area (mm</w:t>
            </w:r>
            <w:r>
              <w:rPr>
                <w:rFonts w:ascii="Calibri" w:hAnsi="Calibri" w:cs="Calibri"/>
                <w:b/>
                <w:bCs/>
                <w:color w:val="000000"/>
                <w:sz w:val="16"/>
                <w:szCs w:val="16"/>
                <w:vertAlign w:val="superscript"/>
                <w:lang w:eastAsia="en-US"/>
              </w:rPr>
              <w:t>2</w:t>
            </w:r>
            <w:r>
              <w:rPr>
                <w:rFonts w:ascii="Calibri" w:hAnsi="Calibri" w:cs="Calibri"/>
                <w:b/>
                <w:bCs/>
                <w:color w:val="000000"/>
                <w:sz w:val="16"/>
                <w:szCs w:val="16"/>
                <w:lang w:eastAsia="en-US"/>
              </w:rPr>
              <w:t>)</w:t>
            </w:r>
          </w:p>
        </w:tc>
        <w:tc>
          <w:tcPr>
            <w:tcW w:w="832" w:type="dxa"/>
            <w:tcBorders>
              <w:top w:val="single" w:sz="8" w:space="0" w:color="auto"/>
              <w:left w:val="nil"/>
              <w:bottom w:val="nil"/>
              <w:right w:val="single" w:sz="8" w:space="0" w:color="auto"/>
            </w:tcBorders>
            <w:shd w:val="clear" w:color="000000" w:fill="F2F2F2"/>
            <w:vAlign w:val="center"/>
          </w:tcPr>
          <w:p w:rsidR="00E674D1" w:rsidRDefault="00E674D1">
            <w:pPr>
              <w:jc w:val="center"/>
              <w:rPr>
                <w:rFonts w:ascii="Calibri" w:hAnsi="Calibri" w:cs="Calibri"/>
                <w:b/>
                <w:bCs/>
                <w:color w:val="000000"/>
                <w:sz w:val="16"/>
                <w:szCs w:val="16"/>
                <w:lang w:eastAsia="en-US"/>
              </w:rPr>
            </w:pPr>
            <w:r>
              <w:rPr>
                <w:rFonts w:ascii="Calibri" w:hAnsi="Calibri" w:cs="Calibri"/>
                <w:b/>
                <w:bCs/>
                <w:color w:val="000000"/>
                <w:sz w:val="16"/>
                <w:szCs w:val="16"/>
                <w:lang w:eastAsia="en-US"/>
              </w:rPr>
              <w:t>DRV (ng/g)</w:t>
            </w:r>
          </w:p>
        </w:tc>
        <w:tc>
          <w:tcPr>
            <w:tcW w:w="924" w:type="dxa"/>
            <w:tcBorders>
              <w:top w:val="single" w:sz="8" w:space="0" w:color="auto"/>
              <w:left w:val="nil"/>
              <w:bottom w:val="nil"/>
              <w:right w:val="single" w:sz="8" w:space="0" w:color="auto"/>
            </w:tcBorders>
            <w:shd w:val="clear" w:color="000000" w:fill="F2F2F2"/>
            <w:vAlign w:val="center"/>
          </w:tcPr>
          <w:p w:rsidR="00E674D1" w:rsidRDefault="00E674D1">
            <w:pPr>
              <w:jc w:val="center"/>
              <w:rPr>
                <w:rFonts w:ascii="Calibri" w:hAnsi="Calibri" w:cs="Calibri"/>
                <w:b/>
                <w:bCs/>
                <w:color w:val="000000"/>
                <w:sz w:val="16"/>
                <w:szCs w:val="16"/>
                <w:lang w:eastAsia="en-US"/>
              </w:rPr>
            </w:pPr>
            <w:r>
              <w:rPr>
                <w:rFonts w:ascii="Calibri" w:hAnsi="Calibri" w:cs="Calibri"/>
                <w:b/>
                <w:bCs/>
                <w:color w:val="000000"/>
                <w:sz w:val="16"/>
                <w:szCs w:val="16"/>
                <w:lang w:eastAsia="en-US"/>
              </w:rPr>
              <w:t>RTV (ng/g)</w:t>
            </w:r>
          </w:p>
        </w:tc>
        <w:tc>
          <w:tcPr>
            <w:tcW w:w="1017" w:type="dxa"/>
            <w:tcBorders>
              <w:top w:val="single" w:sz="8" w:space="0" w:color="auto"/>
              <w:left w:val="nil"/>
              <w:bottom w:val="nil"/>
              <w:right w:val="single" w:sz="8" w:space="0" w:color="auto"/>
            </w:tcBorders>
            <w:shd w:val="clear" w:color="000000" w:fill="F2F2F2"/>
            <w:vAlign w:val="center"/>
          </w:tcPr>
          <w:p w:rsidR="00E674D1" w:rsidRDefault="00E674D1">
            <w:pPr>
              <w:jc w:val="center"/>
              <w:rPr>
                <w:rFonts w:ascii="Calibri" w:hAnsi="Calibri" w:cs="Calibri"/>
                <w:b/>
                <w:bCs/>
                <w:color w:val="000000"/>
                <w:sz w:val="16"/>
                <w:szCs w:val="16"/>
                <w:lang w:eastAsia="en-US"/>
              </w:rPr>
            </w:pPr>
            <w:r>
              <w:rPr>
                <w:rFonts w:ascii="Calibri" w:hAnsi="Calibri" w:cs="Calibri"/>
                <w:b/>
                <w:bCs/>
                <w:color w:val="000000"/>
                <w:sz w:val="16"/>
                <w:szCs w:val="16"/>
                <w:lang w:eastAsia="en-US"/>
              </w:rPr>
              <w:t>L-870812 (ng/g)</w:t>
            </w:r>
          </w:p>
        </w:tc>
        <w:tc>
          <w:tcPr>
            <w:tcW w:w="739" w:type="dxa"/>
            <w:tcBorders>
              <w:top w:val="single" w:sz="8" w:space="0" w:color="auto"/>
              <w:left w:val="nil"/>
              <w:bottom w:val="nil"/>
              <w:right w:val="single" w:sz="8" w:space="0" w:color="auto"/>
            </w:tcBorders>
            <w:shd w:val="clear" w:color="000000" w:fill="F2F2F2"/>
            <w:vAlign w:val="center"/>
          </w:tcPr>
          <w:p w:rsidR="00E674D1" w:rsidRDefault="00E674D1">
            <w:pPr>
              <w:jc w:val="center"/>
              <w:rPr>
                <w:rFonts w:ascii="Calibri" w:hAnsi="Calibri" w:cs="Calibri"/>
                <w:b/>
                <w:bCs/>
                <w:color w:val="000000"/>
                <w:sz w:val="16"/>
                <w:szCs w:val="16"/>
                <w:lang w:eastAsia="en-US"/>
              </w:rPr>
            </w:pPr>
            <w:r>
              <w:rPr>
                <w:rFonts w:ascii="Calibri" w:hAnsi="Calibri" w:cs="Calibri"/>
                <w:b/>
                <w:bCs/>
                <w:color w:val="000000"/>
                <w:sz w:val="16"/>
                <w:szCs w:val="16"/>
                <w:lang w:eastAsia="en-US"/>
              </w:rPr>
              <w:t>TFV (ng/g)</w:t>
            </w:r>
          </w:p>
        </w:tc>
      </w:tr>
      <w:tr w:rsidR="00E674D1">
        <w:trPr>
          <w:cantSplit/>
          <w:trHeight w:val="229"/>
          <w:jc w:val="center"/>
        </w:trPr>
        <w:tc>
          <w:tcPr>
            <w:tcW w:w="570" w:type="dxa"/>
            <w:vMerge w:val="restart"/>
            <w:tcBorders>
              <w:top w:val="nil"/>
              <w:left w:val="single" w:sz="8" w:space="0" w:color="auto"/>
              <w:bottom w:val="single" w:sz="8" w:space="0" w:color="000000"/>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Mn0</w:t>
            </w:r>
          </w:p>
        </w:tc>
        <w:tc>
          <w:tcPr>
            <w:tcW w:w="1755" w:type="dxa"/>
            <w:tcBorders>
              <w:top w:val="nil"/>
              <w:left w:val="nil"/>
              <w:bottom w:val="single" w:sz="8" w:space="0" w:color="auto"/>
              <w:right w:val="single" w:sz="8" w:space="0" w:color="auto"/>
            </w:tcBorders>
            <w:noWrap/>
            <w:vAlign w:val="center"/>
          </w:tcPr>
          <w:p w:rsidR="00E674D1" w:rsidRDefault="00E674D1">
            <w:pPr>
              <w:rPr>
                <w:rFonts w:ascii="Calibri" w:hAnsi="Calibri" w:cs="Calibri"/>
                <w:color w:val="000000"/>
                <w:sz w:val="16"/>
                <w:szCs w:val="16"/>
                <w:lang w:eastAsia="en-US"/>
              </w:rPr>
            </w:pPr>
            <w:r>
              <w:rPr>
                <w:rFonts w:ascii="Calibri" w:hAnsi="Calibri" w:cs="Calibri"/>
                <w:color w:val="000000"/>
                <w:sz w:val="16"/>
                <w:szCs w:val="16"/>
                <w:lang w:eastAsia="en-US"/>
              </w:rPr>
              <w:t>Brain - Basal Ganglia</w:t>
            </w:r>
          </w:p>
        </w:tc>
        <w:tc>
          <w:tcPr>
            <w:tcW w:w="1017" w:type="dxa"/>
            <w:tcBorders>
              <w:top w:val="single" w:sz="8" w:space="0" w:color="auto"/>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16</w:t>
            </w:r>
          </w:p>
        </w:tc>
        <w:tc>
          <w:tcPr>
            <w:tcW w:w="832" w:type="dxa"/>
            <w:tcBorders>
              <w:top w:val="single" w:sz="8" w:space="0" w:color="auto"/>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30</w:t>
            </w:r>
          </w:p>
        </w:tc>
        <w:tc>
          <w:tcPr>
            <w:tcW w:w="924" w:type="dxa"/>
            <w:tcBorders>
              <w:top w:val="single" w:sz="8" w:space="0" w:color="auto"/>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BLQ</w:t>
            </w:r>
          </w:p>
        </w:tc>
        <w:tc>
          <w:tcPr>
            <w:tcW w:w="1017" w:type="dxa"/>
            <w:tcBorders>
              <w:top w:val="single" w:sz="8" w:space="0" w:color="auto"/>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BLQ</w:t>
            </w:r>
          </w:p>
        </w:tc>
        <w:tc>
          <w:tcPr>
            <w:tcW w:w="739" w:type="dxa"/>
            <w:tcBorders>
              <w:top w:val="single" w:sz="8" w:space="0" w:color="auto"/>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256</w:t>
            </w:r>
          </w:p>
        </w:tc>
      </w:tr>
      <w:tr w:rsidR="00E674D1">
        <w:trPr>
          <w:cantSplit/>
          <w:trHeight w:val="229"/>
          <w:jc w:val="center"/>
        </w:trPr>
        <w:tc>
          <w:tcPr>
            <w:tcW w:w="570" w:type="dxa"/>
            <w:vMerge/>
            <w:tcBorders>
              <w:top w:val="nil"/>
              <w:left w:val="single" w:sz="8" w:space="0" w:color="auto"/>
              <w:bottom w:val="single" w:sz="8" w:space="0" w:color="000000"/>
              <w:right w:val="single" w:sz="8" w:space="0" w:color="auto"/>
            </w:tcBorders>
            <w:vAlign w:val="center"/>
          </w:tcPr>
          <w:p w:rsidR="00E674D1" w:rsidRDefault="00E674D1">
            <w:pPr>
              <w:rPr>
                <w:rFonts w:ascii="Calibri" w:hAnsi="Calibri" w:cs="Calibri"/>
                <w:color w:val="000000"/>
                <w:sz w:val="16"/>
                <w:szCs w:val="16"/>
                <w:lang w:eastAsia="en-US"/>
              </w:rPr>
            </w:pPr>
          </w:p>
        </w:tc>
        <w:tc>
          <w:tcPr>
            <w:tcW w:w="1755" w:type="dxa"/>
            <w:tcBorders>
              <w:top w:val="nil"/>
              <w:left w:val="nil"/>
              <w:bottom w:val="single" w:sz="8" w:space="0" w:color="auto"/>
              <w:right w:val="single" w:sz="8" w:space="0" w:color="auto"/>
            </w:tcBorders>
            <w:noWrap/>
            <w:vAlign w:val="center"/>
          </w:tcPr>
          <w:p w:rsidR="00E674D1" w:rsidRDefault="00E674D1">
            <w:pPr>
              <w:rPr>
                <w:rFonts w:ascii="Calibri" w:hAnsi="Calibri" w:cs="Calibri"/>
                <w:color w:val="000000"/>
                <w:sz w:val="16"/>
                <w:szCs w:val="16"/>
                <w:lang w:eastAsia="en-US"/>
              </w:rPr>
            </w:pPr>
            <w:r>
              <w:rPr>
                <w:rFonts w:ascii="Calibri" w:hAnsi="Calibri" w:cs="Calibri"/>
                <w:color w:val="000000"/>
                <w:sz w:val="16"/>
                <w:szCs w:val="16"/>
                <w:lang w:eastAsia="en-US"/>
              </w:rPr>
              <w:t>Brain - Occipital Cortex</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114</w:t>
            </w:r>
          </w:p>
        </w:tc>
        <w:tc>
          <w:tcPr>
            <w:tcW w:w="832" w:type="dxa"/>
            <w:tcBorders>
              <w:top w:val="nil"/>
              <w:left w:val="nil"/>
              <w:bottom w:val="single" w:sz="8" w:space="0" w:color="auto"/>
              <w:right w:val="single" w:sz="8" w:space="0" w:color="auto"/>
            </w:tcBorders>
            <w:shd w:val="clear" w:color="000000" w:fill="auto"/>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2,047</w:t>
            </w:r>
          </w:p>
        </w:tc>
        <w:tc>
          <w:tcPr>
            <w:tcW w:w="924" w:type="dxa"/>
            <w:tcBorders>
              <w:top w:val="nil"/>
              <w:left w:val="nil"/>
              <w:bottom w:val="single" w:sz="8" w:space="0" w:color="auto"/>
              <w:right w:val="single" w:sz="8" w:space="0" w:color="auto"/>
            </w:tcBorders>
            <w:shd w:val="clear" w:color="000000" w:fill="auto"/>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40</w:t>
            </w:r>
          </w:p>
        </w:tc>
        <w:tc>
          <w:tcPr>
            <w:tcW w:w="1017" w:type="dxa"/>
            <w:tcBorders>
              <w:top w:val="nil"/>
              <w:left w:val="nil"/>
              <w:bottom w:val="single" w:sz="8" w:space="0" w:color="auto"/>
              <w:right w:val="single" w:sz="8" w:space="0" w:color="auto"/>
            </w:tcBorders>
            <w:shd w:val="clear" w:color="000000" w:fill="auto"/>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32</w:t>
            </w:r>
          </w:p>
        </w:tc>
        <w:tc>
          <w:tcPr>
            <w:tcW w:w="739" w:type="dxa"/>
            <w:tcBorders>
              <w:top w:val="nil"/>
              <w:left w:val="nil"/>
              <w:bottom w:val="single" w:sz="8" w:space="0" w:color="auto"/>
              <w:right w:val="single" w:sz="8" w:space="0" w:color="auto"/>
            </w:tcBorders>
            <w:shd w:val="clear" w:color="000000" w:fill="auto"/>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39</w:t>
            </w:r>
          </w:p>
        </w:tc>
      </w:tr>
      <w:tr w:rsidR="00E674D1">
        <w:trPr>
          <w:cantSplit/>
          <w:trHeight w:val="229"/>
          <w:jc w:val="center"/>
        </w:trPr>
        <w:tc>
          <w:tcPr>
            <w:tcW w:w="570" w:type="dxa"/>
            <w:vMerge/>
            <w:tcBorders>
              <w:top w:val="nil"/>
              <w:left w:val="single" w:sz="8" w:space="0" w:color="auto"/>
              <w:bottom w:val="single" w:sz="8" w:space="0" w:color="000000"/>
              <w:right w:val="single" w:sz="8" w:space="0" w:color="auto"/>
            </w:tcBorders>
            <w:vAlign w:val="center"/>
          </w:tcPr>
          <w:p w:rsidR="00E674D1" w:rsidRDefault="00E674D1">
            <w:pPr>
              <w:rPr>
                <w:rFonts w:ascii="Calibri" w:hAnsi="Calibri" w:cs="Calibri"/>
                <w:color w:val="000000"/>
                <w:sz w:val="16"/>
                <w:szCs w:val="16"/>
                <w:lang w:eastAsia="en-US"/>
              </w:rPr>
            </w:pPr>
          </w:p>
        </w:tc>
        <w:tc>
          <w:tcPr>
            <w:tcW w:w="1755" w:type="dxa"/>
            <w:tcBorders>
              <w:top w:val="nil"/>
              <w:left w:val="nil"/>
              <w:bottom w:val="single" w:sz="8" w:space="0" w:color="auto"/>
              <w:right w:val="single" w:sz="8" w:space="0" w:color="auto"/>
            </w:tcBorders>
            <w:noWrap/>
            <w:vAlign w:val="center"/>
          </w:tcPr>
          <w:p w:rsidR="00E674D1" w:rsidRDefault="00E674D1">
            <w:pPr>
              <w:rPr>
                <w:rFonts w:ascii="Calibri" w:hAnsi="Calibri" w:cs="Calibri"/>
                <w:color w:val="000000"/>
                <w:sz w:val="16"/>
                <w:szCs w:val="16"/>
                <w:lang w:eastAsia="en-US"/>
              </w:rPr>
            </w:pPr>
            <w:r>
              <w:rPr>
                <w:rFonts w:ascii="Calibri" w:hAnsi="Calibri" w:cs="Calibri"/>
                <w:color w:val="000000"/>
                <w:sz w:val="16"/>
                <w:szCs w:val="16"/>
                <w:lang w:eastAsia="en-US"/>
              </w:rPr>
              <w:t>Brain - Parietal Cortex</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24</w:t>
            </w:r>
          </w:p>
        </w:tc>
        <w:tc>
          <w:tcPr>
            <w:tcW w:w="832"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42</w:t>
            </w:r>
          </w:p>
        </w:tc>
        <w:tc>
          <w:tcPr>
            <w:tcW w:w="924"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BLQ</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433</w:t>
            </w:r>
          </w:p>
        </w:tc>
        <w:tc>
          <w:tcPr>
            <w:tcW w:w="739"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190</w:t>
            </w:r>
          </w:p>
        </w:tc>
      </w:tr>
      <w:tr w:rsidR="00E674D1">
        <w:trPr>
          <w:cantSplit/>
          <w:trHeight w:val="229"/>
          <w:jc w:val="center"/>
        </w:trPr>
        <w:tc>
          <w:tcPr>
            <w:tcW w:w="570" w:type="dxa"/>
            <w:vMerge/>
            <w:tcBorders>
              <w:top w:val="nil"/>
              <w:left w:val="single" w:sz="8" w:space="0" w:color="auto"/>
              <w:bottom w:val="single" w:sz="8" w:space="0" w:color="000000"/>
              <w:right w:val="single" w:sz="8" w:space="0" w:color="auto"/>
            </w:tcBorders>
            <w:vAlign w:val="center"/>
          </w:tcPr>
          <w:p w:rsidR="00E674D1" w:rsidRDefault="00E674D1">
            <w:pPr>
              <w:rPr>
                <w:rFonts w:ascii="Calibri" w:hAnsi="Calibri" w:cs="Calibri"/>
                <w:color w:val="000000"/>
                <w:sz w:val="16"/>
                <w:szCs w:val="16"/>
                <w:lang w:eastAsia="en-US"/>
              </w:rPr>
            </w:pPr>
          </w:p>
        </w:tc>
        <w:tc>
          <w:tcPr>
            <w:tcW w:w="1755" w:type="dxa"/>
            <w:tcBorders>
              <w:top w:val="nil"/>
              <w:left w:val="nil"/>
              <w:bottom w:val="single" w:sz="8" w:space="0" w:color="auto"/>
              <w:right w:val="single" w:sz="8" w:space="0" w:color="auto"/>
            </w:tcBorders>
            <w:noWrap/>
            <w:vAlign w:val="center"/>
          </w:tcPr>
          <w:p w:rsidR="00E674D1" w:rsidRDefault="00E674D1">
            <w:pPr>
              <w:rPr>
                <w:rFonts w:ascii="Calibri" w:hAnsi="Calibri" w:cs="Calibri"/>
                <w:color w:val="000000"/>
                <w:sz w:val="16"/>
                <w:szCs w:val="16"/>
                <w:lang w:eastAsia="en-US"/>
              </w:rPr>
            </w:pPr>
            <w:r>
              <w:rPr>
                <w:rFonts w:ascii="Calibri" w:hAnsi="Calibri" w:cs="Calibri"/>
                <w:color w:val="000000"/>
                <w:sz w:val="16"/>
                <w:szCs w:val="16"/>
                <w:lang w:eastAsia="en-US"/>
              </w:rPr>
              <w:t>Liver</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12</w:t>
            </w:r>
          </w:p>
        </w:tc>
        <w:tc>
          <w:tcPr>
            <w:tcW w:w="832"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4,958</w:t>
            </w:r>
          </w:p>
        </w:tc>
        <w:tc>
          <w:tcPr>
            <w:tcW w:w="924"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221</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154</w:t>
            </w:r>
          </w:p>
        </w:tc>
        <w:tc>
          <w:tcPr>
            <w:tcW w:w="739"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1,072</w:t>
            </w:r>
          </w:p>
        </w:tc>
      </w:tr>
      <w:tr w:rsidR="00E674D1">
        <w:trPr>
          <w:cantSplit/>
          <w:trHeight w:val="229"/>
          <w:jc w:val="center"/>
        </w:trPr>
        <w:tc>
          <w:tcPr>
            <w:tcW w:w="570" w:type="dxa"/>
            <w:vMerge/>
            <w:tcBorders>
              <w:top w:val="nil"/>
              <w:left w:val="single" w:sz="8" w:space="0" w:color="auto"/>
              <w:bottom w:val="single" w:sz="8" w:space="0" w:color="000000"/>
              <w:right w:val="single" w:sz="8" w:space="0" w:color="auto"/>
            </w:tcBorders>
            <w:vAlign w:val="center"/>
          </w:tcPr>
          <w:p w:rsidR="00E674D1" w:rsidRDefault="00E674D1">
            <w:pPr>
              <w:rPr>
                <w:rFonts w:ascii="Calibri" w:hAnsi="Calibri" w:cs="Calibri"/>
                <w:color w:val="000000"/>
                <w:sz w:val="16"/>
                <w:szCs w:val="16"/>
                <w:lang w:eastAsia="en-US"/>
              </w:rPr>
            </w:pPr>
          </w:p>
        </w:tc>
        <w:tc>
          <w:tcPr>
            <w:tcW w:w="1755" w:type="dxa"/>
            <w:tcBorders>
              <w:top w:val="nil"/>
              <w:left w:val="nil"/>
              <w:bottom w:val="single" w:sz="8" w:space="0" w:color="auto"/>
              <w:right w:val="single" w:sz="8" w:space="0" w:color="auto"/>
            </w:tcBorders>
            <w:noWrap/>
            <w:vAlign w:val="center"/>
          </w:tcPr>
          <w:p w:rsidR="00E674D1" w:rsidRDefault="00E674D1">
            <w:pPr>
              <w:rPr>
                <w:rFonts w:ascii="Calibri" w:hAnsi="Calibri" w:cs="Calibri"/>
                <w:color w:val="000000"/>
                <w:sz w:val="16"/>
                <w:szCs w:val="16"/>
                <w:lang w:eastAsia="en-US"/>
              </w:rPr>
            </w:pPr>
            <w:r>
              <w:rPr>
                <w:rFonts w:ascii="Calibri" w:hAnsi="Calibri" w:cs="Calibri"/>
                <w:color w:val="000000"/>
                <w:sz w:val="16"/>
                <w:szCs w:val="16"/>
                <w:lang w:eastAsia="en-US"/>
              </w:rPr>
              <w:t>Spleen</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63</w:t>
            </w:r>
          </w:p>
        </w:tc>
        <w:tc>
          <w:tcPr>
            <w:tcW w:w="832"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173</w:t>
            </w:r>
          </w:p>
        </w:tc>
        <w:tc>
          <w:tcPr>
            <w:tcW w:w="924"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49</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19</w:t>
            </w:r>
          </w:p>
        </w:tc>
        <w:tc>
          <w:tcPr>
            <w:tcW w:w="739"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513</w:t>
            </w:r>
          </w:p>
        </w:tc>
      </w:tr>
      <w:tr w:rsidR="00E674D1">
        <w:trPr>
          <w:cantSplit/>
          <w:trHeight w:val="229"/>
          <w:jc w:val="center"/>
        </w:trPr>
        <w:tc>
          <w:tcPr>
            <w:tcW w:w="570" w:type="dxa"/>
            <w:vMerge w:val="restart"/>
            <w:tcBorders>
              <w:top w:val="nil"/>
              <w:left w:val="single" w:sz="8" w:space="0" w:color="auto"/>
              <w:bottom w:val="single" w:sz="8" w:space="0" w:color="000000"/>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Pt1</w:t>
            </w:r>
          </w:p>
        </w:tc>
        <w:tc>
          <w:tcPr>
            <w:tcW w:w="1755" w:type="dxa"/>
            <w:tcBorders>
              <w:top w:val="nil"/>
              <w:left w:val="nil"/>
              <w:bottom w:val="single" w:sz="8" w:space="0" w:color="auto"/>
              <w:right w:val="single" w:sz="8" w:space="0" w:color="auto"/>
            </w:tcBorders>
            <w:noWrap/>
            <w:vAlign w:val="center"/>
          </w:tcPr>
          <w:p w:rsidR="00E674D1" w:rsidRDefault="00E674D1">
            <w:pPr>
              <w:rPr>
                <w:rFonts w:ascii="Calibri" w:hAnsi="Calibri" w:cs="Calibri"/>
                <w:color w:val="000000"/>
                <w:sz w:val="16"/>
                <w:szCs w:val="16"/>
                <w:lang w:eastAsia="en-US"/>
              </w:rPr>
            </w:pPr>
            <w:r>
              <w:rPr>
                <w:rFonts w:ascii="Calibri" w:hAnsi="Calibri" w:cs="Calibri"/>
                <w:color w:val="000000"/>
                <w:sz w:val="16"/>
                <w:szCs w:val="16"/>
                <w:lang w:eastAsia="en-US"/>
              </w:rPr>
              <w:t>Brain - Basal Ganglia</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26</w:t>
            </w:r>
          </w:p>
        </w:tc>
        <w:tc>
          <w:tcPr>
            <w:tcW w:w="832"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346</w:t>
            </w:r>
          </w:p>
        </w:tc>
        <w:tc>
          <w:tcPr>
            <w:tcW w:w="924"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BLQ</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30,611</w:t>
            </w:r>
          </w:p>
        </w:tc>
        <w:tc>
          <w:tcPr>
            <w:tcW w:w="739"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62</w:t>
            </w:r>
          </w:p>
        </w:tc>
      </w:tr>
      <w:tr w:rsidR="00E674D1">
        <w:trPr>
          <w:cantSplit/>
          <w:trHeight w:val="229"/>
          <w:jc w:val="center"/>
        </w:trPr>
        <w:tc>
          <w:tcPr>
            <w:tcW w:w="570" w:type="dxa"/>
            <w:vMerge/>
            <w:tcBorders>
              <w:top w:val="nil"/>
              <w:left w:val="single" w:sz="8" w:space="0" w:color="auto"/>
              <w:bottom w:val="single" w:sz="8" w:space="0" w:color="000000"/>
              <w:right w:val="single" w:sz="8" w:space="0" w:color="auto"/>
            </w:tcBorders>
            <w:vAlign w:val="center"/>
          </w:tcPr>
          <w:p w:rsidR="00E674D1" w:rsidRDefault="00E674D1">
            <w:pPr>
              <w:rPr>
                <w:rFonts w:ascii="Calibri" w:hAnsi="Calibri" w:cs="Calibri"/>
                <w:color w:val="000000"/>
                <w:sz w:val="16"/>
                <w:szCs w:val="16"/>
                <w:lang w:eastAsia="en-US"/>
              </w:rPr>
            </w:pPr>
          </w:p>
        </w:tc>
        <w:tc>
          <w:tcPr>
            <w:tcW w:w="1755" w:type="dxa"/>
            <w:tcBorders>
              <w:top w:val="nil"/>
              <w:left w:val="nil"/>
              <w:bottom w:val="single" w:sz="8" w:space="0" w:color="auto"/>
              <w:right w:val="single" w:sz="8" w:space="0" w:color="auto"/>
            </w:tcBorders>
            <w:noWrap/>
            <w:vAlign w:val="center"/>
          </w:tcPr>
          <w:p w:rsidR="00E674D1" w:rsidRDefault="00E674D1">
            <w:pPr>
              <w:rPr>
                <w:rFonts w:ascii="Calibri" w:hAnsi="Calibri" w:cs="Calibri"/>
                <w:color w:val="000000"/>
                <w:sz w:val="16"/>
                <w:szCs w:val="16"/>
                <w:lang w:eastAsia="en-US"/>
              </w:rPr>
            </w:pPr>
            <w:r>
              <w:rPr>
                <w:rFonts w:ascii="Calibri" w:hAnsi="Calibri" w:cs="Calibri"/>
                <w:color w:val="000000"/>
                <w:sz w:val="16"/>
                <w:szCs w:val="16"/>
                <w:lang w:eastAsia="en-US"/>
              </w:rPr>
              <w:t>Brain - Occipital Cortex</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35</w:t>
            </w:r>
          </w:p>
        </w:tc>
        <w:tc>
          <w:tcPr>
            <w:tcW w:w="832" w:type="dxa"/>
            <w:tcBorders>
              <w:top w:val="nil"/>
              <w:left w:val="nil"/>
              <w:bottom w:val="single" w:sz="8" w:space="0" w:color="auto"/>
              <w:right w:val="single" w:sz="8" w:space="0" w:color="auto"/>
            </w:tcBorders>
            <w:shd w:val="clear" w:color="000000" w:fill="auto"/>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1,031</w:t>
            </w:r>
          </w:p>
        </w:tc>
        <w:tc>
          <w:tcPr>
            <w:tcW w:w="924" w:type="dxa"/>
            <w:tcBorders>
              <w:top w:val="nil"/>
              <w:left w:val="nil"/>
              <w:bottom w:val="single" w:sz="8" w:space="0" w:color="auto"/>
              <w:right w:val="single" w:sz="8" w:space="0" w:color="auto"/>
            </w:tcBorders>
            <w:shd w:val="clear" w:color="000000" w:fill="auto"/>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93</w:t>
            </w:r>
          </w:p>
        </w:tc>
        <w:tc>
          <w:tcPr>
            <w:tcW w:w="1017" w:type="dxa"/>
            <w:tcBorders>
              <w:top w:val="nil"/>
              <w:left w:val="nil"/>
              <w:bottom w:val="single" w:sz="8" w:space="0" w:color="auto"/>
              <w:right w:val="single" w:sz="8" w:space="0" w:color="auto"/>
            </w:tcBorders>
            <w:shd w:val="clear" w:color="000000" w:fill="auto"/>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52</w:t>
            </w:r>
          </w:p>
        </w:tc>
        <w:tc>
          <w:tcPr>
            <w:tcW w:w="739" w:type="dxa"/>
            <w:tcBorders>
              <w:top w:val="nil"/>
              <w:left w:val="nil"/>
              <w:bottom w:val="single" w:sz="8" w:space="0" w:color="auto"/>
              <w:right w:val="single" w:sz="8" w:space="0" w:color="auto"/>
            </w:tcBorders>
            <w:shd w:val="clear" w:color="000000" w:fill="auto"/>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91</w:t>
            </w:r>
          </w:p>
        </w:tc>
      </w:tr>
      <w:tr w:rsidR="00E674D1">
        <w:trPr>
          <w:cantSplit/>
          <w:trHeight w:val="229"/>
          <w:jc w:val="center"/>
        </w:trPr>
        <w:tc>
          <w:tcPr>
            <w:tcW w:w="570" w:type="dxa"/>
            <w:vMerge/>
            <w:tcBorders>
              <w:top w:val="nil"/>
              <w:left w:val="single" w:sz="8" w:space="0" w:color="auto"/>
              <w:bottom w:val="single" w:sz="8" w:space="0" w:color="000000"/>
              <w:right w:val="single" w:sz="8" w:space="0" w:color="auto"/>
            </w:tcBorders>
            <w:vAlign w:val="center"/>
          </w:tcPr>
          <w:p w:rsidR="00E674D1" w:rsidRDefault="00E674D1">
            <w:pPr>
              <w:rPr>
                <w:rFonts w:ascii="Calibri" w:hAnsi="Calibri" w:cs="Calibri"/>
                <w:color w:val="000000"/>
                <w:sz w:val="16"/>
                <w:szCs w:val="16"/>
                <w:lang w:eastAsia="en-US"/>
              </w:rPr>
            </w:pPr>
          </w:p>
        </w:tc>
        <w:tc>
          <w:tcPr>
            <w:tcW w:w="1755" w:type="dxa"/>
            <w:tcBorders>
              <w:top w:val="nil"/>
              <w:left w:val="nil"/>
              <w:bottom w:val="single" w:sz="8" w:space="0" w:color="auto"/>
              <w:right w:val="single" w:sz="8" w:space="0" w:color="auto"/>
            </w:tcBorders>
            <w:noWrap/>
            <w:vAlign w:val="center"/>
          </w:tcPr>
          <w:p w:rsidR="00E674D1" w:rsidRDefault="00E674D1">
            <w:pPr>
              <w:rPr>
                <w:rFonts w:ascii="Calibri" w:hAnsi="Calibri" w:cs="Calibri"/>
                <w:color w:val="000000"/>
                <w:sz w:val="16"/>
                <w:szCs w:val="16"/>
                <w:lang w:eastAsia="en-US"/>
              </w:rPr>
            </w:pPr>
            <w:r>
              <w:rPr>
                <w:rFonts w:ascii="Calibri" w:hAnsi="Calibri" w:cs="Calibri"/>
                <w:color w:val="000000"/>
                <w:sz w:val="16"/>
                <w:szCs w:val="16"/>
                <w:lang w:eastAsia="en-US"/>
              </w:rPr>
              <w:t>Brain - Parietal Cortex</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21</w:t>
            </w:r>
          </w:p>
        </w:tc>
        <w:tc>
          <w:tcPr>
            <w:tcW w:w="832"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9,640</w:t>
            </w:r>
          </w:p>
        </w:tc>
        <w:tc>
          <w:tcPr>
            <w:tcW w:w="924"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BLQ</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2,077</w:t>
            </w:r>
          </w:p>
        </w:tc>
        <w:tc>
          <w:tcPr>
            <w:tcW w:w="739"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BLQ</w:t>
            </w:r>
          </w:p>
        </w:tc>
      </w:tr>
      <w:tr w:rsidR="00E674D1">
        <w:trPr>
          <w:cantSplit/>
          <w:trHeight w:val="229"/>
          <w:jc w:val="center"/>
        </w:trPr>
        <w:tc>
          <w:tcPr>
            <w:tcW w:w="570" w:type="dxa"/>
            <w:vMerge/>
            <w:tcBorders>
              <w:top w:val="nil"/>
              <w:left w:val="single" w:sz="8" w:space="0" w:color="auto"/>
              <w:bottom w:val="single" w:sz="8" w:space="0" w:color="000000"/>
              <w:right w:val="single" w:sz="8" w:space="0" w:color="auto"/>
            </w:tcBorders>
            <w:vAlign w:val="center"/>
          </w:tcPr>
          <w:p w:rsidR="00E674D1" w:rsidRDefault="00E674D1">
            <w:pPr>
              <w:rPr>
                <w:rFonts w:ascii="Calibri" w:hAnsi="Calibri" w:cs="Calibri"/>
                <w:color w:val="000000"/>
                <w:sz w:val="16"/>
                <w:szCs w:val="16"/>
                <w:lang w:eastAsia="en-US"/>
              </w:rPr>
            </w:pPr>
          </w:p>
        </w:tc>
        <w:tc>
          <w:tcPr>
            <w:tcW w:w="1755" w:type="dxa"/>
            <w:tcBorders>
              <w:top w:val="nil"/>
              <w:left w:val="nil"/>
              <w:bottom w:val="single" w:sz="8" w:space="0" w:color="auto"/>
              <w:right w:val="single" w:sz="8" w:space="0" w:color="auto"/>
            </w:tcBorders>
            <w:noWrap/>
            <w:vAlign w:val="center"/>
          </w:tcPr>
          <w:p w:rsidR="00E674D1" w:rsidRDefault="00E674D1">
            <w:pPr>
              <w:rPr>
                <w:rFonts w:ascii="Calibri" w:hAnsi="Calibri" w:cs="Calibri"/>
                <w:color w:val="000000"/>
                <w:sz w:val="16"/>
                <w:szCs w:val="16"/>
                <w:lang w:eastAsia="en-US"/>
              </w:rPr>
            </w:pPr>
            <w:r>
              <w:rPr>
                <w:rFonts w:ascii="Calibri" w:hAnsi="Calibri" w:cs="Calibri"/>
                <w:color w:val="000000"/>
                <w:sz w:val="16"/>
                <w:szCs w:val="16"/>
                <w:lang w:eastAsia="en-US"/>
              </w:rPr>
              <w:t>Liver</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18</w:t>
            </w:r>
          </w:p>
        </w:tc>
        <w:tc>
          <w:tcPr>
            <w:tcW w:w="832"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40,253</w:t>
            </w:r>
          </w:p>
        </w:tc>
        <w:tc>
          <w:tcPr>
            <w:tcW w:w="924"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878</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894</w:t>
            </w:r>
          </w:p>
        </w:tc>
        <w:tc>
          <w:tcPr>
            <w:tcW w:w="739"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897</w:t>
            </w:r>
          </w:p>
        </w:tc>
      </w:tr>
      <w:tr w:rsidR="00E674D1">
        <w:trPr>
          <w:cantSplit/>
          <w:trHeight w:val="229"/>
          <w:jc w:val="center"/>
        </w:trPr>
        <w:tc>
          <w:tcPr>
            <w:tcW w:w="570" w:type="dxa"/>
            <w:vMerge/>
            <w:tcBorders>
              <w:top w:val="nil"/>
              <w:left w:val="single" w:sz="8" w:space="0" w:color="auto"/>
              <w:bottom w:val="single" w:sz="8" w:space="0" w:color="000000"/>
              <w:right w:val="single" w:sz="8" w:space="0" w:color="auto"/>
            </w:tcBorders>
            <w:vAlign w:val="center"/>
          </w:tcPr>
          <w:p w:rsidR="00E674D1" w:rsidRDefault="00E674D1">
            <w:pPr>
              <w:rPr>
                <w:rFonts w:ascii="Calibri" w:hAnsi="Calibri" w:cs="Calibri"/>
                <w:color w:val="000000"/>
                <w:sz w:val="16"/>
                <w:szCs w:val="16"/>
                <w:lang w:eastAsia="en-US"/>
              </w:rPr>
            </w:pPr>
          </w:p>
        </w:tc>
        <w:tc>
          <w:tcPr>
            <w:tcW w:w="1755" w:type="dxa"/>
            <w:tcBorders>
              <w:top w:val="nil"/>
              <w:left w:val="nil"/>
              <w:bottom w:val="single" w:sz="8" w:space="0" w:color="auto"/>
              <w:right w:val="single" w:sz="8" w:space="0" w:color="auto"/>
            </w:tcBorders>
            <w:noWrap/>
            <w:vAlign w:val="center"/>
          </w:tcPr>
          <w:p w:rsidR="00E674D1" w:rsidRDefault="00E674D1">
            <w:pPr>
              <w:rPr>
                <w:rFonts w:ascii="Calibri" w:hAnsi="Calibri" w:cs="Calibri"/>
                <w:color w:val="000000"/>
                <w:sz w:val="16"/>
                <w:szCs w:val="16"/>
                <w:lang w:eastAsia="en-US"/>
              </w:rPr>
            </w:pPr>
            <w:r>
              <w:rPr>
                <w:rFonts w:ascii="Calibri" w:hAnsi="Calibri" w:cs="Calibri"/>
                <w:color w:val="000000"/>
                <w:sz w:val="16"/>
                <w:szCs w:val="16"/>
                <w:lang w:eastAsia="en-US"/>
              </w:rPr>
              <w:t>Spleen</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17</w:t>
            </w:r>
          </w:p>
        </w:tc>
        <w:tc>
          <w:tcPr>
            <w:tcW w:w="832"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2,002</w:t>
            </w:r>
          </w:p>
        </w:tc>
        <w:tc>
          <w:tcPr>
            <w:tcW w:w="924"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243</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1,021</w:t>
            </w:r>
          </w:p>
        </w:tc>
        <w:tc>
          <w:tcPr>
            <w:tcW w:w="739"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1,581</w:t>
            </w:r>
          </w:p>
        </w:tc>
      </w:tr>
      <w:tr w:rsidR="00E674D1">
        <w:trPr>
          <w:cantSplit/>
          <w:trHeight w:val="229"/>
          <w:jc w:val="center"/>
        </w:trPr>
        <w:tc>
          <w:tcPr>
            <w:tcW w:w="570" w:type="dxa"/>
            <w:vMerge w:val="restart"/>
            <w:tcBorders>
              <w:top w:val="nil"/>
              <w:left w:val="single" w:sz="8" w:space="0" w:color="auto"/>
              <w:bottom w:val="single" w:sz="8" w:space="0" w:color="000000"/>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Pt2</w:t>
            </w:r>
          </w:p>
        </w:tc>
        <w:tc>
          <w:tcPr>
            <w:tcW w:w="1755" w:type="dxa"/>
            <w:tcBorders>
              <w:top w:val="nil"/>
              <w:left w:val="nil"/>
              <w:bottom w:val="single" w:sz="8" w:space="0" w:color="auto"/>
              <w:right w:val="single" w:sz="8" w:space="0" w:color="auto"/>
            </w:tcBorders>
            <w:noWrap/>
            <w:vAlign w:val="center"/>
          </w:tcPr>
          <w:p w:rsidR="00E674D1" w:rsidRDefault="00E674D1">
            <w:pPr>
              <w:rPr>
                <w:rFonts w:ascii="Calibri" w:hAnsi="Calibri" w:cs="Calibri"/>
                <w:color w:val="000000"/>
                <w:sz w:val="16"/>
                <w:szCs w:val="16"/>
                <w:lang w:eastAsia="en-US"/>
              </w:rPr>
            </w:pPr>
            <w:r>
              <w:rPr>
                <w:rFonts w:ascii="Calibri" w:hAnsi="Calibri" w:cs="Calibri"/>
                <w:color w:val="000000"/>
                <w:sz w:val="16"/>
                <w:szCs w:val="16"/>
                <w:lang w:eastAsia="en-US"/>
              </w:rPr>
              <w:t>Brain - Basal Ganglia</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33</w:t>
            </w:r>
          </w:p>
        </w:tc>
        <w:tc>
          <w:tcPr>
            <w:tcW w:w="832"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31</w:t>
            </w:r>
          </w:p>
        </w:tc>
        <w:tc>
          <w:tcPr>
            <w:tcW w:w="924"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BLQ</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28</w:t>
            </w:r>
          </w:p>
        </w:tc>
        <w:tc>
          <w:tcPr>
            <w:tcW w:w="739"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292</w:t>
            </w:r>
          </w:p>
        </w:tc>
      </w:tr>
      <w:tr w:rsidR="00E674D1">
        <w:trPr>
          <w:cantSplit/>
          <w:trHeight w:val="229"/>
          <w:jc w:val="center"/>
        </w:trPr>
        <w:tc>
          <w:tcPr>
            <w:tcW w:w="570" w:type="dxa"/>
            <w:vMerge/>
            <w:tcBorders>
              <w:top w:val="nil"/>
              <w:left w:val="single" w:sz="8" w:space="0" w:color="auto"/>
              <w:bottom w:val="single" w:sz="8" w:space="0" w:color="000000"/>
              <w:right w:val="single" w:sz="8" w:space="0" w:color="auto"/>
            </w:tcBorders>
            <w:vAlign w:val="center"/>
          </w:tcPr>
          <w:p w:rsidR="00E674D1" w:rsidRDefault="00E674D1">
            <w:pPr>
              <w:rPr>
                <w:rFonts w:ascii="Calibri" w:hAnsi="Calibri" w:cs="Calibri"/>
                <w:color w:val="000000"/>
                <w:sz w:val="16"/>
                <w:szCs w:val="16"/>
                <w:lang w:eastAsia="en-US"/>
              </w:rPr>
            </w:pPr>
          </w:p>
        </w:tc>
        <w:tc>
          <w:tcPr>
            <w:tcW w:w="1755" w:type="dxa"/>
            <w:tcBorders>
              <w:top w:val="nil"/>
              <w:left w:val="nil"/>
              <w:bottom w:val="single" w:sz="8" w:space="0" w:color="auto"/>
              <w:right w:val="single" w:sz="8" w:space="0" w:color="auto"/>
            </w:tcBorders>
            <w:noWrap/>
            <w:vAlign w:val="center"/>
          </w:tcPr>
          <w:p w:rsidR="00E674D1" w:rsidRDefault="00E674D1">
            <w:pPr>
              <w:rPr>
                <w:rFonts w:ascii="Calibri" w:hAnsi="Calibri" w:cs="Calibri"/>
                <w:color w:val="000000"/>
                <w:sz w:val="16"/>
                <w:szCs w:val="16"/>
                <w:lang w:eastAsia="en-US"/>
              </w:rPr>
            </w:pPr>
            <w:r>
              <w:rPr>
                <w:rFonts w:ascii="Calibri" w:hAnsi="Calibri" w:cs="Calibri"/>
                <w:color w:val="000000"/>
                <w:sz w:val="16"/>
                <w:szCs w:val="16"/>
                <w:lang w:eastAsia="en-US"/>
              </w:rPr>
              <w:t>Brain - Occipital Cortex</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20</w:t>
            </w:r>
          </w:p>
        </w:tc>
        <w:tc>
          <w:tcPr>
            <w:tcW w:w="832" w:type="dxa"/>
            <w:tcBorders>
              <w:top w:val="nil"/>
              <w:left w:val="nil"/>
              <w:bottom w:val="single" w:sz="8" w:space="0" w:color="auto"/>
              <w:right w:val="single" w:sz="8" w:space="0" w:color="auto"/>
            </w:tcBorders>
            <w:shd w:val="clear" w:color="000000" w:fill="auto"/>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2,583</w:t>
            </w:r>
          </w:p>
        </w:tc>
        <w:tc>
          <w:tcPr>
            <w:tcW w:w="924" w:type="dxa"/>
            <w:tcBorders>
              <w:top w:val="nil"/>
              <w:left w:val="nil"/>
              <w:bottom w:val="single" w:sz="8" w:space="0" w:color="auto"/>
              <w:right w:val="single" w:sz="8" w:space="0" w:color="auto"/>
            </w:tcBorders>
            <w:shd w:val="clear" w:color="000000" w:fill="auto"/>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50</w:t>
            </w:r>
          </w:p>
        </w:tc>
        <w:tc>
          <w:tcPr>
            <w:tcW w:w="1017" w:type="dxa"/>
            <w:tcBorders>
              <w:top w:val="nil"/>
              <w:left w:val="nil"/>
              <w:bottom w:val="single" w:sz="8" w:space="0" w:color="auto"/>
              <w:right w:val="single" w:sz="8" w:space="0" w:color="auto"/>
            </w:tcBorders>
            <w:shd w:val="clear" w:color="000000" w:fill="auto"/>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70</w:t>
            </w:r>
          </w:p>
        </w:tc>
        <w:tc>
          <w:tcPr>
            <w:tcW w:w="739" w:type="dxa"/>
            <w:tcBorders>
              <w:top w:val="nil"/>
              <w:left w:val="nil"/>
              <w:bottom w:val="single" w:sz="8" w:space="0" w:color="auto"/>
              <w:right w:val="single" w:sz="8" w:space="0" w:color="auto"/>
            </w:tcBorders>
            <w:shd w:val="clear" w:color="000000" w:fill="auto"/>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3,965</w:t>
            </w:r>
          </w:p>
        </w:tc>
      </w:tr>
      <w:tr w:rsidR="00E674D1">
        <w:trPr>
          <w:cantSplit/>
          <w:trHeight w:val="229"/>
          <w:jc w:val="center"/>
        </w:trPr>
        <w:tc>
          <w:tcPr>
            <w:tcW w:w="570" w:type="dxa"/>
            <w:vMerge/>
            <w:tcBorders>
              <w:top w:val="nil"/>
              <w:left w:val="single" w:sz="8" w:space="0" w:color="auto"/>
              <w:bottom w:val="single" w:sz="8" w:space="0" w:color="000000"/>
              <w:right w:val="single" w:sz="8" w:space="0" w:color="auto"/>
            </w:tcBorders>
            <w:vAlign w:val="center"/>
          </w:tcPr>
          <w:p w:rsidR="00E674D1" w:rsidRDefault="00E674D1">
            <w:pPr>
              <w:rPr>
                <w:rFonts w:ascii="Calibri" w:hAnsi="Calibri" w:cs="Calibri"/>
                <w:color w:val="000000"/>
                <w:sz w:val="16"/>
                <w:szCs w:val="16"/>
                <w:lang w:eastAsia="en-US"/>
              </w:rPr>
            </w:pPr>
          </w:p>
        </w:tc>
        <w:tc>
          <w:tcPr>
            <w:tcW w:w="1755" w:type="dxa"/>
            <w:tcBorders>
              <w:top w:val="nil"/>
              <w:left w:val="nil"/>
              <w:bottom w:val="single" w:sz="8" w:space="0" w:color="auto"/>
              <w:right w:val="single" w:sz="8" w:space="0" w:color="auto"/>
            </w:tcBorders>
            <w:noWrap/>
            <w:vAlign w:val="center"/>
          </w:tcPr>
          <w:p w:rsidR="00E674D1" w:rsidRDefault="00E674D1">
            <w:pPr>
              <w:rPr>
                <w:rFonts w:ascii="Calibri" w:hAnsi="Calibri" w:cs="Calibri"/>
                <w:color w:val="000000"/>
                <w:sz w:val="16"/>
                <w:szCs w:val="16"/>
                <w:lang w:eastAsia="en-US"/>
              </w:rPr>
            </w:pPr>
            <w:r>
              <w:rPr>
                <w:rFonts w:ascii="Calibri" w:hAnsi="Calibri" w:cs="Calibri"/>
                <w:color w:val="000000"/>
                <w:sz w:val="16"/>
                <w:szCs w:val="16"/>
                <w:lang w:eastAsia="en-US"/>
              </w:rPr>
              <w:t>Brain - Parietal Cortex</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56</w:t>
            </w:r>
          </w:p>
        </w:tc>
        <w:tc>
          <w:tcPr>
            <w:tcW w:w="832"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44</w:t>
            </w:r>
          </w:p>
        </w:tc>
        <w:tc>
          <w:tcPr>
            <w:tcW w:w="924"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BLQ</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22</w:t>
            </w:r>
          </w:p>
        </w:tc>
        <w:tc>
          <w:tcPr>
            <w:tcW w:w="739"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806</w:t>
            </w:r>
          </w:p>
        </w:tc>
      </w:tr>
      <w:tr w:rsidR="00E674D1">
        <w:trPr>
          <w:cantSplit/>
          <w:trHeight w:val="229"/>
          <w:jc w:val="center"/>
        </w:trPr>
        <w:tc>
          <w:tcPr>
            <w:tcW w:w="570" w:type="dxa"/>
            <w:vMerge/>
            <w:tcBorders>
              <w:top w:val="nil"/>
              <w:left w:val="single" w:sz="8" w:space="0" w:color="auto"/>
              <w:bottom w:val="single" w:sz="8" w:space="0" w:color="000000"/>
              <w:right w:val="single" w:sz="8" w:space="0" w:color="auto"/>
            </w:tcBorders>
            <w:vAlign w:val="center"/>
          </w:tcPr>
          <w:p w:rsidR="00E674D1" w:rsidRDefault="00E674D1">
            <w:pPr>
              <w:rPr>
                <w:rFonts w:ascii="Calibri" w:hAnsi="Calibri" w:cs="Calibri"/>
                <w:color w:val="000000"/>
                <w:sz w:val="16"/>
                <w:szCs w:val="16"/>
                <w:lang w:eastAsia="en-US"/>
              </w:rPr>
            </w:pPr>
          </w:p>
        </w:tc>
        <w:tc>
          <w:tcPr>
            <w:tcW w:w="1755" w:type="dxa"/>
            <w:tcBorders>
              <w:top w:val="nil"/>
              <w:left w:val="nil"/>
              <w:bottom w:val="single" w:sz="8" w:space="0" w:color="auto"/>
              <w:right w:val="single" w:sz="8" w:space="0" w:color="auto"/>
            </w:tcBorders>
            <w:noWrap/>
            <w:vAlign w:val="center"/>
          </w:tcPr>
          <w:p w:rsidR="00E674D1" w:rsidRDefault="00E674D1">
            <w:pPr>
              <w:rPr>
                <w:rFonts w:ascii="Calibri" w:hAnsi="Calibri" w:cs="Calibri"/>
                <w:color w:val="000000"/>
                <w:sz w:val="16"/>
                <w:szCs w:val="16"/>
                <w:lang w:eastAsia="en-US"/>
              </w:rPr>
            </w:pPr>
            <w:r>
              <w:rPr>
                <w:rFonts w:ascii="Calibri" w:hAnsi="Calibri" w:cs="Calibri"/>
                <w:color w:val="000000"/>
                <w:sz w:val="16"/>
                <w:szCs w:val="16"/>
                <w:lang w:eastAsia="en-US"/>
              </w:rPr>
              <w:t>Liver</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39</w:t>
            </w:r>
          </w:p>
        </w:tc>
        <w:tc>
          <w:tcPr>
            <w:tcW w:w="832"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5,669</w:t>
            </w:r>
          </w:p>
        </w:tc>
        <w:tc>
          <w:tcPr>
            <w:tcW w:w="924"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256</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165</w:t>
            </w:r>
          </w:p>
        </w:tc>
        <w:tc>
          <w:tcPr>
            <w:tcW w:w="739"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827</w:t>
            </w:r>
          </w:p>
        </w:tc>
      </w:tr>
      <w:tr w:rsidR="00E674D1">
        <w:trPr>
          <w:cantSplit/>
          <w:trHeight w:val="186"/>
          <w:jc w:val="center"/>
        </w:trPr>
        <w:tc>
          <w:tcPr>
            <w:tcW w:w="570" w:type="dxa"/>
            <w:vMerge/>
            <w:tcBorders>
              <w:top w:val="nil"/>
              <w:left w:val="single" w:sz="8" w:space="0" w:color="auto"/>
              <w:bottom w:val="single" w:sz="8" w:space="0" w:color="000000"/>
              <w:right w:val="single" w:sz="8" w:space="0" w:color="auto"/>
            </w:tcBorders>
            <w:vAlign w:val="center"/>
          </w:tcPr>
          <w:p w:rsidR="00E674D1" w:rsidRDefault="00E674D1">
            <w:pPr>
              <w:rPr>
                <w:rFonts w:ascii="Calibri" w:hAnsi="Calibri" w:cs="Calibri"/>
                <w:color w:val="000000"/>
                <w:sz w:val="16"/>
                <w:szCs w:val="16"/>
                <w:lang w:eastAsia="en-US"/>
              </w:rPr>
            </w:pPr>
          </w:p>
        </w:tc>
        <w:tc>
          <w:tcPr>
            <w:tcW w:w="1755" w:type="dxa"/>
            <w:tcBorders>
              <w:top w:val="nil"/>
              <w:left w:val="nil"/>
              <w:bottom w:val="single" w:sz="8" w:space="0" w:color="auto"/>
              <w:right w:val="single" w:sz="8" w:space="0" w:color="auto"/>
            </w:tcBorders>
            <w:noWrap/>
            <w:vAlign w:val="center"/>
          </w:tcPr>
          <w:p w:rsidR="00E674D1" w:rsidRDefault="00E674D1">
            <w:pPr>
              <w:rPr>
                <w:rFonts w:ascii="Calibri" w:hAnsi="Calibri" w:cs="Calibri"/>
                <w:color w:val="000000"/>
                <w:sz w:val="16"/>
                <w:szCs w:val="16"/>
                <w:lang w:eastAsia="en-US"/>
              </w:rPr>
            </w:pPr>
            <w:r>
              <w:rPr>
                <w:rFonts w:ascii="Calibri" w:hAnsi="Calibri" w:cs="Calibri"/>
                <w:color w:val="000000"/>
                <w:sz w:val="16"/>
                <w:szCs w:val="16"/>
                <w:lang w:eastAsia="en-US"/>
              </w:rPr>
              <w:t>Spleen</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36</w:t>
            </w:r>
          </w:p>
        </w:tc>
        <w:tc>
          <w:tcPr>
            <w:tcW w:w="832"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518</w:t>
            </w:r>
          </w:p>
        </w:tc>
        <w:tc>
          <w:tcPr>
            <w:tcW w:w="924"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55</w:t>
            </w:r>
          </w:p>
        </w:tc>
        <w:tc>
          <w:tcPr>
            <w:tcW w:w="1017"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33</w:t>
            </w:r>
          </w:p>
        </w:tc>
        <w:tc>
          <w:tcPr>
            <w:tcW w:w="739" w:type="dxa"/>
            <w:tcBorders>
              <w:top w:val="nil"/>
              <w:left w:val="nil"/>
              <w:bottom w:val="single" w:sz="8" w:space="0" w:color="auto"/>
              <w:right w:val="single" w:sz="8" w:space="0" w:color="auto"/>
            </w:tcBorders>
            <w:noWrap/>
            <w:vAlign w:val="center"/>
          </w:tcPr>
          <w:p w:rsidR="00E674D1" w:rsidRDefault="00E674D1">
            <w:pPr>
              <w:jc w:val="center"/>
              <w:rPr>
                <w:rFonts w:ascii="Calibri" w:hAnsi="Calibri" w:cs="Calibri"/>
                <w:color w:val="000000"/>
                <w:sz w:val="16"/>
                <w:szCs w:val="16"/>
                <w:lang w:eastAsia="en-US"/>
              </w:rPr>
            </w:pPr>
            <w:r>
              <w:rPr>
                <w:rFonts w:ascii="Calibri" w:hAnsi="Calibri" w:cs="Calibri"/>
                <w:color w:val="000000"/>
                <w:sz w:val="16"/>
                <w:szCs w:val="16"/>
                <w:lang w:eastAsia="en-US"/>
              </w:rPr>
              <w:t>471</w:t>
            </w:r>
          </w:p>
        </w:tc>
      </w:tr>
    </w:tbl>
    <w:p w:rsidR="00E674D1" w:rsidRDefault="00E674D1">
      <w:pPr>
        <w:spacing w:line="360" w:lineRule="auto"/>
        <w:rPr>
          <w:sz w:val="24"/>
          <w:szCs w:val="24"/>
        </w:rPr>
      </w:pPr>
    </w:p>
    <w:p w:rsidR="00E674D1" w:rsidRDefault="00E674D1">
      <w:pPr>
        <w:spacing w:line="360" w:lineRule="auto"/>
        <w:rPr>
          <w:sz w:val="24"/>
          <w:szCs w:val="24"/>
        </w:rPr>
      </w:pPr>
    </w:p>
    <w:p w:rsidR="00E674D1" w:rsidRDefault="00E674D1">
      <w:pPr>
        <w:spacing w:line="360" w:lineRule="auto"/>
        <w:rPr>
          <w:sz w:val="24"/>
          <w:szCs w:val="24"/>
        </w:rPr>
      </w:pPr>
    </w:p>
    <w:p w:rsidR="00E674D1" w:rsidRDefault="00E674D1">
      <w:pPr>
        <w:spacing w:line="360" w:lineRule="auto"/>
        <w:rPr>
          <w:sz w:val="24"/>
          <w:szCs w:val="24"/>
        </w:rPr>
      </w:pPr>
    </w:p>
    <w:p w:rsidR="00E674D1" w:rsidRDefault="00E674D1">
      <w:pPr>
        <w:spacing w:line="360" w:lineRule="auto"/>
        <w:rPr>
          <w:sz w:val="24"/>
          <w:szCs w:val="24"/>
        </w:rPr>
      </w:pPr>
    </w:p>
    <w:p w:rsidR="00E674D1" w:rsidRDefault="00E674D1">
      <w:pPr>
        <w:spacing w:line="360" w:lineRule="auto"/>
        <w:rPr>
          <w:sz w:val="24"/>
          <w:szCs w:val="24"/>
        </w:rPr>
      </w:pPr>
    </w:p>
    <w:p w:rsidR="00E674D1" w:rsidRDefault="00E674D1">
      <w:pPr>
        <w:spacing w:line="360" w:lineRule="auto"/>
        <w:rPr>
          <w:sz w:val="24"/>
          <w:szCs w:val="24"/>
        </w:rPr>
      </w:pPr>
    </w:p>
    <w:p w:rsidR="00E674D1" w:rsidRDefault="00E674D1">
      <w:pPr>
        <w:spacing w:line="360" w:lineRule="auto"/>
        <w:rPr>
          <w:sz w:val="24"/>
          <w:szCs w:val="24"/>
        </w:rPr>
      </w:pPr>
    </w:p>
    <w:p w:rsidR="00E674D1" w:rsidRDefault="00E674D1">
      <w:pPr>
        <w:spacing w:line="360" w:lineRule="auto"/>
        <w:rPr>
          <w:sz w:val="24"/>
          <w:szCs w:val="24"/>
        </w:rPr>
      </w:pPr>
    </w:p>
    <w:p w:rsidR="00E674D1" w:rsidRDefault="00E674D1">
      <w:pPr>
        <w:spacing w:line="360" w:lineRule="auto"/>
        <w:rPr>
          <w:sz w:val="24"/>
          <w:szCs w:val="24"/>
        </w:rPr>
      </w:pPr>
    </w:p>
    <w:p w:rsidR="00E674D1" w:rsidRDefault="00E674D1">
      <w:pPr>
        <w:spacing w:line="360" w:lineRule="auto"/>
        <w:rPr>
          <w:sz w:val="24"/>
          <w:szCs w:val="24"/>
        </w:rPr>
      </w:pPr>
    </w:p>
    <w:p w:rsidR="00E674D1" w:rsidRDefault="00E674D1">
      <w:pPr>
        <w:spacing w:line="360" w:lineRule="auto"/>
        <w:rPr>
          <w:sz w:val="24"/>
          <w:szCs w:val="24"/>
        </w:rPr>
      </w:pPr>
    </w:p>
    <w:p w:rsidR="00E674D1" w:rsidRDefault="00E674D1">
      <w:pPr>
        <w:spacing w:line="360" w:lineRule="auto"/>
        <w:rPr>
          <w:sz w:val="24"/>
          <w:szCs w:val="24"/>
        </w:rPr>
      </w:pPr>
    </w:p>
    <w:p w:rsidR="00E674D1" w:rsidRDefault="00E674D1">
      <w:pPr>
        <w:spacing w:line="360" w:lineRule="auto"/>
        <w:rPr>
          <w:sz w:val="24"/>
          <w:szCs w:val="24"/>
        </w:rPr>
      </w:pPr>
    </w:p>
    <w:p w:rsidR="00E674D1" w:rsidRDefault="00E674D1">
      <w:pPr>
        <w:spacing w:line="360" w:lineRule="auto"/>
        <w:rPr>
          <w:sz w:val="24"/>
          <w:szCs w:val="24"/>
        </w:rPr>
      </w:pPr>
    </w:p>
    <w:p w:rsidR="00E674D1" w:rsidRDefault="00E674D1">
      <w:pPr>
        <w:spacing w:line="360" w:lineRule="auto"/>
        <w:rPr>
          <w:sz w:val="24"/>
          <w:szCs w:val="24"/>
        </w:rPr>
      </w:pPr>
    </w:p>
    <w:p w:rsidR="00E674D1" w:rsidRDefault="00E674D1">
      <w:pPr>
        <w:spacing w:line="360" w:lineRule="auto"/>
        <w:rPr>
          <w:sz w:val="24"/>
          <w:szCs w:val="24"/>
        </w:rPr>
      </w:pPr>
    </w:p>
    <w:p w:rsidR="00E674D1" w:rsidRDefault="00E674D1">
      <w:pPr>
        <w:spacing w:line="276" w:lineRule="auto"/>
        <w:ind w:right="-540"/>
        <w:jc w:val="both"/>
        <w:rPr>
          <w:sz w:val="24"/>
          <w:szCs w:val="24"/>
        </w:rPr>
      </w:pPr>
      <w:r>
        <w:rPr>
          <w:b/>
          <w:bCs/>
          <w:sz w:val="24"/>
          <w:szCs w:val="24"/>
        </w:rPr>
        <w:t>Table S4.</w:t>
      </w:r>
      <w:r>
        <w:rPr>
          <w:sz w:val="24"/>
          <w:szCs w:val="24"/>
        </w:rPr>
        <w:t xml:space="preserve"> Density of SIV RNA+ cells per gram of brain tissue assessed by </w:t>
      </w:r>
      <w:r>
        <w:rPr>
          <w:i/>
          <w:iCs/>
          <w:sz w:val="24"/>
          <w:szCs w:val="24"/>
        </w:rPr>
        <w:t>in situ</w:t>
      </w:r>
      <w:r>
        <w:rPr>
          <w:sz w:val="24"/>
          <w:szCs w:val="24"/>
        </w:rPr>
        <w:t xml:space="preserve"> hybridization.</w:t>
      </w:r>
    </w:p>
    <w:p w:rsidR="00E674D1" w:rsidRDefault="00E674D1">
      <w:pPr>
        <w:spacing w:line="276" w:lineRule="auto"/>
        <w:ind w:left="-360" w:right="-540"/>
        <w:jc w:val="both"/>
      </w:pPr>
      <w:r>
        <w:t xml:space="preserve"> </w:t>
      </w:r>
    </w:p>
    <w:p w:rsidR="00E674D1" w:rsidRDefault="00E674D1">
      <w:pPr>
        <w:spacing w:line="276" w:lineRule="auto"/>
        <w:ind w:left="-360" w:right="-540"/>
        <w:jc w:val="center"/>
      </w:pPr>
      <w:r>
        <w:rPr>
          <w:noProof/>
          <w:lang w:eastAsia="en-US"/>
        </w:rPr>
        <w:pict>
          <v:shape id="Picture 2" o:spid="_x0000_i1027" type="#_x0000_t75" style="width:430.5pt;height:114pt;visibility:visible">
            <v:imagedata r:id="rId6" o:title=""/>
          </v:shape>
        </w:pict>
      </w: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b/>
          <w:bCs/>
          <w:sz w:val="24"/>
          <w:szCs w:val="24"/>
        </w:rPr>
      </w:pPr>
    </w:p>
    <w:p w:rsidR="00E674D1" w:rsidRDefault="00E674D1">
      <w:pPr>
        <w:spacing w:line="360" w:lineRule="auto"/>
        <w:rPr>
          <w:sz w:val="24"/>
          <w:szCs w:val="24"/>
        </w:rPr>
      </w:pPr>
      <w:r>
        <w:rPr>
          <w:b/>
          <w:bCs/>
          <w:sz w:val="24"/>
          <w:szCs w:val="24"/>
        </w:rPr>
        <w:t>Fig. S1.</w:t>
      </w:r>
      <w:r>
        <w:rPr>
          <w:sz w:val="24"/>
          <w:szCs w:val="24"/>
        </w:rPr>
        <w:t xml:space="preserve"> Serum biochemistry panel of male dogs (beagle) treated for 14 days with 0.4, 1.25, or 4 mg/kg/day of orally delivered ingenol-B. Light blue denotes baseline values; dark blue denotes 14 days post treatment. ALT: Alanine aminotransferase; AST: Aspartate aminotransferase; ALP: Alkaline phosphatase; CREA: Creatinine. For mock and 4 mg/kg/day, n = 5; For 0.4 and 1.25 mg/kg/day, n = 3. Similar results were obtained in female dogs.</w:t>
      </w:r>
    </w:p>
    <w:p w:rsidR="00E674D1" w:rsidRDefault="00E674D1"/>
    <w:p w:rsidR="00E674D1" w:rsidRDefault="00E674D1">
      <w:r>
        <w:rPr>
          <w:noProof/>
          <w:lang w:eastAsia="en-US"/>
        </w:rPr>
        <w:pict>
          <v:shape id="Picture 7" o:spid="_x0000_i1028" type="#_x0000_t75" style="width:429.75pt;height:306pt;visibility:visible">
            <v:imagedata r:id="rId7" o:title=""/>
          </v:shape>
        </w:pict>
      </w:r>
    </w:p>
    <w:p w:rsidR="00E674D1" w:rsidRDefault="00E674D1"/>
    <w:p w:rsidR="00E674D1" w:rsidRDefault="00E674D1">
      <w:pPr>
        <w:spacing w:line="360" w:lineRule="auto"/>
        <w:jc w:val="both"/>
        <w:rPr>
          <w:b/>
          <w:bCs/>
          <w:sz w:val="24"/>
          <w:szCs w:val="24"/>
        </w:rPr>
      </w:pPr>
    </w:p>
    <w:p w:rsidR="00E674D1" w:rsidRDefault="00E674D1">
      <w:pPr>
        <w:spacing w:line="360" w:lineRule="auto"/>
        <w:jc w:val="both"/>
        <w:rPr>
          <w:b/>
          <w:bCs/>
          <w:sz w:val="24"/>
          <w:szCs w:val="24"/>
        </w:rPr>
      </w:pPr>
    </w:p>
    <w:p w:rsidR="00E674D1" w:rsidRDefault="00E674D1">
      <w:pPr>
        <w:spacing w:line="360" w:lineRule="auto"/>
        <w:jc w:val="both"/>
        <w:rPr>
          <w:b/>
          <w:bCs/>
          <w:sz w:val="24"/>
          <w:szCs w:val="24"/>
        </w:rPr>
      </w:pPr>
    </w:p>
    <w:p w:rsidR="00E674D1" w:rsidRDefault="00E674D1">
      <w:pPr>
        <w:spacing w:line="360" w:lineRule="auto"/>
        <w:jc w:val="both"/>
        <w:rPr>
          <w:b/>
          <w:bCs/>
          <w:sz w:val="24"/>
          <w:szCs w:val="24"/>
        </w:rPr>
      </w:pPr>
    </w:p>
    <w:p w:rsidR="00E674D1" w:rsidRDefault="00E674D1">
      <w:pPr>
        <w:spacing w:line="360" w:lineRule="auto"/>
        <w:jc w:val="both"/>
        <w:rPr>
          <w:b/>
          <w:bCs/>
          <w:sz w:val="24"/>
          <w:szCs w:val="24"/>
        </w:rPr>
      </w:pPr>
    </w:p>
    <w:p w:rsidR="00E674D1" w:rsidRDefault="00E674D1">
      <w:pPr>
        <w:spacing w:line="360" w:lineRule="auto"/>
        <w:jc w:val="both"/>
        <w:rPr>
          <w:b/>
          <w:bCs/>
          <w:sz w:val="24"/>
          <w:szCs w:val="24"/>
        </w:rPr>
      </w:pPr>
    </w:p>
    <w:p w:rsidR="00E674D1" w:rsidRDefault="00E674D1">
      <w:pPr>
        <w:spacing w:line="360" w:lineRule="auto"/>
        <w:jc w:val="both"/>
        <w:rPr>
          <w:b/>
          <w:bCs/>
          <w:sz w:val="24"/>
          <w:szCs w:val="24"/>
        </w:rPr>
      </w:pPr>
    </w:p>
    <w:p w:rsidR="00E674D1" w:rsidRDefault="00E674D1">
      <w:pPr>
        <w:spacing w:line="360" w:lineRule="auto"/>
        <w:jc w:val="both"/>
        <w:rPr>
          <w:b/>
          <w:bCs/>
          <w:sz w:val="24"/>
          <w:szCs w:val="24"/>
        </w:rPr>
      </w:pPr>
    </w:p>
    <w:p w:rsidR="00E674D1" w:rsidRDefault="00E674D1">
      <w:pPr>
        <w:spacing w:line="360" w:lineRule="auto"/>
        <w:jc w:val="both"/>
        <w:rPr>
          <w:b/>
          <w:bCs/>
          <w:sz w:val="24"/>
          <w:szCs w:val="24"/>
        </w:rPr>
      </w:pPr>
    </w:p>
    <w:p w:rsidR="00E674D1" w:rsidRDefault="00E674D1">
      <w:pPr>
        <w:spacing w:line="360" w:lineRule="auto"/>
        <w:jc w:val="both"/>
        <w:rPr>
          <w:b/>
          <w:bCs/>
          <w:sz w:val="24"/>
          <w:szCs w:val="24"/>
        </w:rPr>
      </w:pPr>
    </w:p>
    <w:p w:rsidR="00E674D1" w:rsidRDefault="00E674D1">
      <w:pPr>
        <w:spacing w:line="360" w:lineRule="auto"/>
        <w:jc w:val="both"/>
        <w:rPr>
          <w:b/>
          <w:bCs/>
          <w:sz w:val="24"/>
          <w:szCs w:val="24"/>
        </w:rPr>
      </w:pPr>
    </w:p>
    <w:p w:rsidR="00E674D1" w:rsidRDefault="00E674D1">
      <w:pPr>
        <w:spacing w:line="360" w:lineRule="auto"/>
        <w:jc w:val="both"/>
        <w:rPr>
          <w:b/>
          <w:bCs/>
          <w:sz w:val="24"/>
          <w:szCs w:val="24"/>
        </w:rPr>
      </w:pPr>
    </w:p>
    <w:p w:rsidR="00E674D1" w:rsidRDefault="00E674D1">
      <w:pPr>
        <w:spacing w:line="360" w:lineRule="auto"/>
        <w:jc w:val="both"/>
        <w:rPr>
          <w:b/>
          <w:bCs/>
          <w:sz w:val="24"/>
          <w:szCs w:val="24"/>
        </w:rPr>
      </w:pPr>
    </w:p>
    <w:p w:rsidR="00E674D1" w:rsidRDefault="00E674D1">
      <w:pPr>
        <w:spacing w:line="360" w:lineRule="auto"/>
        <w:jc w:val="both"/>
        <w:rPr>
          <w:b/>
          <w:bCs/>
          <w:sz w:val="24"/>
          <w:szCs w:val="24"/>
        </w:rPr>
      </w:pPr>
    </w:p>
    <w:p w:rsidR="00E674D1" w:rsidRDefault="00E674D1">
      <w:pPr>
        <w:spacing w:line="360" w:lineRule="auto"/>
        <w:jc w:val="both"/>
        <w:rPr>
          <w:b/>
          <w:bCs/>
          <w:sz w:val="24"/>
          <w:szCs w:val="24"/>
        </w:rPr>
      </w:pPr>
    </w:p>
    <w:p w:rsidR="00E674D1" w:rsidRDefault="00E674D1">
      <w:pPr>
        <w:spacing w:line="360" w:lineRule="auto"/>
        <w:jc w:val="both"/>
        <w:rPr>
          <w:sz w:val="24"/>
          <w:szCs w:val="24"/>
        </w:rPr>
      </w:pPr>
      <w:r>
        <w:rPr>
          <w:b/>
          <w:bCs/>
          <w:sz w:val="24"/>
          <w:szCs w:val="24"/>
        </w:rPr>
        <w:t>Fig. S2.</w:t>
      </w:r>
      <w:r>
        <w:rPr>
          <w:sz w:val="24"/>
          <w:szCs w:val="24"/>
        </w:rPr>
        <w:t xml:space="preserve"> Plasma viral load of two SIV-infected pigtailed macaques treated with ART starting at 12 days p.i. Each line color represents one animal. Full arrow marks when viral loads started being measured by ddPCR. Dashed arrows mark when ART was withdrawn for each animal (day 292 for Mn3 and 232 for Mn4). Virus rebound occurred 3-4 days after ART interruption, demonstrated by the detection of more than 100 SIV RNA copies/mL in plasma. </w:t>
      </w:r>
    </w:p>
    <w:p w:rsidR="00E674D1" w:rsidRDefault="00E674D1">
      <w:pPr>
        <w:spacing w:line="276" w:lineRule="auto"/>
        <w:ind w:left="-360" w:right="-540"/>
        <w:jc w:val="both"/>
      </w:pPr>
    </w:p>
    <w:p w:rsidR="00E674D1" w:rsidRDefault="00E674D1">
      <w:pPr>
        <w:spacing w:line="360" w:lineRule="auto"/>
        <w:ind w:right="-540"/>
        <w:jc w:val="both"/>
      </w:pPr>
      <w:r>
        <w:rPr>
          <w:noProof/>
          <w:lang w:eastAsia="en-US"/>
        </w:rPr>
        <w:pict>
          <v:shape id="Picture 1" o:spid="_x0000_i1029" type="#_x0000_t75" style="width:6in;height:213.75pt;visibility:visible">
            <v:imagedata r:id="rId8" o:title=""/>
          </v:shape>
        </w:pict>
      </w:r>
    </w:p>
    <w:p w:rsidR="00E674D1" w:rsidRDefault="00E674D1"/>
    <w:p w:rsidR="00E674D1" w:rsidRDefault="00E674D1"/>
    <w:p w:rsidR="00E674D1" w:rsidRDefault="00E674D1">
      <w:pPr>
        <w:pStyle w:val="EndNoteBibliography"/>
        <w:ind w:left="720" w:hanging="720"/>
        <w:rPr>
          <w:rFonts w:cs="Times New Roman"/>
          <w:noProof/>
        </w:rPr>
      </w:pPr>
      <w:r>
        <w:rPr>
          <w:rFonts w:cs="Times New Roman"/>
        </w:rPr>
        <w:fldChar w:fldCharType="begin"/>
      </w:r>
      <w:r>
        <w:rPr>
          <w:rFonts w:cs="Times New Roman"/>
        </w:rPr>
        <w:instrText xml:space="preserve"> ADDIN EN.REFLIST </w:instrText>
      </w:r>
      <w:r>
        <w:rPr>
          <w:rFonts w:cs="Times New Roman"/>
        </w:rPr>
        <w:fldChar w:fldCharType="separate"/>
      </w:r>
      <w:r>
        <w:rPr>
          <w:rFonts w:cs="Times New Roman"/>
          <w:noProof/>
        </w:rPr>
        <w:t>1.</w:t>
      </w:r>
      <w:r>
        <w:rPr>
          <w:rFonts w:cs="Times New Roman"/>
          <w:noProof/>
        </w:rPr>
        <w:tab/>
      </w:r>
      <w:r>
        <w:rPr>
          <w:rFonts w:cs="Times New Roman"/>
          <w:b/>
          <w:bCs/>
          <w:noProof/>
        </w:rPr>
        <w:t xml:space="preserve">Letendre S, Marquie-Beck J, Capparelli E, Best B, Clifford D, Collier AC, Gelman BB, McArthur JC, McCutchan JA, Morgello S, Simpson D, Grant I, Ellis RJ, Group C. </w:t>
      </w:r>
      <w:r>
        <w:rPr>
          <w:rFonts w:cs="Times New Roman"/>
          <w:noProof/>
        </w:rPr>
        <w:t xml:space="preserve">2008. Validation of the CNS Penetration-Effectiveness rank for quantifying antiretroviral penetration into the central nervous system. Arch Neurol </w:t>
      </w:r>
      <w:r>
        <w:rPr>
          <w:rFonts w:cs="Times New Roman"/>
          <w:b/>
          <w:bCs/>
          <w:noProof/>
        </w:rPr>
        <w:t>65:</w:t>
      </w:r>
      <w:r>
        <w:rPr>
          <w:rFonts w:cs="Times New Roman"/>
          <w:noProof/>
        </w:rPr>
        <w:t>65-70.</w:t>
      </w:r>
    </w:p>
    <w:p w:rsidR="00E674D1" w:rsidRDefault="00E674D1">
      <w:pPr>
        <w:rPr>
          <w:rFonts w:cs="Times New Roman"/>
        </w:rPr>
      </w:pPr>
      <w:r>
        <w:rPr>
          <w:rFonts w:cs="Times New Roman"/>
        </w:rPr>
        <w:fldChar w:fldCharType="end"/>
      </w:r>
    </w:p>
    <w:sectPr w:rsidR="00E674D1" w:rsidSect="00E674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
    <w:altName w:val="×–¾é“"/>
    <w:panose1 w:val="00000000000000000000"/>
    <w:charset w:val="80"/>
    <w:family w:val="modern"/>
    <w:notTrueType/>
    <w:pitch w:val="fixed"/>
    <w:sig w:usb0="00000001" w:usb1="08070000" w:usb2="00000010" w:usb3="00000000" w:csb0="00020000"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J Vi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z5tf526v5dxnepp0h599ttxevwdzx2pdpp&quot;&gt;Grant 2014&lt;record-ids&gt;&lt;item&gt;884&lt;/item&gt;&lt;/record-ids&gt;&lt;/item&gt;&lt;/Libraries&gt;"/>
  </w:docVars>
  <w:rsids>
    <w:rsidRoot w:val="00E674D1"/>
    <w:rsid w:val="00E674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eastAsia="ja-JP"/>
    </w:rPr>
  </w:style>
  <w:style w:type="paragraph" w:styleId="Heading1">
    <w:name w:val="heading 1"/>
    <w:basedOn w:val="Normal"/>
    <w:next w:val="Normal"/>
    <w:link w:val="Heading1Char"/>
    <w:uiPriority w:val="99"/>
    <w:qFormat/>
    <w:pPr>
      <w:keepNext/>
      <w:keepLines/>
      <w:spacing w:before="480"/>
      <w:outlineLvl w:val="0"/>
    </w:pPr>
    <w:rPr>
      <w:rFonts w:ascii="Calibri" w:eastAsia="MS Gothi" w:hAnsi="Calibri" w:cs="Calibri"/>
      <w:b/>
      <w:bCs/>
      <w:sz w:val="32"/>
      <w:szCs w:val="3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eastAsia="MS Gothi" w:hAnsi="Calibri" w:cs="Calibri"/>
      <w:b/>
      <w:bCs/>
      <w:color w:val="auto"/>
      <w:sz w:val="32"/>
      <w:szCs w:val="32"/>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customStyle="1" w:styleId="EndNoteBibliographyTitle">
    <w:name w:val="EndNote Bibliography Title"/>
    <w:basedOn w:val="Normal"/>
    <w:uiPriority w:val="99"/>
    <w:pPr>
      <w:jc w:val="center"/>
    </w:pPr>
  </w:style>
  <w:style w:type="paragraph" w:customStyle="1" w:styleId="EndNoteBibliography">
    <w:name w:val="EndNote Bibliography"/>
    <w:basedOn w:val="Normal"/>
    <w:uiPriority w:val="9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7</Pages>
  <Words>754</Words>
  <Characters>4299</Characters>
  <Application>Microsoft Office Outlook</Application>
  <DocSecurity>0</DocSecurity>
  <Lines>0</Lines>
  <Paragraphs>0</Paragraphs>
  <ScaleCrop>false</ScaleCrop>
  <Company>Johns Hopkins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Gama</dc:creator>
  <cp:keywords/>
  <dc:description/>
  <cp:lastModifiedBy>TEESLWW</cp:lastModifiedBy>
  <cp:revision>7</cp:revision>
  <dcterms:created xsi:type="dcterms:W3CDTF">2016-07-05T14:45:00Z</dcterms:created>
  <dcterms:modified xsi:type="dcterms:W3CDTF">2016-09-05T19:32:00Z</dcterms:modified>
</cp:coreProperties>
</file>