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35EC" w14:textId="77777777" w:rsidR="006B2DE0" w:rsidRDefault="006B2DE0" w:rsidP="00C109EF">
      <w:pPr>
        <w:keepNext/>
        <w:jc w:val="center"/>
        <w:rPr>
          <w:rFonts w:ascii="Times New Roman" w:hAnsi="Times New Roman" w:cs="Times New Roman"/>
        </w:rPr>
      </w:pPr>
    </w:p>
    <w:p w14:paraId="1BEE653F" w14:textId="0645EE58" w:rsidR="006B2DE0" w:rsidRPr="00527E3F" w:rsidRDefault="006B2DE0" w:rsidP="00305761">
      <w:pPr>
        <w:pStyle w:val="Title"/>
        <w:jc w:val="left"/>
        <w:rPr>
          <w:rFonts w:ascii="Times New Roman" w:hAnsi="Times New Roman" w:cs="Times New Roman"/>
          <w:sz w:val="36"/>
          <w:szCs w:val="36"/>
        </w:rPr>
      </w:pPr>
      <w:r w:rsidRPr="00527E3F">
        <w:rPr>
          <w:rFonts w:ascii="Times New Roman" w:hAnsi="Times New Roman" w:cs="Times New Roman"/>
          <w:sz w:val="36"/>
          <w:szCs w:val="36"/>
        </w:rPr>
        <w:t>Supporting Information for ``</w:t>
      </w:r>
      <w:r w:rsidR="005F3F1C" w:rsidRPr="00590666">
        <w:rPr>
          <w:rFonts w:ascii="Times New Roman" w:hAnsi="Times New Roman"/>
          <w:sz w:val="36"/>
          <w:szCs w:val="36"/>
        </w:rPr>
        <w:t>Space-time migration patterns and risk of HIV acquisition in rural South Africa:  a population-based cohort study</w:t>
      </w:r>
      <w:r w:rsidR="005F3F1C" w:rsidRPr="00527E3F">
        <w:rPr>
          <w:rFonts w:ascii="Times New Roman" w:hAnsi="Times New Roman" w:cs="Times New Roman"/>
          <w:sz w:val="36"/>
          <w:szCs w:val="36"/>
        </w:rPr>
        <w:t xml:space="preserve"> </w:t>
      </w:r>
      <w:r w:rsidRPr="00527E3F">
        <w:rPr>
          <w:rFonts w:ascii="Times New Roman" w:hAnsi="Times New Roman" w:cs="Times New Roman"/>
          <w:sz w:val="36"/>
          <w:szCs w:val="36"/>
        </w:rPr>
        <w:t>"</w:t>
      </w:r>
    </w:p>
    <w:p w14:paraId="7146E2D2" w14:textId="77777777" w:rsidR="00477088" w:rsidRPr="00477088" w:rsidRDefault="00477088" w:rsidP="00477088"/>
    <w:p w14:paraId="62044C11" w14:textId="77777777" w:rsidR="0037406D" w:rsidRPr="0037406D" w:rsidRDefault="0037406D" w:rsidP="0037406D">
      <w:pPr>
        <w:spacing w:after="0" w:line="240" w:lineRule="auto"/>
        <w:jc w:val="left"/>
        <w:rPr>
          <w:rFonts w:ascii="Times New Roman" w:eastAsia="Times New Roman" w:hAnsi="Times New Roman" w:cs="Times New Roman"/>
          <w:sz w:val="24"/>
          <w:szCs w:val="24"/>
          <w:vertAlign w:val="superscript"/>
        </w:rPr>
      </w:pPr>
      <w:r w:rsidRPr="0037406D">
        <w:rPr>
          <w:rFonts w:ascii="Times New Roman" w:eastAsia="Times New Roman" w:hAnsi="Times New Roman" w:cs="Times New Roman"/>
          <w:sz w:val="24"/>
          <w:szCs w:val="24"/>
        </w:rPr>
        <w:t xml:space="preserve">Authors: </w:t>
      </w:r>
      <w:r w:rsidRPr="0037406D">
        <w:rPr>
          <w:rFonts w:ascii="Times New Roman" w:eastAsia="Times New Roman" w:hAnsi="Times New Roman" w:cs="Times New Roman"/>
          <w:b/>
          <w:sz w:val="24"/>
          <w:szCs w:val="24"/>
        </w:rPr>
        <w:t xml:space="preserve">Adrian </w:t>
      </w:r>
      <w:proofErr w:type="spellStart"/>
      <w:r w:rsidRPr="0037406D">
        <w:rPr>
          <w:rFonts w:ascii="Times New Roman" w:eastAsia="Times New Roman" w:hAnsi="Times New Roman" w:cs="Times New Roman"/>
          <w:b/>
          <w:sz w:val="24"/>
          <w:szCs w:val="24"/>
        </w:rPr>
        <w:t>DOBRA</w:t>
      </w:r>
      <w:r w:rsidRPr="0037406D">
        <w:rPr>
          <w:rFonts w:ascii="Times New Roman" w:eastAsia="Times New Roman" w:hAnsi="Times New Roman" w:cs="Times New Roman"/>
          <w:b/>
          <w:sz w:val="24"/>
          <w:szCs w:val="24"/>
          <w:vertAlign w:val="superscript"/>
        </w:rPr>
        <w:t>a</w:t>
      </w:r>
      <w:proofErr w:type="spellEnd"/>
      <w:r w:rsidRPr="0037406D">
        <w:rPr>
          <w:rFonts w:ascii="Times New Roman" w:eastAsia="Times New Roman" w:hAnsi="Times New Roman" w:cs="Times New Roman"/>
          <w:b/>
          <w:sz w:val="24"/>
          <w:szCs w:val="24"/>
        </w:rPr>
        <w:t xml:space="preserve">, Till </w:t>
      </w:r>
      <w:proofErr w:type="spellStart"/>
      <w:r w:rsidRPr="0037406D">
        <w:rPr>
          <w:rFonts w:ascii="Times New Roman" w:eastAsia="Times New Roman" w:hAnsi="Times New Roman" w:cs="Times New Roman"/>
          <w:b/>
          <w:sz w:val="24"/>
          <w:szCs w:val="24"/>
        </w:rPr>
        <w:t>BÄRNIGHAUSEN</w:t>
      </w:r>
      <w:r w:rsidRPr="0037406D">
        <w:rPr>
          <w:rFonts w:ascii="Times New Roman" w:eastAsia="Times New Roman" w:hAnsi="Times New Roman" w:cs="Times New Roman"/>
          <w:b/>
          <w:sz w:val="24"/>
          <w:szCs w:val="24"/>
          <w:vertAlign w:val="superscript"/>
        </w:rPr>
        <w:t>b</w:t>
      </w:r>
      <w:proofErr w:type="spellEnd"/>
      <w:r w:rsidRPr="0037406D">
        <w:rPr>
          <w:rFonts w:ascii="Times New Roman" w:eastAsia="Times New Roman" w:hAnsi="Times New Roman" w:cs="Times New Roman"/>
          <w:b/>
          <w:sz w:val="24"/>
          <w:szCs w:val="24"/>
        </w:rPr>
        <w:t xml:space="preserve">, Alain </w:t>
      </w:r>
      <w:proofErr w:type="spellStart"/>
      <w:r w:rsidRPr="0037406D">
        <w:rPr>
          <w:rFonts w:ascii="Times New Roman" w:eastAsia="Times New Roman" w:hAnsi="Times New Roman" w:cs="Times New Roman"/>
          <w:b/>
          <w:sz w:val="24"/>
          <w:szCs w:val="24"/>
        </w:rPr>
        <w:t>VANDORMAEL</w:t>
      </w:r>
      <w:r w:rsidRPr="0037406D">
        <w:rPr>
          <w:rFonts w:ascii="Times New Roman" w:eastAsia="Times New Roman" w:hAnsi="Times New Roman" w:cs="Times New Roman"/>
          <w:b/>
          <w:sz w:val="24"/>
          <w:szCs w:val="24"/>
          <w:vertAlign w:val="superscript"/>
        </w:rPr>
        <w:t>c</w:t>
      </w:r>
      <w:proofErr w:type="spellEnd"/>
      <w:r w:rsidRPr="0037406D">
        <w:rPr>
          <w:rFonts w:ascii="Times New Roman" w:eastAsia="Times New Roman" w:hAnsi="Times New Roman" w:cs="Times New Roman"/>
          <w:b/>
          <w:sz w:val="24"/>
          <w:szCs w:val="24"/>
        </w:rPr>
        <w:t xml:space="preserve">, and Frank </w:t>
      </w:r>
      <w:proofErr w:type="spellStart"/>
      <w:r w:rsidRPr="0037406D">
        <w:rPr>
          <w:rFonts w:ascii="Times New Roman" w:eastAsia="Times New Roman" w:hAnsi="Times New Roman" w:cs="Times New Roman"/>
          <w:b/>
          <w:sz w:val="24"/>
          <w:szCs w:val="24"/>
        </w:rPr>
        <w:t>TANSER</w:t>
      </w:r>
      <w:r w:rsidRPr="0037406D">
        <w:rPr>
          <w:rFonts w:ascii="Times New Roman" w:eastAsia="Times New Roman" w:hAnsi="Times New Roman" w:cs="Times New Roman"/>
          <w:b/>
          <w:sz w:val="24"/>
          <w:szCs w:val="24"/>
          <w:vertAlign w:val="superscript"/>
        </w:rPr>
        <w:t>d</w:t>
      </w:r>
      <w:proofErr w:type="spellEnd"/>
    </w:p>
    <w:p w14:paraId="59E71C8A" w14:textId="77777777" w:rsidR="0037406D" w:rsidRPr="0037406D" w:rsidRDefault="0037406D" w:rsidP="0037406D">
      <w:pPr>
        <w:spacing w:after="0" w:line="240" w:lineRule="auto"/>
        <w:jc w:val="left"/>
        <w:rPr>
          <w:rFonts w:ascii="Times New Roman" w:eastAsia="Times New Roman" w:hAnsi="Times New Roman" w:cs="Times New Roman"/>
          <w:sz w:val="24"/>
          <w:szCs w:val="24"/>
        </w:rPr>
      </w:pPr>
      <w:proofErr w:type="spellStart"/>
      <w:r w:rsidRPr="0037406D">
        <w:rPr>
          <w:rFonts w:ascii="Times New Roman" w:eastAsia="Times New Roman" w:hAnsi="Times New Roman" w:cs="Times New Roman"/>
          <w:sz w:val="24"/>
          <w:szCs w:val="24"/>
          <w:vertAlign w:val="superscript"/>
        </w:rPr>
        <w:t>a</w:t>
      </w:r>
      <w:r w:rsidRPr="0037406D">
        <w:rPr>
          <w:rFonts w:ascii="Times New Roman" w:eastAsia="Times New Roman" w:hAnsi="Times New Roman" w:cs="Times New Roman"/>
          <w:sz w:val="24"/>
          <w:szCs w:val="24"/>
        </w:rPr>
        <w:t>Department</w:t>
      </w:r>
      <w:proofErr w:type="spellEnd"/>
      <w:r w:rsidRPr="0037406D">
        <w:rPr>
          <w:rFonts w:ascii="Times New Roman" w:eastAsia="Times New Roman" w:hAnsi="Times New Roman" w:cs="Times New Roman"/>
          <w:sz w:val="24"/>
          <w:szCs w:val="24"/>
        </w:rPr>
        <w:t xml:space="preserve"> of Statistics, Department of </w:t>
      </w:r>
      <w:proofErr w:type="spellStart"/>
      <w:r w:rsidRPr="0037406D">
        <w:rPr>
          <w:rFonts w:ascii="Times New Roman" w:eastAsia="Times New Roman" w:hAnsi="Times New Roman" w:cs="Times New Roman"/>
          <w:sz w:val="24"/>
          <w:szCs w:val="24"/>
        </w:rPr>
        <w:t>Biobehavioral</w:t>
      </w:r>
      <w:proofErr w:type="spellEnd"/>
      <w:r w:rsidRPr="0037406D">
        <w:rPr>
          <w:rFonts w:ascii="Times New Roman" w:eastAsia="Times New Roman" w:hAnsi="Times New Roman" w:cs="Times New Roman"/>
          <w:sz w:val="24"/>
          <w:szCs w:val="24"/>
        </w:rPr>
        <w:t xml:space="preserve"> Nursing and Health Systems, Center for Statistics and the Social Sciences, and Center for Studies in Demography and Ecology, University of Washington, Seattle, Washington, USA.</w:t>
      </w:r>
      <w:r w:rsidRPr="0037406D">
        <w:rPr>
          <w:rFonts w:ascii="Times New Roman" w:eastAsia="Times New Roman" w:hAnsi="Times New Roman" w:cs="Times New Roman"/>
          <w:sz w:val="24"/>
          <w:szCs w:val="24"/>
        </w:rPr>
        <w:br/>
        <w:t xml:space="preserve">Email:  </w:t>
      </w:r>
      <w:hyperlink r:id="rId8" w:history="1">
        <w:r w:rsidRPr="0037406D">
          <w:rPr>
            <w:rFonts w:ascii="Times New Roman" w:eastAsia="Times New Roman" w:hAnsi="Times New Roman" w:cs="Times New Roman"/>
            <w:color w:val="F7B615"/>
            <w:sz w:val="24"/>
            <w:szCs w:val="24"/>
            <w:u w:val="single"/>
          </w:rPr>
          <w:t>adobra@uw.edu</w:t>
        </w:r>
      </w:hyperlink>
    </w:p>
    <w:p w14:paraId="123EB759" w14:textId="77777777" w:rsidR="0037406D" w:rsidRPr="0037406D" w:rsidRDefault="0037406D" w:rsidP="0037406D">
      <w:pPr>
        <w:spacing w:after="0" w:line="240" w:lineRule="auto"/>
        <w:jc w:val="left"/>
        <w:rPr>
          <w:rFonts w:ascii="Times New Roman" w:eastAsia="Times New Roman" w:hAnsi="Times New Roman" w:cs="Times New Roman"/>
          <w:sz w:val="24"/>
          <w:szCs w:val="24"/>
        </w:rPr>
      </w:pPr>
    </w:p>
    <w:p w14:paraId="0B0C8350" w14:textId="07D0A743" w:rsidR="0037406D" w:rsidRPr="0037406D" w:rsidRDefault="003B4893" w:rsidP="0037406D">
      <w:pPr>
        <w:spacing w:after="0" w:line="240" w:lineRule="auto"/>
        <w:jc w:val="left"/>
        <w:rPr>
          <w:rFonts w:ascii="Times New Roman" w:eastAsia="Times New Roman" w:hAnsi="Times New Roman" w:cs="Times New Roman"/>
          <w:sz w:val="24"/>
          <w:szCs w:val="24"/>
        </w:rPr>
      </w:pPr>
      <w:bookmarkStart w:id="0" w:name="_GoBack"/>
      <w:bookmarkEnd w:id="0"/>
      <w:proofErr w:type="spellStart"/>
      <w:r w:rsidRPr="003B4893">
        <w:rPr>
          <w:rFonts w:ascii="Times New Roman" w:eastAsia="Times New Roman" w:hAnsi="Times New Roman" w:cs="Times New Roman"/>
          <w:sz w:val="24"/>
          <w:szCs w:val="24"/>
          <w:vertAlign w:val="superscript"/>
        </w:rPr>
        <w:t>b</w:t>
      </w:r>
      <w:r w:rsidRPr="003B4893">
        <w:rPr>
          <w:rFonts w:ascii="Times New Roman" w:eastAsia="Times New Roman" w:hAnsi="Times New Roman" w:cs="Times New Roman"/>
          <w:sz w:val="24"/>
          <w:szCs w:val="24"/>
        </w:rPr>
        <w:t>Africa</w:t>
      </w:r>
      <w:proofErr w:type="spellEnd"/>
      <w:r w:rsidRPr="003B4893">
        <w:rPr>
          <w:rFonts w:ascii="Times New Roman" w:eastAsia="Times New Roman" w:hAnsi="Times New Roman" w:cs="Times New Roman"/>
          <w:sz w:val="24"/>
          <w:szCs w:val="24"/>
        </w:rPr>
        <w:t xml:space="preserve"> Health Research Institute, University of KwaZulu-Natal, </w:t>
      </w:r>
      <w:proofErr w:type="spellStart"/>
      <w:r w:rsidRPr="003B4893">
        <w:rPr>
          <w:rFonts w:ascii="Times New Roman" w:eastAsia="Times New Roman" w:hAnsi="Times New Roman" w:cs="Times New Roman"/>
          <w:sz w:val="24"/>
          <w:szCs w:val="24"/>
        </w:rPr>
        <w:t>Mtubatuba</w:t>
      </w:r>
      <w:proofErr w:type="spellEnd"/>
      <w:r w:rsidRPr="003B4893">
        <w:rPr>
          <w:rFonts w:ascii="Times New Roman" w:eastAsia="Times New Roman" w:hAnsi="Times New Roman" w:cs="Times New Roman"/>
          <w:sz w:val="24"/>
          <w:szCs w:val="24"/>
        </w:rPr>
        <w:t>, South Africa, Institute for Public Health, Faculty of Medicine, University of Heidelberg, Heidelberg, Germany, and Department of Global Health and Population, Harvard T.H. Chan School of Public Health, Boston, Massachusetts, USA.</w:t>
      </w:r>
      <w:r w:rsidR="0037406D" w:rsidRPr="0037406D">
        <w:rPr>
          <w:rFonts w:ascii="Times New Roman" w:eastAsia="Times New Roman" w:hAnsi="Times New Roman" w:cs="Times New Roman"/>
          <w:sz w:val="24"/>
          <w:szCs w:val="24"/>
        </w:rPr>
        <w:br/>
        <w:t xml:space="preserve">Email:  </w:t>
      </w:r>
      <w:hyperlink r:id="rId9" w:history="1">
        <w:r w:rsidR="0037406D" w:rsidRPr="0037406D">
          <w:rPr>
            <w:rFonts w:ascii="Times New Roman" w:eastAsia="Times New Roman" w:hAnsi="Times New Roman" w:cs="Times New Roman"/>
            <w:color w:val="F7B615"/>
            <w:sz w:val="24"/>
            <w:szCs w:val="24"/>
            <w:u w:val="single"/>
          </w:rPr>
          <w:t>tbaernig@hsph.harvard.edu</w:t>
        </w:r>
      </w:hyperlink>
    </w:p>
    <w:p w14:paraId="7A164D74" w14:textId="77777777" w:rsidR="0037406D" w:rsidRPr="0037406D" w:rsidRDefault="0037406D" w:rsidP="0037406D">
      <w:pPr>
        <w:spacing w:after="0" w:line="240" w:lineRule="auto"/>
        <w:jc w:val="left"/>
        <w:rPr>
          <w:rFonts w:ascii="Times New Roman" w:eastAsia="Times New Roman" w:hAnsi="Times New Roman" w:cs="Times New Roman"/>
          <w:sz w:val="24"/>
          <w:szCs w:val="24"/>
        </w:rPr>
      </w:pPr>
    </w:p>
    <w:p w14:paraId="44A66097" w14:textId="77777777" w:rsidR="0037406D" w:rsidRPr="0037406D" w:rsidRDefault="0037406D" w:rsidP="0037406D">
      <w:pPr>
        <w:spacing w:after="0" w:line="240" w:lineRule="auto"/>
        <w:jc w:val="left"/>
        <w:rPr>
          <w:rFonts w:ascii="Times New Roman" w:eastAsia="Times New Roman" w:hAnsi="Times New Roman" w:cs="Times New Roman"/>
          <w:sz w:val="24"/>
          <w:szCs w:val="24"/>
        </w:rPr>
      </w:pPr>
      <w:proofErr w:type="spellStart"/>
      <w:r w:rsidRPr="0037406D">
        <w:rPr>
          <w:rFonts w:ascii="Times New Roman" w:eastAsia="Times New Roman" w:hAnsi="Times New Roman" w:cs="Times New Roman"/>
          <w:sz w:val="24"/>
          <w:szCs w:val="24"/>
          <w:vertAlign w:val="superscript"/>
        </w:rPr>
        <w:t>c</w:t>
      </w:r>
      <w:r w:rsidRPr="0037406D">
        <w:rPr>
          <w:rFonts w:ascii="Times New Roman" w:eastAsia="Times New Roman" w:hAnsi="Times New Roman" w:cs="Times New Roman"/>
          <w:sz w:val="24"/>
          <w:szCs w:val="24"/>
        </w:rPr>
        <w:t>Africa</w:t>
      </w:r>
      <w:proofErr w:type="spellEnd"/>
      <w:r w:rsidRPr="0037406D">
        <w:rPr>
          <w:rFonts w:ascii="Times New Roman" w:eastAsia="Times New Roman" w:hAnsi="Times New Roman" w:cs="Times New Roman"/>
          <w:sz w:val="24"/>
          <w:szCs w:val="24"/>
        </w:rPr>
        <w:t xml:space="preserve"> Health Research Institute, University of KwaZulu-Natal, </w:t>
      </w:r>
      <w:proofErr w:type="spellStart"/>
      <w:r w:rsidRPr="0037406D">
        <w:rPr>
          <w:rFonts w:ascii="Times New Roman" w:eastAsia="Times New Roman" w:hAnsi="Times New Roman" w:cs="Times New Roman"/>
          <w:sz w:val="24"/>
          <w:szCs w:val="24"/>
        </w:rPr>
        <w:t>Mtubatuba</w:t>
      </w:r>
      <w:proofErr w:type="spellEnd"/>
      <w:r w:rsidRPr="0037406D">
        <w:rPr>
          <w:rFonts w:ascii="Times New Roman" w:eastAsia="Times New Roman" w:hAnsi="Times New Roman" w:cs="Times New Roman"/>
          <w:sz w:val="24"/>
          <w:szCs w:val="24"/>
        </w:rPr>
        <w:t>, South Africa.</w:t>
      </w:r>
      <w:r w:rsidRPr="0037406D">
        <w:rPr>
          <w:rFonts w:ascii="Times New Roman" w:eastAsia="Times New Roman" w:hAnsi="Times New Roman" w:cs="Times New Roman"/>
          <w:sz w:val="24"/>
          <w:szCs w:val="24"/>
        </w:rPr>
        <w:br/>
        <w:t xml:space="preserve">Email: </w:t>
      </w:r>
      <w:hyperlink r:id="rId10" w:history="1">
        <w:r w:rsidRPr="0037406D">
          <w:rPr>
            <w:rFonts w:ascii="Times New Roman" w:eastAsia="Times New Roman" w:hAnsi="Times New Roman" w:cs="Times New Roman"/>
            <w:color w:val="F7B615"/>
            <w:sz w:val="24"/>
            <w:szCs w:val="24"/>
            <w:u w:val="single"/>
          </w:rPr>
          <w:t>vando026@umn.edu</w:t>
        </w:r>
      </w:hyperlink>
    </w:p>
    <w:p w14:paraId="3DD447AA" w14:textId="77777777" w:rsidR="0037406D" w:rsidRPr="0037406D" w:rsidRDefault="0037406D" w:rsidP="0037406D">
      <w:pPr>
        <w:spacing w:after="0" w:line="240" w:lineRule="auto"/>
        <w:jc w:val="left"/>
        <w:rPr>
          <w:rFonts w:ascii="Times New Roman" w:eastAsia="Times New Roman" w:hAnsi="Times New Roman" w:cs="Times New Roman"/>
          <w:sz w:val="24"/>
          <w:szCs w:val="24"/>
        </w:rPr>
      </w:pPr>
    </w:p>
    <w:p w14:paraId="13CE1130" w14:textId="77777777" w:rsidR="0037406D" w:rsidRPr="0037406D" w:rsidRDefault="0037406D" w:rsidP="0037406D">
      <w:pPr>
        <w:spacing w:after="0" w:line="240" w:lineRule="auto"/>
        <w:jc w:val="left"/>
        <w:rPr>
          <w:rFonts w:ascii="Times New Roman" w:eastAsia="Times New Roman" w:hAnsi="Times New Roman" w:cs="Times New Roman"/>
          <w:sz w:val="24"/>
          <w:szCs w:val="24"/>
        </w:rPr>
      </w:pPr>
      <w:proofErr w:type="spellStart"/>
      <w:r w:rsidRPr="0037406D">
        <w:rPr>
          <w:rFonts w:ascii="Times New Roman" w:eastAsia="Times New Roman" w:hAnsi="Times New Roman" w:cs="Times New Roman"/>
          <w:sz w:val="24"/>
          <w:szCs w:val="24"/>
          <w:vertAlign w:val="superscript"/>
        </w:rPr>
        <w:t>d</w:t>
      </w:r>
      <w:r w:rsidRPr="0037406D">
        <w:rPr>
          <w:rFonts w:ascii="Times New Roman" w:eastAsia="Times New Roman" w:hAnsi="Times New Roman" w:cs="Times New Roman"/>
          <w:sz w:val="24"/>
          <w:szCs w:val="24"/>
        </w:rPr>
        <w:t>Africa</w:t>
      </w:r>
      <w:proofErr w:type="spellEnd"/>
      <w:r w:rsidRPr="0037406D">
        <w:rPr>
          <w:rFonts w:ascii="Times New Roman" w:eastAsia="Times New Roman" w:hAnsi="Times New Roman" w:cs="Times New Roman"/>
          <w:sz w:val="24"/>
          <w:szCs w:val="24"/>
        </w:rPr>
        <w:t xml:space="preserve"> Health Research Institute, and School of Nursing and Public Health, University of KwaZulu-Natal, Durban, South Africa. </w:t>
      </w:r>
    </w:p>
    <w:p w14:paraId="63761C67" w14:textId="77777777" w:rsidR="0037406D" w:rsidRPr="0037406D" w:rsidRDefault="0037406D" w:rsidP="0037406D">
      <w:pPr>
        <w:spacing w:after="0" w:line="240" w:lineRule="auto"/>
        <w:jc w:val="left"/>
        <w:rPr>
          <w:rFonts w:ascii="Times New Roman" w:eastAsia="Times New Roman" w:hAnsi="Times New Roman" w:cs="Times New Roman"/>
          <w:sz w:val="20"/>
          <w:szCs w:val="20"/>
        </w:rPr>
      </w:pPr>
      <w:r w:rsidRPr="0037406D">
        <w:rPr>
          <w:rFonts w:ascii="Times New Roman" w:eastAsia="Times New Roman" w:hAnsi="Times New Roman" w:cs="Times New Roman"/>
          <w:sz w:val="24"/>
          <w:szCs w:val="24"/>
        </w:rPr>
        <w:t xml:space="preserve">Centre for the AIDS </w:t>
      </w:r>
      <w:proofErr w:type="spellStart"/>
      <w:r w:rsidRPr="0037406D">
        <w:rPr>
          <w:rFonts w:ascii="Times New Roman" w:eastAsia="Times New Roman" w:hAnsi="Times New Roman" w:cs="Times New Roman"/>
          <w:sz w:val="24"/>
          <w:szCs w:val="24"/>
        </w:rPr>
        <w:t>Programme</w:t>
      </w:r>
      <w:proofErr w:type="spellEnd"/>
      <w:r w:rsidRPr="0037406D">
        <w:rPr>
          <w:rFonts w:ascii="Times New Roman" w:eastAsia="Times New Roman" w:hAnsi="Times New Roman" w:cs="Times New Roman"/>
          <w:sz w:val="24"/>
          <w:szCs w:val="24"/>
        </w:rPr>
        <w:t xml:space="preserve"> of Research in South Africa – CAPRISA, University of KwaZulu-Natal, </w:t>
      </w:r>
      <w:proofErr w:type="spellStart"/>
      <w:r w:rsidRPr="0037406D">
        <w:rPr>
          <w:rFonts w:ascii="Times New Roman" w:eastAsia="Times New Roman" w:hAnsi="Times New Roman" w:cs="Times New Roman"/>
          <w:sz w:val="24"/>
          <w:szCs w:val="24"/>
        </w:rPr>
        <w:t>Congella</w:t>
      </w:r>
      <w:proofErr w:type="spellEnd"/>
      <w:r w:rsidRPr="0037406D">
        <w:rPr>
          <w:rFonts w:ascii="Times New Roman" w:eastAsia="Times New Roman" w:hAnsi="Times New Roman" w:cs="Times New Roman"/>
          <w:sz w:val="24"/>
          <w:szCs w:val="24"/>
        </w:rPr>
        <w:t>, South Africa.</w:t>
      </w:r>
      <w:r w:rsidRPr="0037406D">
        <w:rPr>
          <w:rFonts w:ascii="Times New Roman" w:eastAsia="Times New Roman" w:hAnsi="Times New Roman" w:cs="Times New Roman"/>
          <w:sz w:val="24"/>
          <w:szCs w:val="24"/>
        </w:rPr>
        <w:br/>
        <w:t xml:space="preserve">Email:  </w:t>
      </w:r>
      <w:hyperlink r:id="rId11" w:history="1">
        <w:r w:rsidRPr="0037406D">
          <w:rPr>
            <w:rFonts w:ascii="Times New Roman" w:eastAsia="Times New Roman" w:hAnsi="Times New Roman" w:cs="Times New Roman"/>
            <w:color w:val="F7B615"/>
            <w:sz w:val="24"/>
            <w:szCs w:val="24"/>
            <w:u w:val="single"/>
          </w:rPr>
          <w:t>ftanser@gmail.com</w:t>
        </w:r>
      </w:hyperlink>
    </w:p>
    <w:p w14:paraId="6A69284D" w14:textId="77777777" w:rsidR="00A677C2" w:rsidRDefault="00A677C2" w:rsidP="00A677C2">
      <w:pPr>
        <w:rPr>
          <w:rFonts w:ascii="Times New Roman" w:hAnsi="Times New Roman" w:cs="Times New Roman"/>
          <w:sz w:val="20"/>
          <w:szCs w:val="20"/>
        </w:rPr>
      </w:pPr>
    </w:p>
    <w:p w14:paraId="26F3A8BB" w14:textId="0D0DCA31" w:rsidR="007D5EAC" w:rsidRDefault="007D5EAC">
      <w:pPr>
        <w:rPr>
          <w:rFonts w:asciiTheme="majorHAnsi" w:eastAsiaTheme="majorEastAsia" w:hAnsiTheme="majorHAnsi" w:cstheme="majorBidi"/>
          <w:color w:val="2E74B5" w:themeColor="accent1" w:themeShade="BF"/>
          <w:sz w:val="32"/>
          <w:szCs w:val="32"/>
        </w:rPr>
      </w:pPr>
      <w:r>
        <w:br w:type="page"/>
      </w:r>
    </w:p>
    <w:p w14:paraId="4A9A4B48" w14:textId="61581D81" w:rsidR="007D5EAC" w:rsidRPr="00527E3F" w:rsidRDefault="007D5D35" w:rsidP="00853490">
      <w:pPr>
        <w:pStyle w:val="Heading2"/>
        <w:rPr>
          <w:rFonts w:ascii="Times New Roman" w:hAnsi="Times New Roman" w:cs="Times New Roman"/>
          <w:sz w:val="32"/>
          <w:szCs w:val="32"/>
        </w:rPr>
      </w:pPr>
      <w:r w:rsidRPr="00527E3F">
        <w:rPr>
          <w:rFonts w:ascii="Times New Roman" w:hAnsi="Times New Roman" w:cs="Times New Roman"/>
          <w:sz w:val="32"/>
          <w:szCs w:val="32"/>
        </w:rPr>
        <w:lastRenderedPageBreak/>
        <w:t xml:space="preserve">S1. </w:t>
      </w:r>
      <w:r w:rsidR="007D5EAC" w:rsidRPr="00527E3F">
        <w:rPr>
          <w:rFonts w:ascii="Times New Roman" w:hAnsi="Times New Roman" w:cs="Times New Roman"/>
          <w:sz w:val="32"/>
          <w:szCs w:val="32"/>
        </w:rPr>
        <w:t>Systematic review</w:t>
      </w:r>
      <w:r w:rsidR="006741B6" w:rsidRPr="00527E3F">
        <w:rPr>
          <w:rFonts w:ascii="Times New Roman" w:hAnsi="Times New Roman" w:cs="Times New Roman"/>
          <w:sz w:val="32"/>
          <w:szCs w:val="32"/>
        </w:rPr>
        <w:t xml:space="preserve"> of recent literature linking migration and HIV</w:t>
      </w:r>
    </w:p>
    <w:p w14:paraId="5369F4B8" w14:textId="6ABDD1CB" w:rsidR="007D5EAC" w:rsidRDefault="007D5EAC" w:rsidP="007D5EAC"/>
    <w:p w14:paraId="0F264997" w14:textId="64E18F55" w:rsidR="00452C0D" w:rsidRPr="007D5EAC" w:rsidRDefault="00452C0D" w:rsidP="007D5EAC">
      <w:r w:rsidRPr="00B44CE0">
        <w:rPr>
          <w:rFonts w:ascii="Times New Roman" w:hAnsi="Times New Roman" w:cs="Times New Roman"/>
          <w:b/>
          <w:sz w:val="20"/>
          <w:szCs w:val="20"/>
        </w:rPr>
        <w:t xml:space="preserve">Table S1. </w:t>
      </w:r>
      <w:r w:rsidRPr="00527E3F">
        <w:rPr>
          <w:rFonts w:ascii="Times New Roman" w:hAnsi="Times New Roman" w:cs="Times New Roman"/>
          <w:b/>
          <w:sz w:val="20"/>
          <w:szCs w:val="20"/>
        </w:rPr>
        <w:t>Review of recent papers lin</w:t>
      </w:r>
      <w:r>
        <w:rPr>
          <w:rFonts w:ascii="Times New Roman" w:hAnsi="Times New Roman" w:cs="Times New Roman"/>
          <w:b/>
          <w:sz w:val="20"/>
          <w:szCs w:val="20"/>
        </w:rPr>
        <w:t>king mobility and HIV infection</w:t>
      </w:r>
    </w:p>
    <w:tbl>
      <w:tblPr>
        <w:tblStyle w:val="ListTable4-Accent21"/>
        <w:tblW w:w="5000" w:type="pct"/>
        <w:tblLook w:val="04A0" w:firstRow="1" w:lastRow="0" w:firstColumn="1" w:lastColumn="0" w:noHBand="0" w:noVBand="1"/>
      </w:tblPr>
      <w:tblGrid>
        <w:gridCol w:w="1974"/>
        <w:gridCol w:w="2968"/>
        <w:gridCol w:w="4408"/>
      </w:tblGrid>
      <w:tr w:rsidR="007D5EAC" w:rsidRPr="007D5EAC" w14:paraId="4ADFA021" w14:textId="77777777" w:rsidTr="00674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12" w:space="0" w:color="auto"/>
              <w:bottom w:val="single" w:sz="18" w:space="0" w:color="auto"/>
            </w:tcBorders>
          </w:tcPr>
          <w:p w14:paraId="07D928A2" w14:textId="77777777" w:rsidR="007D5EAC" w:rsidRPr="00305761" w:rsidRDefault="007D5EAC" w:rsidP="007D5EAC">
            <w:pPr>
              <w:rPr>
                <w:rFonts w:ascii="Times New Roman" w:hAnsi="Times New Roman"/>
                <w:sz w:val="20"/>
                <w:szCs w:val="20"/>
              </w:rPr>
            </w:pPr>
            <w:r w:rsidRPr="00305761">
              <w:rPr>
                <w:rFonts w:ascii="Times New Roman" w:hAnsi="Times New Roman"/>
                <w:sz w:val="20"/>
                <w:szCs w:val="20"/>
              </w:rPr>
              <w:br w:type="page"/>
            </w:r>
            <w:r w:rsidRPr="00305761">
              <w:rPr>
                <w:rFonts w:ascii="Times New Roman" w:hAnsi="Times New Roman"/>
                <w:sz w:val="20"/>
                <w:szCs w:val="20"/>
              </w:rPr>
              <w:br w:type="page"/>
              <w:t>Authors</w:t>
            </w:r>
          </w:p>
        </w:tc>
        <w:tc>
          <w:tcPr>
            <w:tcW w:w="1587" w:type="pct"/>
            <w:tcBorders>
              <w:top w:val="single" w:sz="12" w:space="0" w:color="auto"/>
              <w:bottom w:val="single" w:sz="18" w:space="0" w:color="auto"/>
            </w:tcBorders>
          </w:tcPr>
          <w:p w14:paraId="30F88F24" w14:textId="77777777" w:rsidR="007D5EAC" w:rsidRPr="00305761" w:rsidRDefault="007D5EAC" w:rsidP="007D5EA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5761">
              <w:rPr>
                <w:rFonts w:ascii="Times New Roman" w:hAnsi="Times New Roman"/>
                <w:sz w:val="20"/>
                <w:szCs w:val="20"/>
              </w:rPr>
              <w:t>Aims</w:t>
            </w:r>
          </w:p>
        </w:tc>
        <w:tc>
          <w:tcPr>
            <w:tcW w:w="2357" w:type="pct"/>
            <w:tcBorders>
              <w:top w:val="single" w:sz="12" w:space="0" w:color="auto"/>
              <w:bottom w:val="single" w:sz="18" w:space="0" w:color="auto"/>
            </w:tcBorders>
          </w:tcPr>
          <w:p w14:paraId="4A982C13" w14:textId="77777777" w:rsidR="007D5EAC" w:rsidRPr="00305761" w:rsidRDefault="007D5EAC" w:rsidP="007D5EA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5761">
              <w:rPr>
                <w:rFonts w:ascii="Times New Roman" w:hAnsi="Times New Roman"/>
                <w:sz w:val="20"/>
                <w:szCs w:val="20"/>
              </w:rPr>
              <w:t>Results</w:t>
            </w:r>
          </w:p>
        </w:tc>
      </w:tr>
      <w:tr w:rsidR="007D5EAC" w:rsidRPr="007D5EAC" w14:paraId="3A7C6A80"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single" w:sz="18" w:space="0" w:color="auto"/>
              <w:left w:val="nil"/>
              <w:bottom w:val="nil"/>
            </w:tcBorders>
          </w:tcPr>
          <w:p w14:paraId="000EF9EB" w14:textId="68EDD575"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Bärnighausen</w:t>
            </w:r>
            <w:proofErr w:type="spellEnd"/>
            <w:r w:rsidRPr="00305761">
              <w:rPr>
                <w:rFonts w:ascii="Times New Roman" w:hAnsi="Times New Roman"/>
                <w:b w:val="0"/>
                <w:sz w:val="16"/>
                <w:szCs w:val="16"/>
              </w:rPr>
              <w:t xml:space="preserve">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&lt;EndNote&gt;&lt;Cite&gt;&lt;Author&gt;Bärnighausen&lt;/Author&gt;&lt;Year&gt;2007&lt;/Year&gt;&lt;RecNum&gt;86&lt;/RecNum&gt;&lt;DisplayText&gt;&lt;style face="superscript"&gt;[1]&lt;/style&gt;&lt;/DisplayText&gt;&lt;record&gt;&lt;rec-number&gt;86&lt;/rec-number&gt;&lt;foreign-keys&gt;&lt;key app="EN" db-id="ra9p005rtsdz2nept9ax5aahp9dxedxd5502" timestamp="1431900555"&gt;86&lt;/key&gt;&lt;/foreign-keys&gt;&lt;ref-type name="Journal Article"&gt;17&lt;/ref-type&gt;&lt;contributors&gt;&lt;authors&gt;&lt;author&gt;Bärnighausen, Till&lt;/author&gt;&lt;author&gt;Hosegood, Victoria&lt;/author&gt;&lt;author&gt;Timaeus, Ian M&lt;/author&gt;&lt;author&gt;Newell, Marie-Louise&lt;/author&gt;&lt;/authors&gt;&lt;/contributors&gt;&lt;titles&gt;&lt;title&gt;The socioeconomic determinants of HIV incidence: evidence from a longitudinal, population-based study in rural South Africa&lt;/title&gt;&lt;secondary-title&gt;AIDS&lt;/secondary-title&gt;&lt;/titles&gt;&lt;periodical&gt;&lt;full-title&gt;AIDS&lt;/full-title&gt;&lt;/periodical&gt;&lt;pages&gt;S29--S38&lt;/pages&gt;&lt;volume&gt;21&lt;/volume&gt;&lt;number&gt;Suppl 7&lt;/number&gt;&lt;dates&gt;&lt;year&gt;2007&lt;/year&gt;&lt;pub-dates&gt;&lt;date&gt;2007/11/&lt;/date&gt;&lt;/pub-dates&gt;&lt;/dates&gt;&lt;urls&gt;&lt;related-urls&gt;&lt;url&gt;http://www.ncbi.nlm.nih.gov/pmc/articles/PMC2847257/&lt;/url&gt;&lt;/related-urls&gt;&lt;/urls&gt;&lt;electronic-resource-num&gt;10.1097/01.aids.0000300533.59483.95&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w:t>
            </w:r>
            <w:r w:rsidRPr="00305761">
              <w:rPr>
                <w:rFonts w:ascii="Times New Roman" w:hAnsi="Times New Roman"/>
                <w:sz w:val="16"/>
                <w:szCs w:val="16"/>
              </w:rPr>
              <w:fldChar w:fldCharType="end"/>
            </w:r>
          </w:p>
        </w:tc>
        <w:tc>
          <w:tcPr>
            <w:tcW w:w="1587" w:type="pct"/>
            <w:tcBorders>
              <w:top w:val="single" w:sz="18" w:space="0" w:color="auto"/>
              <w:bottom w:val="nil"/>
            </w:tcBorders>
          </w:tcPr>
          <w:p w14:paraId="59965D5F"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Longitudinal cohort study in rural South Africa (KwaZulu-Natal) investigating socioeconomic factors of HIV spread. </w:t>
            </w:r>
          </w:p>
        </w:tc>
        <w:tc>
          <w:tcPr>
            <w:tcW w:w="2357" w:type="pct"/>
            <w:tcBorders>
              <w:top w:val="single" w:sz="18" w:space="0" w:color="auto"/>
              <w:bottom w:val="nil"/>
              <w:right w:val="nil"/>
            </w:tcBorders>
          </w:tcPr>
          <w:p w14:paraId="7888FDC5"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After controlling for sex, age, education, wealth, household expenditures and place of residence, the hazard of acquiring HIV is almost double in migrants vs. non-migrants.</w:t>
            </w:r>
          </w:p>
        </w:tc>
      </w:tr>
      <w:tr w:rsidR="007D5EAC" w:rsidRPr="007D5EAC" w14:paraId="3064ACE7"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520E74C2" w14:textId="38B2D066"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Camlin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&lt;EndNote&gt;&lt;Cite&gt;&lt;Author&gt;Camlin&lt;/Author&gt;&lt;Year&gt;2010&lt;/Year&gt;&lt;RecNum&gt;38&lt;/RecNum&gt;&lt;DisplayText&gt;&lt;style face="superscript"&gt;[2]&lt;/style&gt;&lt;/DisplayText&gt;&lt;record&gt;&lt;rec-number&gt;38&lt;/rec-number&gt;&lt;foreign-keys&gt;&lt;key app="EN" db-id="ra9p005rtsdz2nept9ax5aahp9dxedxd5502" timestamp="1428271060"&gt;38&lt;/key&gt;&lt;/foreign-keys&gt;&lt;ref-type name="Journal Article"&gt;17&lt;/ref-type&gt;&lt;contributors&gt;&lt;authors&gt;&lt;author&gt;Camlin, C. S.&lt;/author&gt;&lt;author&gt;Hosegood, V.&lt;/author&gt;&lt;author&gt;Newell, Marie-Louise&lt;/author&gt;&lt;author&gt;McGrath, N.&lt;/author&gt;&lt;author&gt;Bärnighausen, T.&lt;/author&gt;&lt;author&gt;Snow, R. C.&lt;/author&gt;&lt;/authors&gt;&lt;/contributors&gt;&lt;titles&gt;&lt;title&gt;Gender, Migration and HIV in Rural KwaZulu-Natal, South Africa&lt;/title&gt;&lt;secondary-title&gt;PLoS ONE&lt;/secondary-title&gt;&lt;/titles&gt;&lt;periodical&gt;&lt;full-title&gt;PLoS ONE&lt;/full-title&gt;&lt;/periodical&gt;&lt;pages&gt;e11539&lt;/pages&gt;&lt;volume&gt;5&lt;/volume&gt;&lt;number&gt;7&lt;/number&gt;&lt;dates&gt;&lt;year&gt;2010&lt;/year&gt;&lt;/dates&gt;&lt;urls&gt;&lt;/urls&gt;&lt;electronic-resource-num&gt;doi:10.1371/journal.pone.0011539&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[2]</w:t>
            </w:r>
            <w:r w:rsidRPr="00305761">
              <w:rPr>
                <w:rFonts w:ascii="Times New Roman" w:hAnsi="Times New Roman"/>
                <w:sz w:val="16"/>
                <w:szCs w:val="16"/>
              </w:rPr>
              <w:fldChar w:fldCharType="end"/>
            </w:r>
          </w:p>
        </w:tc>
        <w:tc>
          <w:tcPr>
            <w:tcW w:w="1587" w:type="pct"/>
            <w:tcBorders>
              <w:top w:val="nil"/>
              <w:bottom w:val="nil"/>
            </w:tcBorders>
          </w:tcPr>
          <w:p w14:paraId="0FA22287"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Examines the relationships between migration and HIV infection for women and men in rural South Africa (KwaZulu-Natal).</w:t>
            </w:r>
          </w:p>
        </w:tc>
        <w:tc>
          <w:tcPr>
            <w:tcW w:w="2357" w:type="pct"/>
            <w:tcBorders>
              <w:top w:val="nil"/>
              <w:bottom w:val="nil"/>
              <w:right w:val="nil"/>
            </w:tcBorders>
          </w:tcPr>
          <w:p w14:paraId="5A1345AC"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Each additional partner increased odds of HIV infection by 46% for female migrants which indicates a substantially higher risk compared to female non-migrants (22%), male non-migrants (3%), and male migrants (non-significant).</w:t>
            </w:r>
          </w:p>
        </w:tc>
      </w:tr>
      <w:tr w:rsidR="007D5EAC" w:rsidRPr="007D5EAC" w14:paraId="3AAFD5B0"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2149F675" w14:textId="6E1807B2"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Deane, Parkhurst and Johnston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&lt;EndNote&gt;&lt;Cite&gt;&lt;Author&gt;Deane&lt;/Author&gt;&lt;Year&gt;2010&lt;/Year&gt;&lt;RecNum&gt;17&lt;/RecNum&gt;&lt;DisplayText&gt;&lt;style face="superscript"&gt;[3]&lt;/style&gt;&lt;/DisplayText&gt;&lt;record&gt;&lt;rec-number&gt;17&lt;/rec-number&gt;&lt;foreign-keys&gt;&lt;key app="EN" db-id="ra9p005rtsdz2nept9ax5aahp9dxedxd5502" timestamp="1428188176"&gt;17&lt;/key&gt;&lt;/foreign-keys&gt;&lt;ref-type name="Journal Article"&gt;17&lt;/ref-type&gt;&lt;contributors&gt;&lt;authors&gt;&lt;author&gt;Deane, K. D.&lt;/author&gt;&lt;author&gt;Parkhurst, J. O.&lt;/author&gt;&lt;author&gt;Johnston, D.&lt;/author&gt;&lt;/authors&gt;&lt;/contributors&gt;&lt;titles&gt;&lt;title&gt;Linking migration, mobility and HIV&lt;/title&gt;&lt;secondary-title&gt;Tropical Medicine and International Health&lt;/secondary-title&gt;&lt;/titles&gt;&lt;periodical&gt;&lt;full-title&gt;Tropical Medicine and International Health&lt;/full-title&gt;&lt;/periodical&gt;&lt;pages&gt;1458–1463&lt;/pages&gt;&lt;volume&gt;15&lt;/volume&gt;&lt;number&gt;12&lt;/number&gt;&lt;dates&gt;&lt;year&gt;2010&lt;/year&gt;&lt;/dates&gt;&lt;urls&gt;&lt;/urls&gt;&lt;electronic-resource-num&gt;doi:10.1111/j.1365-3156.2010.02647.x&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[3]</w:t>
            </w:r>
            <w:r w:rsidRPr="00305761">
              <w:rPr>
                <w:rFonts w:ascii="Times New Roman" w:hAnsi="Times New Roman"/>
                <w:sz w:val="16"/>
                <w:szCs w:val="16"/>
              </w:rPr>
              <w:fldChar w:fldCharType="end"/>
            </w:r>
          </w:p>
        </w:tc>
        <w:tc>
          <w:tcPr>
            <w:tcW w:w="1587" w:type="pct"/>
            <w:tcBorders>
              <w:top w:val="nil"/>
              <w:bottom w:val="nil"/>
            </w:tcBorders>
          </w:tcPr>
          <w:p w14:paraId="2D80A67E"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Discusses the occasionally contradictory published results on the complex relationships between migration and HIV infection risk factors, together with a key example from an epidemiological cohort from </w:t>
            </w:r>
            <w:proofErr w:type="spellStart"/>
            <w:r w:rsidRPr="00305761">
              <w:rPr>
                <w:rFonts w:ascii="Times New Roman" w:hAnsi="Times New Roman"/>
                <w:sz w:val="16"/>
                <w:szCs w:val="16"/>
              </w:rPr>
              <w:t>Kisesa</w:t>
            </w:r>
            <w:proofErr w:type="spellEnd"/>
            <w:r w:rsidRPr="00305761">
              <w:rPr>
                <w:rFonts w:ascii="Times New Roman" w:hAnsi="Times New Roman"/>
                <w:sz w:val="16"/>
                <w:szCs w:val="16"/>
              </w:rPr>
              <w:t>, Tanzania.</w:t>
            </w:r>
          </w:p>
        </w:tc>
        <w:tc>
          <w:tcPr>
            <w:tcW w:w="2357" w:type="pct"/>
            <w:tcBorders>
              <w:top w:val="nil"/>
              <w:bottom w:val="nil"/>
              <w:right w:val="nil"/>
            </w:tcBorders>
          </w:tcPr>
          <w:p w14:paraId="3B800E42"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The various definitions of mobile and non-mobile groups employed in the literature influence the conclusions of studies linking HIV acquisition with risky sexual behavior and migration. Improved approaches should account for reasons for migration, who migrates, and key epidemiological features of origin and destination areas.</w:t>
            </w:r>
          </w:p>
        </w:tc>
      </w:tr>
      <w:tr w:rsidR="007D5EAC" w:rsidRPr="007D5EAC" w14:paraId="686E5B8D"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06A5A75E" w14:textId="63761626"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Saggurti</w:t>
            </w:r>
            <w:proofErr w:type="spellEnd"/>
            <w:r w:rsidRPr="00305761">
              <w:rPr>
                <w:rFonts w:ascii="Times New Roman" w:hAnsi="Times New Roman"/>
                <w:b w:val="0"/>
                <w:sz w:val="16"/>
                <w:szCs w:val="16"/>
              </w:rPr>
              <w:t xml:space="preserve">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&lt;EndNote&gt;&lt;Cite&gt;&lt;Author&gt;Saggurti&lt;/Author&gt;&lt;Year&gt;2011&lt;/Year&gt;&lt;RecNum&gt;13&lt;/RecNum&gt;&lt;DisplayText&gt;&lt;style face="superscript"&gt;[4]&lt;/style&gt;&lt;/DisplayText&gt;&lt;record&gt;&lt;rec-number&gt;13&lt;/rec-number&gt;&lt;foreign-keys&gt;&lt;key app="EN" db-id="ra9p005rtsdz2nept9ax5aahp9dxedxd5502" timestamp="1428187327"&gt;13&lt;/key&gt;&lt;/foreign-keys&gt;&lt;ref-type name="Journal Article"&gt;17&lt;/ref-type&gt;&lt;contributors&gt;&lt;authors&gt;&lt;author&gt;Saggurti, N.&lt;/author&gt;&lt;author&gt;Mahapatra, B.&lt;/author&gt;&lt;author&gt;Swain, S. N. &lt;/author&gt;&lt;author&gt;Jain, A. K.&lt;/author&gt;&lt;/authors&gt;&lt;/contributors&gt;&lt;titles&gt;&lt;title&gt;Male migration and risky sexual behavior in rural India: is the place of origin critical for HIV prevention programs?&lt;/title&gt;&lt;secondary-title&gt;BMC Public Health&lt;/secondary-title&gt;&lt;/titles&gt;&lt;periodical&gt;&lt;full-title&gt;BMC Public Health&lt;/full-title&gt;&lt;/periodical&gt;&lt;volume&gt;11&lt;/volume&gt;&lt;number&gt;S6&lt;/number&gt;&lt;dates&gt;&lt;year&gt;2011&lt;/year&gt;&lt;/dates&gt;&lt;isbn&gt;doi:10.1186/1471-2458-11-S6-S6&lt;/isbn&gt;&lt;urls&gt;&lt;/urls&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[4]</w:t>
            </w:r>
            <w:r w:rsidRPr="00305761">
              <w:rPr>
                <w:rFonts w:ascii="Times New Roman" w:hAnsi="Times New Roman"/>
                <w:sz w:val="16"/>
                <w:szCs w:val="16"/>
              </w:rPr>
              <w:fldChar w:fldCharType="end"/>
            </w:r>
          </w:p>
        </w:tc>
        <w:tc>
          <w:tcPr>
            <w:tcW w:w="1587" w:type="pct"/>
            <w:tcBorders>
              <w:top w:val="nil"/>
              <w:bottom w:val="nil"/>
            </w:tcBorders>
          </w:tcPr>
          <w:p w14:paraId="1C12803E"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Cross-sectional risky sexual behavioral study of non-migrants, returned migrants and active migrants in two Indian districts with high levels of male out-migration.</w:t>
            </w:r>
          </w:p>
        </w:tc>
        <w:tc>
          <w:tcPr>
            <w:tcW w:w="2357" w:type="pct"/>
            <w:tcBorders>
              <w:top w:val="nil"/>
              <w:bottom w:val="nil"/>
              <w:right w:val="nil"/>
            </w:tcBorders>
          </w:tcPr>
          <w:p w14:paraId="0CCE7BC1" w14:textId="4E68C37F"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Returned and active migrants have increased risky sexual behavior (paid and unprotected se</w:t>
            </w:r>
            <w:r w:rsidR="002A2089" w:rsidRPr="00305761">
              <w:rPr>
                <w:rFonts w:ascii="Times New Roman" w:hAnsi="Times New Roman"/>
                <w:sz w:val="16"/>
                <w:szCs w:val="16"/>
              </w:rPr>
              <w:t>9</w:t>
            </w:r>
            <w:r w:rsidRPr="00305761">
              <w:rPr>
                <w:rFonts w:ascii="Times New Roman" w:hAnsi="Times New Roman"/>
                <w:sz w:val="16"/>
                <w:szCs w:val="16"/>
              </w:rPr>
              <w:t>x) compared to non-migrants. Migrants maintain their risky sexual behavior in the places of origin and the places of destination.</w:t>
            </w:r>
          </w:p>
        </w:tc>
      </w:tr>
      <w:tr w:rsidR="007D5EAC" w:rsidRPr="007D5EAC" w14:paraId="0518838F"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6CBB1227" w14:textId="1EFDB16E"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Vissers</w:t>
            </w:r>
            <w:proofErr w:type="spellEnd"/>
            <w:r w:rsidRPr="00305761">
              <w:rPr>
                <w:rFonts w:ascii="Times New Roman" w:hAnsi="Times New Roman"/>
                <w:b w:val="0"/>
                <w:sz w:val="16"/>
                <w:szCs w:val="16"/>
              </w:rPr>
              <w:t xml:space="preserve">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&lt;EndNote&gt;&lt;Cite&gt;&lt;Author&gt;Vissers&lt;/Author&gt;&lt;Year&gt;2011&lt;/Year&gt;&lt;RecNum&gt;29&lt;/RecNum&gt;&lt;DisplayText&gt;&lt;style face="superscript"&gt;[5]&lt;/style&gt;&lt;/DisplayText&gt;&lt;record&gt;&lt;rec-number&gt;29&lt;/rec-number&gt;&lt;foreign-keys&gt;&lt;key app="EN" db-id="ra9p005rtsdz2nept9ax5aahp9dxedxd5502" timestamp="1428190880"&gt;29&lt;/key&gt;&lt;/foreign-keys&gt;&lt;ref-type name="Journal Article"&gt;17&lt;/ref-type&gt;&lt;contributors&gt;&lt;authors&gt;&lt;author&gt;Vissers, D. C. J.&lt;/author&gt;&lt;author&gt;de Vlas, S. J.&lt;/author&gt;&lt;author&gt;Bakker, R.&lt;/author&gt;&lt;author&gt;Urassa, M.&lt;/author&gt;&lt;author&gt;Voeten, H. A. C. M.&lt;/author&gt;&lt;author&gt;Habbema, J. Dik F.&lt;/author&gt;&lt;/authors&gt;&lt;/contributors&gt;&lt;titles&gt;&lt;title&gt;The impact of mobility on HIV control: a modelling study&lt;/title&gt;&lt;secondary-title&gt;Epidemiology and Infection&lt;/secondary-title&gt;&lt;/titles&gt;&lt;periodical&gt;&lt;full-title&gt;Epidemiology and Infection&lt;/full-title&gt;&lt;/periodical&gt;&lt;pages&gt;1845-1853&lt;/pages&gt;&lt;volume&gt;139&lt;/volume&gt;&lt;number&gt;12&lt;/number&gt;&lt;dates&gt;&lt;year&gt;2011&lt;/year&gt;&lt;/dates&gt;&lt;urls&gt;&lt;/urls&gt;&lt;electronic-resource-num&gt;10.1017/S0950268811000069&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[5]</w:t>
            </w:r>
            <w:r w:rsidRPr="00305761">
              <w:rPr>
                <w:rFonts w:ascii="Times New Roman" w:hAnsi="Times New Roman"/>
                <w:sz w:val="16"/>
                <w:szCs w:val="16"/>
              </w:rPr>
              <w:fldChar w:fldCharType="end"/>
            </w:r>
          </w:p>
        </w:tc>
        <w:tc>
          <w:tcPr>
            <w:tcW w:w="1587" w:type="pct"/>
            <w:tcBorders>
              <w:top w:val="nil"/>
              <w:bottom w:val="nil"/>
            </w:tcBorders>
          </w:tcPr>
          <w:p w14:paraId="5FB44B84"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Extended a model called STDSIM for simulating the natural history and transmission of HIV and other STDs to also simulate mobility patterns in Tanzania. </w:t>
            </w:r>
          </w:p>
        </w:tc>
        <w:tc>
          <w:tcPr>
            <w:tcW w:w="2357" w:type="pct"/>
            <w:tcBorders>
              <w:top w:val="nil"/>
              <w:bottom w:val="nil"/>
              <w:right w:val="nil"/>
            </w:tcBorders>
          </w:tcPr>
          <w:p w14:paraId="22C1EFC8"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Although migrants represent a relatively small part of a population, the effectiveness of interventions (e.g. condom promotion or health education) in reducing HIV transmission could be substantially reduced if migrants are not reached. </w:t>
            </w:r>
          </w:p>
        </w:tc>
      </w:tr>
      <w:tr w:rsidR="007D5EAC" w:rsidRPr="007D5EAC" w14:paraId="50CC6A3A"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187BA565" w14:textId="74AC6875"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Anglewicz</w:t>
            </w:r>
            <w:proofErr w:type="spellEnd"/>
            <w:r w:rsidRPr="00305761">
              <w:rPr>
                <w:rFonts w:ascii="Times New Roman" w:hAnsi="Times New Roman"/>
                <w:b w:val="0"/>
                <w:sz w:val="16"/>
                <w:szCs w:val="16"/>
              </w:rPr>
              <w:t xml:space="preserve">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&lt;EndNote&gt;&lt;Cite&gt;&lt;Author&gt;Anglewicz&lt;/Author&gt;&lt;Year&gt;2012&lt;/Year&gt;&lt;RecNum&gt;12&lt;/RecNum&gt;&lt;DisplayText&gt;&lt;style face="superscript"&gt;[6]&lt;/style&gt;&lt;/DisplayText&gt;&lt;record&gt;&lt;rec-number&gt;12&lt;/rec-number&gt;&lt;foreign-keys&gt;&lt;key app="EN" db-id="ra9p005rtsdz2nept9ax5aahp9dxedxd5502" timestamp="1428186994"&gt;12&lt;/key&gt;&lt;/foreign-keys&gt;&lt;ref-type name="Journal Article"&gt;17&lt;/ref-type&gt;&lt;contributors&gt;&lt;authors&gt;&lt;author&gt;Anglewicz, P.&lt;/author&gt;&lt;/authors&gt;&lt;/contributors&gt;&lt;titles&gt;&lt;title&gt;Migration, Marital Change, and HIV Infection in Malawi&lt;/title&gt;&lt;secondary-title&gt;Demography&lt;/secondary-title&gt;&lt;/titles&gt;&lt;periodical&gt;&lt;full-title&gt;Demography&lt;/full-title&gt;&lt;/periodical&gt;&lt;pages&gt;239-265&lt;/pages&gt;&lt;volume&gt;49&lt;/volume&gt;&lt;number&gt;1&lt;/number&gt;&lt;section&gt;239&lt;/section&gt;&lt;dates&gt;&lt;year&gt;2012&lt;/year&gt;&lt;/dates&gt;&lt;urls&gt;&lt;/urls&gt;&lt;electronic-resource-num&gt;10.1007/s13524-011-0072-x&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[6]</w:t>
            </w:r>
            <w:r w:rsidRPr="00305761">
              <w:rPr>
                <w:rFonts w:ascii="Times New Roman" w:hAnsi="Times New Roman"/>
                <w:sz w:val="16"/>
                <w:szCs w:val="16"/>
              </w:rPr>
              <w:fldChar w:fldCharType="end"/>
            </w:r>
          </w:p>
        </w:tc>
        <w:tc>
          <w:tcPr>
            <w:tcW w:w="1587" w:type="pct"/>
            <w:tcBorders>
              <w:top w:val="nil"/>
              <w:bottom w:val="nil"/>
            </w:tcBorders>
          </w:tcPr>
          <w:p w14:paraId="5A84E01E"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study employs a longitudinal data from rural Malawi to assess the relationship between migration and HIV.</w:t>
            </w:r>
          </w:p>
        </w:tc>
        <w:tc>
          <w:tcPr>
            <w:tcW w:w="2357" w:type="pct"/>
            <w:tcBorders>
              <w:top w:val="nil"/>
              <w:bottom w:val="nil"/>
              <w:right w:val="nil"/>
            </w:tcBorders>
          </w:tcPr>
          <w:p w14:paraId="3696C33A"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While this study argues that migrants are more likely to be HIV positive, it also finds evidence that HIV positive individuals are more likely to migrate. Thus, HIV acquisition could precede rather than follow migration.</w:t>
            </w:r>
          </w:p>
        </w:tc>
      </w:tr>
      <w:tr w:rsidR="007D5EAC" w:rsidRPr="007D5EAC" w14:paraId="3BF25EE1"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4D140AF6" w14:textId="4E003F4A"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Goldenberg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&lt;EndNote&gt;&lt;Cite&gt;&lt;Author&gt;Goldenberg&lt;/Author&gt;&lt;Year&gt;2012&lt;/Year&gt;&lt;RecNum&gt;30&lt;/RecNum&gt;&lt;DisplayText&gt;&lt;style face="superscript"&gt;[7]&lt;/style&gt;&lt;/DisplayText&gt;&lt;record&gt;&lt;rec-number&gt;30&lt;/rec-number&gt;&lt;foreign-keys&gt;&lt;key app="EN" db-id="ra9p005rtsdz2nept9ax5aahp9dxedxd5502" timestamp="1428191026"&gt;30&lt;/key&gt;&lt;/foreign-keys&gt;&lt;ref-type name="Journal Article"&gt;17&lt;/ref-type&gt;&lt;contributors&gt;&lt;authors&gt;&lt;author&gt;Goldenberg, S. M.&lt;/author&gt;&lt;author&gt;Strathdee, S. A.&lt;/author&gt;&lt;author&gt;Perez-Rosales, M. D.&lt;/author&gt;&lt;author&gt;Sued, O.&lt;/author&gt;&lt;/authors&gt;&lt;/contributors&gt;&lt;titles&gt;&lt;title&gt;Mobility and HIV in Central America and Mexico: a critical review&lt;/title&gt;&lt;secondary-title&gt;Journal of Immigrant and Minority Health&lt;/secondary-title&gt;&lt;/titles&gt;&lt;periodical&gt;&lt;full-title&gt;Journal of Immigrant and Minority Health&lt;/full-title&gt;&lt;/periodical&gt;&lt;pages&gt;48-64&lt;/pages&gt;&lt;volume&gt;14&lt;/volume&gt;&lt;number&gt;1&lt;/number&gt;&lt;dates&gt;&lt;year&gt;2012&lt;/year&gt;&lt;/dates&gt;&lt;urls&gt;&lt;/urls&gt;&lt;custom2&gt;21789558&lt;/custom2&gt;&lt;electronic-resource-num&gt;10.1007/s10903-011-9505-2&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[7]</w:t>
            </w:r>
            <w:r w:rsidRPr="00305761">
              <w:rPr>
                <w:rFonts w:ascii="Times New Roman" w:hAnsi="Times New Roman"/>
                <w:sz w:val="16"/>
                <w:szCs w:val="16"/>
              </w:rPr>
              <w:fldChar w:fldCharType="end"/>
            </w:r>
          </w:p>
        </w:tc>
        <w:tc>
          <w:tcPr>
            <w:tcW w:w="1587" w:type="pct"/>
            <w:tcBorders>
              <w:top w:val="nil"/>
              <w:bottom w:val="nil"/>
            </w:tcBorders>
          </w:tcPr>
          <w:p w14:paraId="14F55BAF"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Review of 275 papers and 22 studies focusing on the link between migration and HIV in Central America and Mexico.</w:t>
            </w:r>
          </w:p>
        </w:tc>
        <w:tc>
          <w:tcPr>
            <w:tcW w:w="2357" w:type="pct"/>
            <w:tcBorders>
              <w:top w:val="nil"/>
              <w:bottom w:val="nil"/>
            </w:tcBorders>
          </w:tcPr>
          <w:p w14:paraId="23CAF3A9"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Migrants are more likely to engage in risky sexual behavior. In the same time, the likelihood of HIV acquisition can increase due to social isolation, gender inequalities, stigma and discrimination of migrants. </w:t>
            </w:r>
          </w:p>
        </w:tc>
      </w:tr>
      <w:tr w:rsidR="007D5EAC" w:rsidRPr="007D5EAC" w14:paraId="02799386"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5C2EB853" w14:textId="03B33A18"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Veary</w:t>
            </w:r>
            <w:proofErr w:type="spellEnd"/>
            <w:r w:rsidRPr="00305761">
              <w:rPr>
                <w:rFonts w:ascii="Times New Roman" w:hAnsi="Times New Roman"/>
                <w:b w:val="0"/>
                <w:sz w:val="16"/>
                <w:szCs w:val="16"/>
              </w:rPr>
              <w:t xml:space="preserve">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&lt;EndNote&gt;&lt;Cite&gt;&lt;Author&gt;Veary&lt;/Author&gt;&lt;Year&gt;2012&lt;/Year&gt;&lt;RecNum&gt;10&lt;/RecNum&gt;&lt;DisplayText&gt;&lt;style face="superscript"&gt;[8]&lt;/style&gt;&lt;/DisplayText&gt;&lt;record&gt;&lt;rec-number&gt;10&lt;/rec-number&gt;&lt;foreign-keys&gt;&lt;key app="EN" db-id="ra9p005rtsdz2nept9ax5aahp9dxedxd5502" timestamp="1428186622"&gt;10&lt;/key&gt;&lt;/foreign-keys&gt;&lt;ref-type name="Journal Article"&gt;17&lt;/ref-type&gt;&lt;contributors&gt;&lt;authors&gt;&lt;author&gt;Veary, J.&lt;/author&gt;&lt;/authors&gt;&lt;/contributors&gt;&lt;titles&gt;&lt;title&gt;Learning from HIV: Exploring migration and health in South Africa&lt;/title&gt;&lt;secondary-title&gt;Global Public Health&lt;/secondary-title&gt;&lt;/titles&gt;&lt;periodical&gt;&lt;full-title&gt;Global Public Health&lt;/full-title&gt;&lt;/periodical&gt;&lt;pages&gt;58-70&lt;/pages&gt;&lt;volume&gt;7&lt;/volume&gt;&lt;number&gt;1&lt;/number&gt;&lt;section&gt;58&lt;/section&gt;&lt;dates&gt;&lt;year&gt;2012&lt;/year&gt;&lt;/dates&gt;&lt;urls&gt;&lt;/urls&gt;&lt;electronic-resource-num&gt;10.1080/17441692.2010.549494&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[8]</w:t>
            </w:r>
            <w:r w:rsidRPr="00305761">
              <w:rPr>
                <w:rFonts w:ascii="Times New Roman" w:hAnsi="Times New Roman"/>
                <w:sz w:val="16"/>
                <w:szCs w:val="16"/>
              </w:rPr>
              <w:fldChar w:fldCharType="end"/>
            </w:r>
          </w:p>
        </w:tc>
        <w:tc>
          <w:tcPr>
            <w:tcW w:w="1587" w:type="pct"/>
            <w:tcBorders>
              <w:top w:val="nil"/>
              <w:bottom w:val="nil"/>
            </w:tcBorders>
          </w:tcPr>
          <w:p w14:paraId="07623926"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paper reviews empirical studies linking migration into urban areas and health.</w:t>
            </w:r>
          </w:p>
        </w:tc>
        <w:tc>
          <w:tcPr>
            <w:tcW w:w="2357" w:type="pct"/>
            <w:tcBorders>
              <w:top w:val="nil"/>
              <w:bottom w:val="nil"/>
            </w:tcBorders>
          </w:tcPr>
          <w:p w14:paraId="5E3716FB"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Individuals who migrate from rural to urban areas are more likely to be healthy. However, as migrants are unlikely to properly integrate in the health care system, they become sick and return to their natal rural areas for palliative care. The economic benefits of rural areas from migration to urban areas are often offset by the burden to care for migrants that are too sick to work and return home.</w:t>
            </w:r>
          </w:p>
        </w:tc>
      </w:tr>
      <w:tr w:rsidR="007D5EAC" w:rsidRPr="007D5EAC" w14:paraId="447AC61A"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0D1D2438" w14:textId="4E859203"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Weine</w:t>
            </w:r>
            <w:proofErr w:type="spellEnd"/>
            <w:r w:rsidRPr="00305761">
              <w:rPr>
                <w:rFonts w:ascii="Times New Roman" w:hAnsi="Times New Roman"/>
                <w:b w:val="0"/>
                <w:sz w:val="16"/>
                <w:szCs w:val="16"/>
              </w:rPr>
              <w:t xml:space="preserve"> and </w:t>
            </w:r>
            <w:proofErr w:type="spellStart"/>
            <w:r w:rsidRPr="00305761">
              <w:rPr>
                <w:rFonts w:ascii="Times New Roman" w:hAnsi="Times New Roman"/>
                <w:b w:val="0"/>
                <w:sz w:val="16"/>
                <w:szCs w:val="16"/>
              </w:rPr>
              <w:t>Kashuba</w:t>
            </w:r>
            <w:proofErr w:type="spellEnd"/>
            <w:r w:rsidRPr="00305761">
              <w:rPr>
                <w:rFonts w:ascii="Times New Roman" w:hAnsi="Times New Roman"/>
                <w:b w:val="0"/>
                <w:sz w:val="16"/>
                <w:szCs w:val="16"/>
              </w:rPr>
              <w:t xml:space="preserve">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&lt;EndNote&gt;&lt;Cite&gt;&lt;Author&gt;Weine&lt;/Author&gt;&lt;Year&gt;2012&lt;/Year&gt;&lt;RecNum&gt;11&lt;/RecNum&gt;&lt;DisplayText&gt;&lt;style face="superscript"&gt;[9]&lt;/style&gt;&lt;/DisplayText&gt;&lt;record&gt;&lt;rec-number&gt;11&lt;/rec-number&gt;&lt;foreign-keys&gt;&lt;key app="EN" db-id="ra9p005rtsdz2nept9ax5aahp9dxedxd5502" timestamp="1428186715"&gt;11&lt;/key&gt;&lt;/foreign-keys&gt;&lt;ref-type name="Journal Article"&gt;17&lt;/ref-type&gt;&lt;contributors&gt;&lt;authors&gt;&lt;author&gt;Weine, S. M.&lt;/author&gt;&lt;author&gt;Kashuba, A. B.&lt;/author&gt;&lt;/authors&gt;&lt;/contributors&gt;&lt;titles&gt;&lt;title&gt;Labor Migration and HIV Risk: A Systematic Review of the Literature&lt;/title&gt;&lt;secondary-title&gt;AIDS and Behavior&lt;/secondary-title&gt;&lt;/titles&gt;&lt;periodical&gt;&lt;full-title&gt;AIDS and Behavior&lt;/full-title&gt;&lt;/periodical&gt;&lt;pages&gt;1605–1621&lt;/pages&gt;&lt;volume&gt;16&lt;/volume&gt;&lt;dates&gt;&lt;year&gt;2012&lt;/year&gt;&lt;/dates&gt;&lt;urls&gt;&lt;/urls&gt;&lt;electronic-resource-num&gt;10.1007/s10461-012-0183-4&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[9]</w:t>
            </w:r>
            <w:r w:rsidRPr="00305761">
              <w:rPr>
                <w:rFonts w:ascii="Times New Roman" w:hAnsi="Times New Roman"/>
                <w:sz w:val="16"/>
                <w:szCs w:val="16"/>
              </w:rPr>
              <w:fldChar w:fldCharType="end"/>
            </w:r>
          </w:p>
        </w:tc>
        <w:tc>
          <w:tcPr>
            <w:tcW w:w="1587" w:type="pct"/>
            <w:tcBorders>
              <w:top w:val="nil"/>
              <w:bottom w:val="nil"/>
            </w:tcBorders>
          </w:tcPr>
          <w:p w14:paraId="32033617"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Review of 97 papers focusing on risk factors of HIV acquisition in labor migrants in Africa, the Americas, Europe, South East Asia and Western Pacific.</w:t>
            </w:r>
          </w:p>
        </w:tc>
        <w:tc>
          <w:tcPr>
            <w:tcW w:w="2357" w:type="pct"/>
            <w:tcBorders>
              <w:top w:val="nil"/>
              <w:bottom w:val="nil"/>
            </w:tcBorders>
          </w:tcPr>
          <w:p w14:paraId="403ECE3D"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The study reveals key determinants associated with HIV risk in the levels of policy (3), sociocultural (3), sexual practices (4), and health and mental health (5), together with the size of their effects.</w:t>
            </w:r>
          </w:p>
        </w:tc>
      </w:tr>
      <w:tr w:rsidR="007D5EAC" w:rsidRPr="007D5EAC" w14:paraId="64B52BA5"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350E9DA0" w14:textId="6F97B38E"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Cassels</w:t>
            </w:r>
            <w:proofErr w:type="spellEnd"/>
            <w:r w:rsidRPr="00305761">
              <w:rPr>
                <w:rFonts w:ascii="Times New Roman" w:hAnsi="Times New Roman"/>
                <w:b w:val="0"/>
                <w:sz w:val="16"/>
                <w:szCs w:val="16"/>
              </w:rPr>
              <w:t xml:space="preserve">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&lt;EndNote&gt;&lt;Cite&gt;&lt;Author&gt;Cassels&lt;/Author&gt;&lt;Year&gt;2013&lt;/Year&gt;&lt;RecNum&gt;6&lt;/RecNum&gt;&lt;DisplayText&gt;&lt;style face="superscript"&gt;[10]&lt;/style&gt;&lt;/DisplayText&gt;&lt;record&gt;&lt;rec-number&gt;6&lt;/rec-number&gt;&lt;foreign-keys&gt;&lt;key app="EN" db-id="ra9p005rtsdz2nept9ax5aahp9dxedxd5502" timestamp="1428185777"&gt;6&lt;/key&gt;&lt;/foreign-keys&gt;&lt;ref-type name="Journal Article"&gt;17&lt;/ref-type&gt;&lt;contributors&gt;&lt;authors&gt;&lt;author&gt;Cassels, S.&lt;/author&gt;&lt;author&gt;Manhart, L.&lt;/author&gt;&lt;author&gt;Jenness, S. M.&lt;/author&gt;&lt;author&gt;Morris, M.&lt;/author&gt;&lt;/authors&gt;&lt;/contributors&gt;&lt;titles&gt;&lt;title&gt;Short-term Mobility and Increased Partnership Concurrency among Men in Zimbabwe&lt;/title&gt;&lt;secondary-title&gt;PLoS ONE&lt;/secondary-title&gt;&lt;/titles&gt;&lt;periodical&gt;&lt;full-title&gt;PLoS ONE&lt;/full-title&gt;&lt;/periodical&gt;&lt;pages&gt;e66342&lt;/pages&gt;&lt;volume&gt;8&lt;/volume&gt;&lt;number&gt;6&lt;/number&gt;&lt;dates&gt;&lt;year&gt;2013&lt;/year&gt;&lt;pub-dates&gt;&lt;date&gt;06/18/2013&lt;/date&gt;&lt;/pub-dates&gt;&lt;/dates&gt;&lt;work-type&gt;Research&lt;/work-type&gt;&lt;urls&gt;&lt;/urls&gt;&lt;electronic-resource-num&gt;doi:10.1371/journal.pone.0066342&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[10]</w:t>
            </w:r>
            <w:r w:rsidRPr="00305761">
              <w:rPr>
                <w:rFonts w:ascii="Times New Roman" w:hAnsi="Times New Roman"/>
                <w:sz w:val="16"/>
                <w:szCs w:val="16"/>
              </w:rPr>
              <w:fldChar w:fldCharType="end"/>
            </w:r>
          </w:p>
        </w:tc>
        <w:tc>
          <w:tcPr>
            <w:tcW w:w="1587" w:type="pct"/>
            <w:tcBorders>
              <w:top w:val="nil"/>
              <w:bottom w:val="nil"/>
            </w:tcBorders>
          </w:tcPr>
          <w:p w14:paraId="0CC1D639"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paper investigates the relationship between short-term mobility and partnership concurrency among men using the 2010-11 Zimbabwe Demographic and Health Survey.</w:t>
            </w:r>
          </w:p>
        </w:tc>
        <w:tc>
          <w:tcPr>
            <w:tcW w:w="2357" w:type="pct"/>
            <w:tcBorders>
              <w:top w:val="nil"/>
              <w:bottom w:val="nil"/>
            </w:tcBorders>
          </w:tcPr>
          <w:p w14:paraId="03440D0C"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Men who traveled more had an increased likelihood to have concurrent relationships compared with men that did not travel. Thus short-term travel is an important risk factor in HIV transmission as it enables concurrent relationships.</w:t>
            </w:r>
          </w:p>
        </w:tc>
      </w:tr>
      <w:tr w:rsidR="007D5EAC" w:rsidRPr="007D5EAC" w14:paraId="07C2BAFA"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1558522E" w14:textId="2E60A72F"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Camlin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&lt;EndNote&gt;&lt;Cite&gt;&lt;Author&gt;Camlin&lt;/Author&gt;&lt;Year&gt;2014&lt;/Year&gt;&lt;RecNum&gt;32&lt;/RecNum&gt;&lt;DisplayText&gt;&lt;style face="superscript"&gt;[11]&lt;/style&gt;&lt;/DisplayText&gt;&lt;record&gt;&lt;rec-number&gt;32&lt;/rec-number&gt;&lt;foreign-keys&gt;&lt;key app="EN" db-id="ra9p005rtsdz2nept9ax5aahp9dxedxd5502" timestamp="1428253578"&gt;32&lt;/key&gt;&lt;/foreign-keys&gt;&lt;ref-type name="Journal Article"&gt;17&lt;/ref-type&gt;&lt;contributors&gt;&lt;authors&gt;&lt;author&gt;Camlin, C. S.&lt;/author&gt;&lt;author&gt;Kwena, Z. A.&lt;/author&gt;&lt;author&gt;Dworkin, S. L.&lt;/author&gt;&lt;author&gt;Cohen, C. R.&lt;/author&gt;&lt;author&gt;Bukusi, E. A.&lt;/author&gt;&lt;/authors&gt;&lt;/contributors&gt;&lt;titles&gt;&lt;title&gt;“She mixes her business”: HIV transmission and acquisition risks among female migrants in western Kenya&lt;/title&gt;&lt;secondary-title&gt;Social Science and Medicine&lt;/secondary-title&gt;&lt;/titles&gt;&lt;periodical&gt;&lt;full-title&gt;Social Science and Medicine&lt;/full-title&gt;&lt;/periodical&gt;&lt;pages&gt;146-156&lt;/pages&gt;&lt;volume&gt;102&lt;/volume&gt;&lt;dates&gt;&lt;year&gt;2014&lt;/year&gt;&lt;/dates&gt;&lt;urls&gt;&lt;/urls&gt;&lt;electronic-resource-num&gt;10.1016/j.socscimed.2013.11.004&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[11]</w:t>
            </w:r>
            <w:r w:rsidRPr="00305761">
              <w:rPr>
                <w:rFonts w:ascii="Times New Roman" w:hAnsi="Times New Roman"/>
                <w:sz w:val="16"/>
                <w:szCs w:val="16"/>
              </w:rPr>
              <w:fldChar w:fldCharType="end"/>
            </w:r>
          </w:p>
        </w:tc>
        <w:tc>
          <w:tcPr>
            <w:tcW w:w="1587" w:type="pct"/>
            <w:tcBorders>
              <w:top w:val="nil"/>
              <w:bottom w:val="nil"/>
            </w:tcBorders>
          </w:tcPr>
          <w:p w14:paraId="78557524"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paper presents the underlying social contexts and processes that enable HIV transmission and acquisition among female migrants in Kisumu, Kenya.</w:t>
            </w:r>
          </w:p>
        </w:tc>
        <w:tc>
          <w:tcPr>
            <w:tcW w:w="2357" w:type="pct"/>
            <w:tcBorders>
              <w:top w:val="nil"/>
              <w:bottom w:val="nil"/>
            </w:tcBorders>
          </w:tcPr>
          <w:p w14:paraId="017BDC65"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Women often migrate due to changes in marital status and abusive relationships. After reaching their destinations, women face significant pressure to take multiple sexual partners, and possibly engage in transactional sex. As such, migrant women have a high risk of HIV transmission and acquisition both at origin and at the destination of their travel. </w:t>
            </w:r>
          </w:p>
        </w:tc>
      </w:tr>
      <w:tr w:rsidR="007D5EAC" w:rsidRPr="007D5EAC" w14:paraId="583D4B88"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548BC9B5" w14:textId="57C0EDF5"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Camlin, Snow and </w:t>
            </w:r>
            <w:proofErr w:type="spellStart"/>
            <w:r w:rsidRPr="00305761">
              <w:rPr>
                <w:rFonts w:ascii="Times New Roman" w:hAnsi="Times New Roman"/>
                <w:b w:val="0"/>
                <w:sz w:val="16"/>
                <w:szCs w:val="16"/>
              </w:rPr>
              <w:t>Hosegood</w:t>
            </w:r>
            <w:proofErr w:type="spellEnd"/>
            <w:r w:rsidRPr="00305761">
              <w:rPr>
                <w:rFonts w:ascii="Times New Roman" w:hAnsi="Times New Roman"/>
                <w:b w:val="0"/>
                <w:sz w:val="16"/>
                <w:szCs w:val="16"/>
              </w:rPr>
              <w:t xml:space="preserve">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&lt;EndNote&gt;&lt;Cite&gt;&lt;Author&gt;Camlin&lt;/Author&gt;&lt;Year&gt;2014&lt;/Year&gt;&lt;RecNum&gt;9&lt;/RecNum&gt;&lt;DisplayText&gt;&lt;style face="superscript"&gt;[12]&lt;/style&gt;&lt;/DisplayText&gt;&lt;record&gt;&lt;rec-number&gt;9&lt;/rec-number&gt;&lt;foreign-keys&gt;&lt;key app="EN" db-id="ra9p005rtsdz2nept9ax5aahp9dxedxd5502" timestamp="1428186407"&gt;9&lt;/key&gt;&lt;/foreign-keys&gt;&lt;ref-type name="Journal Article"&gt;17&lt;/ref-type&gt;&lt;contributors&gt;&lt;authors&gt;&lt;author&gt;Camlin, C. S.&lt;/author&gt;&lt;author&gt;Snow, R. C.&lt;/author&gt;&lt;author&gt;Hosegood, V.&lt;/author&gt;&lt;/authors&gt;&lt;/contributors&gt;&lt;auth-address&gt;Department of Obstetrics/Gynecology &amp;amp; Reproductive Sciences, and Center for AIDS Prevention Studies, University of California at San Francisco.&amp;#xD;Department of Health Behavior and Health Education, University of Michigan School of Public Health.&amp;#xD;Faculty of Human and Social Sciences, University of Southampton ; Africa Centre for Health and Population Studies, University of KwaZulu-Natal.&lt;/auth-address&gt;&lt;titles&gt;&lt;title&gt;Gendered Patterns of Migration in Rural South Africa&lt;/title&gt;&lt;secondary-title&gt;Population, Space and Place&lt;/secondary-title&gt;&lt;/titles&gt;&lt;periodical&gt;&lt;full-title&gt;Population, Space and Place&lt;/full-title&gt;&lt;/periodical&gt;&lt;pages&gt;528-551&lt;/pages&gt;&lt;volume&gt;20&lt;/volume&gt;&lt;number&gt;6&lt;/number&gt;&lt;section&gt;528&lt;/section&gt;&lt;keywords&gt;&lt;keyword&gt;Gender&lt;/keyword&gt;&lt;keyword&gt;South Africa&lt;/keyword&gt;&lt;keyword&gt;migration&lt;/keyword&gt;&lt;keyword&gt;mobility&lt;/keyword&gt;&lt;/keywords&gt;&lt;dates&gt;&lt;year&gt;2014&lt;/year&gt;&lt;pub-dates&gt;&lt;date&gt;Aug 1&lt;/date&gt;&lt;/pub-dates&gt;&lt;/dates&gt;&lt;isbn&gt;1544-8444 (Print)&amp;#xD;1544-8444 (Linking)&lt;/isbn&gt;&lt;accession-num&gt;25332690&lt;/accession-num&gt;&lt;urls&gt;&lt;related-urls&gt;&lt;url&gt;http://www.ncbi.nlm.nih.gov/pubmed/25332690&lt;/url&gt;&lt;/related-urls&gt;&lt;/urls&gt;&lt;custom2&gt;4201383&lt;/custom2&gt;&lt;electronic-resource-num&gt;10.1002/psp.1794&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[12]</w:t>
            </w:r>
            <w:r w:rsidRPr="00305761">
              <w:rPr>
                <w:rFonts w:ascii="Times New Roman" w:hAnsi="Times New Roman"/>
                <w:sz w:val="16"/>
                <w:szCs w:val="16"/>
              </w:rPr>
              <w:fldChar w:fldCharType="end"/>
            </w:r>
          </w:p>
        </w:tc>
        <w:tc>
          <w:tcPr>
            <w:tcW w:w="1587" w:type="pct"/>
            <w:tcBorders>
              <w:top w:val="nil"/>
              <w:bottom w:val="nil"/>
            </w:tcBorders>
          </w:tcPr>
          <w:p w14:paraId="11C615A3"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Examines differential patterns of migration among men and women in rural South Africa (KwaZulu-Natal).</w:t>
            </w:r>
          </w:p>
        </w:tc>
        <w:tc>
          <w:tcPr>
            <w:tcW w:w="2357" w:type="pct"/>
            <w:tcBorders>
              <w:top w:val="nil"/>
              <w:bottom w:val="nil"/>
            </w:tcBorders>
          </w:tcPr>
          <w:p w14:paraId="7738C728"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Both men and women out-migrated to seek work. Women tend to in-migrate, while men tend to out-migrate. Migration rates in women are slightly higher than men’s. </w:t>
            </w:r>
          </w:p>
        </w:tc>
      </w:tr>
      <w:tr w:rsidR="007D5EAC" w:rsidRPr="007D5EAC" w14:paraId="2AE8A63E"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42877FF1" w14:textId="5CA9ED39"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Cassels</w:t>
            </w:r>
            <w:proofErr w:type="spellEnd"/>
            <w:r w:rsidRPr="00305761">
              <w:rPr>
                <w:rFonts w:ascii="Times New Roman" w:hAnsi="Times New Roman"/>
                <w:b w:val="0"/>
                <w:sz w:val="16"/>
                <w:szCs w:val="16"/>
              </w:rPr>
              <w:t xml:space="preserve">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&lt;EndNote&gt;&lt;Cite&gt;&lt;Author&gt;Cassels&lt;/Author&gt;&lt;Year&gt;2014&lt;/Year&gt;&lt;RecNum&gt;1&lt;/RecNum&gt;&lt;DisplayText&gt;&lt;style face="superscript"&gt;[13]&lt;/style&gt;&lt;/DisplayText&gt;&lt;record&gt;&lt;rec-number&gt;1&lt;/rec-number&gt;&lt;foreign-keys&gt;&lt;key app="EN" db-id="ra9p005rtsdz2nept9ax5aahp9dxedxd5502" timestamp="1428182934"&gt;1&lt;/key&gt;&lt;key app="ENWeb" db-id=""&gt;0&lt;/key&gt;&lt;/foreign-keys&gt;&lt;ref-type name="Journal Article"&gt;17&lt;/ref-type&gt;&lt;contributors&gt;&lt;authors&gt;&lt;author&gt;Cassels, S.&lt;/author&gt;&lt;author&gt;Jenness, S. M.&lt;/author&gt;&lt;author&gt;Biney, A. A. E.&lt;/author&gt;&lt;author&gt;Ampofo, W. K.&lt;/author&gt;&lt;author&gt;Dodoo, F. N.-A.&lt;/author&gt;&lt;/authors&gt;&lt;/contributors&gt;&lt;titles&gt;&lt;title&gt;Migration, sexual networks, and HIV in Agbogbloshie, Ghana&lt;/title&gt;&lt;secondary-title&gt;Demographic Research&lt;/secondary-title&gt;&lt;/titles&gt;&lt;periodical&gt;&lt;full-title&gt;Demographic Research&lt;/full-title&gt;&lt;/periodical&gt;&lt;pages&gt;861 - 888&lt;/pages&gt;&lt;volume&gt;31&lt;/volume&gt;&lt;section&gt;861&lt;/section&gt;&lt;dates&gt;&lt;year&gt;2014&lt;/year&gt;&lt;pub-dates&gt;&lt;date&gt;10/10/2014&lt;/date&gt;&lt;/pub-dates&gt;&lt;/dates&gt;&lt;work-type&gt;Research&lt;/work-type&gt;&lt;reviewed-item&gt;Yes&lt;/reviewed-item&gt;&lt;urls&gt;&lt;/urls&gt;&lt;custom2&gt;PMC4214381&lt;/custom2&gt;&lt;custom6&gt;NIHMS636781&lt;/custom6&gt;&lt;electronic-resource-num&gt;10.4054/DemRes.2014.31.28&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[13]</w:t>
            </w:r>
            <w:r w:rsidRPr="00305761">
              <w:rPr>
                <w:rFonts w:ascii="Times New Roman" w:hAnsi="Times New Roman"/>
                <w:sz w:val="16"/>
                <w:szCs w:val="16"/>
              </w:rPr>
              <w:fldChar w:fldCharType="end"/>
            </w:r>
          </w:p>
        </w:tc>
        <w:tc>
          <w:tcPr>
            <w:tcW w:w="1587" w:type="pct"/>
            <w:tcBorders>
              <w:top w:val="nil"/>
              <w:bottom w:val="nil"/>
            </w:tcBorders>
          </w:tcPr>
          <w:p w14:paraId="63440ABA"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One-year retrospective study in </w:t>
            </w:r>
            <w:proofErr w:type="spellStart"/>
            <w:r w:rsidRPr="00305761">
              <w:rPr>
                <w:rFonts w:ascii="Times New Roman" w:hAnsi="Times New Roman"/>
                <w:sz w:val="16"/>
                <w:szCs w:val="16"/>
              </w:rPr>
              <w:t>Agbogbloshie</w:t>
            </w:r>
            <w:proofErr w:type="spellEnd"/>
            <w:r w:rsidRPr="00305761">
              <w:rPr>
                <w:rFonts w:ascii="Times New Roman" w:hAnsi="Times New Roman"/>
                <w:sz w:val="16"/>
                <w:szCs w:val="16"/>
              </w:rPr>
              <w:t>, Ghana that collected retrospective data on sexual partners, migration, short-term mobility and HIV infection.</w:t>
            </w:r>
          </w:p>
        </w:tc>
        <w:tc>
          <w:tcPr>
            <w:tcW w:w="2357" w:type="pct"/>
            <w:tcBorders>
              <w:top w:val="nil"/>
              <w:bottom w:val="nil"/>
            </w:tcBorders>
          </w:tcPr>
          <w:p w14:paraId="445C7B07"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High levels of short-term mobility were recorded: residents averaged 7.3 overnight trips in the last year, while 37% of men and 9% of women had multiple sexual partners in the last year. </w:t>
            </w:r>
          </w:p>
        </w:tc>
      </w:tr>
      <w:tr w:rsidR="007D5EAC" w:rsidRPr="007D5EAC" w14:paraId="1CEDFBBB"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3A3E652D" w14:textId="0F6B885E"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Cassels</w:t>
            </w:r>
            <w:proofErr w:type="spellEnd"/>
            <w:r w:rsidRPr="00305761">
              <w:rPr>
                <w:rFonts w:ascii="Times New Roman" w:hAnsi="Times New Roman"/>
                <w:b w:val="0"/>
                <w:sz w:val="16"/>
                <w:szCs w:val="16"/>
              </w:rPr>
              <w:t xml:space="preserve">, </w:t>
            </w:r>
            <w:proofErr w:type="spellStart"/>
            <w:r w:rsidRPr="00305761">
              <w:rPr>
                <w:rFonts w:ascii="Times New Roman" w:hAnsi="Times New Roman"/>
                <w:b w:val="0"/>
                <w:sz w:val="16"/>
                <w:szCs w:val="16"/>
              </w:rPr>
              <w:t>Jenness</w:t>
            </w:r>
            <w:proofErr w:type="spellEnd"/>
            <w:r w:rsidRPr="00305761">
              <w:rPr>
                <w:rFonts w:ascii="Times New Roman" w:hAnsi="Times New Roman"/>
                <w:b w:val="0"/>
                <w:sz w:val="16"/>
                <w:szCs w:val="16"/>
              </w:rPr>
              <w:t xml:space="preserve"> and Khanna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&lt;EndNote&gt;&lt;Cite&gt;&lt;Author&gt;Cassels&lt;/Author&gt;&lt;Year&gt;2014&lt;/Year&gt;&lt;RecNum&gt;4&lt;/RecNum&gt;&lt;DisplayText&gt;&lt;style face="superscript"&gt;[14]&lt;/style&gt;&lt;/DisplayText&gt;&lt;record&gt;&lt;rec-number&gt;4&lt;/rec-number&gt;&lt;foreign-keys&gt;&lt;key app="EN" db-id="ra9p005rtsdz2nept9ax5aahp9dxedxd5502" timestamp="1428185001"&gt;4&lt;/key&gt;&lt;/foreign-keys&gt;&lt;ref-type name="Journal Article"&gt;17&lt;/ref-type&gt;&lt;contributors&gt;&lt;authors&gt;&lt;author&gt;Cassels, S.&lt;/author&gt;&lt;author&gt;Jenness, S. M.&lt;/author&gt;&lt;author&gt;Khanna, A. S.&lt;/author&gt;&lt;/authors&gt;&lt;/contributors&gt;&lt;auth-address&gt;Department of Epidemiology, University of Washington, 325 9th Avenue, Box 359931, Seattle, WA, 98104, USA, scassels@uw.edu.&lt;/auth-address&gt;&lt;titles&gt;&lt;title&gt;Conceptual Framework and Research Methods for Migration and HIV Transmission Dynamics&lt;/title&gt;&lt;secondary-title&gt;AIDS and Behavior&lt;/secondary-title&gt;&lt;/titles&gt;&lt;periodical&gt;&lt;full-title&gt;AIDS and Behavior&lt;/full-title&gt;&lt;/periodical&gt;&lt;pages&gt;2302–2313&lt;/pages&gt;&lt;volume&gt;18&lt;/volume&gt;&lt;number&gt;12&lt;/number&gt;&lt;section&gt;2302&lt;/section&gt;&lt;dates&gt;&lt;year&gt;2014&lt;/year&gt;&lt;pub-dates&gt;&lt;date&gt;Dec&lt;/date&gt;&lt;/pub-dates&gt;&lt;/dates&gt;&lt;isbn&gt;1573-3254 (Electronic)&amp;#xD;1090-7165 (Linking)&lt;/isbn&gt;&lt;accession-num&gt;24257897&lt;/accession-num&gt;&lt;work-type&gt;Research&lt;/work-type&gt;&lt;urls&gt;&lt;related-urls&gt;&lt;url&gt;http://www.ncbi.nlm.nih.gov/pubmed/24257897&lt;/url&gt;&lt;/related-urls&gt;&lt;/urls&gt;&lt;custom2&gt;4029933&lt;/custom2&gt;&lt;electronic-resource-num&gt;10.1007/s10461-013-0665-z&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[14]</w:t>
            </w:r>
            <w:r w:rsidRPr="00305761">
              <w:rPr>
                <w:rFonts w:ascii="Times New Roman" w:hAnsi="Times New Roman"/>
                <w:sz w:val="16"/>
                <w:szCs w:val="16"/>
              </w:rPr>
              <w:fldChar w:fldCharType="end"/>
            </w:r>
          </w:p>
        </w:tc>
        <w:tc>
          <w:tcPr>
            <w:tcW w:w="1587" w:type="pct"/>
            <w:tcBorders>
              <w:top w:val="nil"/>
              <w:bottom w:val="nil"/>
            </w:tcBorders>
          </w:tcPr>
          <w:p w14:paraId="06BC4239"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This paper introduces a conceptual framework for representing the effects of mobility as a driver for risky sexual </w:t>
            </w:r>
            <w:r w:rsidRPr="00305761">
              <w:rPr>
                <w:rFonts w:ascii="Times New Roman" w:hAnsi="Times New Roman"/>
                <w:sz w:val="16"/>
                <w:szCs w:val="16"/>
              </w:rPr>
              <w:lastRenderedPageBreak/>
              <w:t>behavior, for enabling spatiotemporal links between sub-epidemics, and for characterizing the displacement effect of sending/receiving communities.</w:t>
            </w:r>
          </w:p>
        </w:tc>
        <w:tc>
          <w:tcPr>
            <w:tcW w:w="2357" w:type="pct"/>
            <w:tcBorders>
              <w:top w:val="nil"/>
              <w:bottom w:val="nil"/>
            </w:tcBorders>
          </w:tcPr>
          <w:p w14:paraId="7F453422"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lastRenderedPageBreak/>
              <w:t>Treatment as prevention has shifted the focus of migration patterns with respect to HIV: migrants must be the target of prevention efforts to improve linkage to care and ART adherence.</w:t>
            </w:r>
          </w:p>
        </w:tc>
      </w:tr>
      <w:tr w:rsidR="007D5EAC" w:rsidRPr="007D5EAC" w14:paraId="5F191F4F"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70DF06AD" w14:textId="346D5F3E"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Kenyon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&lt;EndNote&gt;&lt;Cite&gt;&lt;Author&gt;Kenyon&lt;/Author&gt;&lt;Year&gt;2014&lt;/Year&gt;&lt;RecNum&gt;2&lt;/RecNum&gt;&lt;DisplayText&gt;&lt;style face="superscript"&gt;[15]&lt;/style&gt;&lt;/DisplayText&gt;&lt;record&gt;&lt;rec-number&gt;2&lt;/rec-number&gt;&lt;foreign-keys&gt;&lt;key app="EN" db-id="ra9p005rtsdz2nept9ax5aahp9dxedxd5502" timestamp="1428184007"&gt;2&lt;/key&gt;&lt;/foreign-keys&gt;&lt;ref-type name="Journal Article"&gt;17&lt;/ref-type&gt;&lt;contributors&gt;&lt;authors&gt;&lt;author&gt;Kenyon, C.&lt;/author&gt;&lt;author&gt;Colebunders, R.&lt;/author&gt;&lt;author&gt;Voeten, H.&lt;/author&gt;&lt;author&gt;Lurie, M.&lt;/author&gt;&lt;/authors&gt;&lt;/contributors&gt;&lt;titles&gt;&lt;title&gt;Migration intensity has no effect on peak HIV prevalence: an ecological study&lt;/title&gt;&lt;secondary-title&gt;BMC Infectious Diseases&lt;/secondary-title&gt;&lt;/titles&gt;&lt;periodical&gt;&lt;full-title&gt;BMC Infectious Diseases&lt;/full-title&gt;&lt;/periodical&gt;&lt;pages&gt;350&lt;/pages&gt;&lt;volume&gt;14&lt;/volume&gt;&lt;section&gt;350&lt;/section&gt;&lt;dates&gt;&lt;year&gt;2014&lt;/year&gt;&lt;pub-dates&gt;&lt;date&gt;06/24/2014&lt;/date&gt;&lt;/pub-dates&gt;&lt;/dates&gt;&lt;work-type&gt;Research&lt;/work-type&gt;&lt;urls&gt;&lt;/urls&gt;&lt;electronic-resource-num&gt;doi:10.1186/1471-2334-14-350&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[15]</w:t>
            </w:r>
            <w:r w:rsidRPr="00305761">
              <w:rPr>
                <w:rFonts w:ascii="Times New Roman" w:hAnsi="Times New Roman"/>
                <w:sz w:val="16"/>
                <w:szCs w:val="16"/>
              </w:rPr>
              <w:fldChar w:fldCharType="end"/>
            </w:r>
          </w:p>
        </w:tc>
        <w:tc>
          <w:tcPr>
            <w:tcW w:w="1587" w:type="pct"/>
            <w:tcBorders>
              <w:top w:val="nil"/>
              <w:bottom w:val="nil"/>
            </w:tcBorders>
          </w:tcPr>
          <w:p w14:paraId="37102192"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Using ecological level data from 141 countries, this study investigates the association between migration intensity and peak national HIV prevalence.</w:t>
            </w:r>
          </w:p>
        </w:tc>
        <w:tc>
          <w:tcPr>
            <w:tcW w:w="2357" w:type="pct"/>
            <w:tcBorders>
              <w:top w:val="nil"/>
              <w:bottom w:val="nil"/>
            </w:tcBorders>
          </w:tcPr>
          <w:p w14:paraId="00E4A84C"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When evaluated at the population level, there does not seem to exist any significant relationship between migration and HIV prevalence.</w:t>
            </w:r>
          </w:p>
        </w:tc>
      </w:tr>
      <w:tr w:rsidR="007D5EAC" w:rsidRPr="007D5EAC" w14:paraId="59105909"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61D30047" w14:textId="1FDF970D"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Lurie and Williams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&lt;EndNote&gt;&lt;Cite&gt;&lt;Author&gt;Lurie&lt;/Author&gt;&lt;Year&gt;2014&lt;/Year&gt;&lt;RecNum&gt;3&lt;/RecNum&gt;&lt;DisplayText&gt;&lt;style face="superscript"&gt;[16]&lt;/style&gt;&lt;/DisplayText&gt;&lt;record&gt;&lt;rec-number&gt;3&lt;/rec-number&gt;&lt;foreign-keys&gt;&lt;key app="EN" db-id="ra9p005rtsdz2nept9ax5aahp9dxedxd5502" timestamp="1428184224"&gt;3&lt;/key&gt;&lt;/foreign-keys&gt;&lt;ref-type name="Journal Article"&gt;17&lt;/ref-type&gt;&lt;contributors&gt;&lt;authors&gt;&lt;author&gt;Lurie, M. N.&lt;/author&gt;&lt;author&gt;Williams, B. G.&lt;/author&gt;&lt;/authors&gt;&lt;/contributors&gt;&lt;titles&gt;&lt;title&gt;Migration and health in Southern Africa: 100 years and still circulating&lt;/title&gt;&lt;secondary-title&gt;Health Psychology and Behavioral Medicine: An Open Access Journal&lt;/secondary-title&gt;&lt;/titles&gt;&lt;periodical&gt;&lt;full-title&gt;Health Psychology and Behavioral Medicine: An Open Access Journal&lt;/full-title&gt;&lt;/periodical&gt;&lt;pages&gt;34-40&lt;/pages&gt;&lt;volume&gt;2&lt;/volume&gt;&lt;number&gt;1&lt;/number&gt;&lt;section&gt;34&lt;/section&gt;&lt;dates&gt;&lt;year&gt;2014&lt;/year&gt;&lt;pub-dates&gt;&lt;date&gt;01/02/2014&lt;/date&gt;&lt;/pub-dates&gt;&lt;/dates&gt;&lt;urls&gt;&lt;/urls&gt;&lt;electronic-resource-num&gt;10.1080/21642850.2013.866898&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[16]</w:t>
            </w:r>
            <w:r w:rsidRPr="00305761">
              <w:rPr>
                <w:rFonts w:ascii="Times New Roman" w:hAnsi="Times New Roman"/>
                <w:sz w:val="16"/>
                <w:szCs w:val="16"/>
              </w:rPr>
              <w:fldChar w:fldCharType="end"/>
            </w:r>
          </w:p>
        </w:tc>
        <w:tc>
          <w:tcPr>
            <w:tcW w:w="1587" w:type="pct"/>
            <w:tcBorders>
              <w:top w:val="nil"/>
              <w:bottom w:val="nil"/>
            </w:tcBorders>
          </w:tcPr>
          <w:p w14:paraId="76BE7C48"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paper discusses the role of migration in the transmission and dissemination of tuberculosis and HIV in South African rural areas.</w:t>
            </w:r>
          </w:p>
        </w:tc>
        <w:tc>
          <w:tcPr>
            <w:tcW w:w="2357" w:type="pct"/>
            <w:tcBorders>
              <w:top w:val="nil"/>
              <w:bottom w:val="nil"/>
            </w:tcBorders>
          </w:tcPr>
          <w:p w14:paraId="04B2C3DB"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Young men who migrated to seek work and subsequently returned to their origin rural areas acted as key drivers of two major epidemics nearly 100 years apart. The authors discuss the emerging role of disease-induced migration vs. migration-induced diseases. The former is crucial for continued access to treatment and care.</w:t>
            </w:r>
          </w:p>
        </w:tc>
      </w:tr>
      <w:tr w:rsidR="007D5EAC" w:rsidRPr="007D5EAC" w14:paraId="40356A49"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63349C1D" w14:textId="3098787D"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Rai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&lt;EndNote&gt;&lt;Cite&gt;&lt;Author&gt;Rai&lt;/Author&gt;&lt;Year&gt;2014&lt;/Year&gt;&lt;RecNum&gt;14&lt;/RecNum&gt;&lt;DisplayText&gt;&lt;style face="superscript"&gt;[17]&lt;/style&gt;&lt;/DisplayText&gt;&lt;record&gt;&lt;rec-number&gt;14&lt;/rec-number&gt;&lt;foreign-keys&gt;&lt;key app="EN" db-id="ra9p005rtsdz2nept9ax5aahp9dxedxd5502" timestamp="1428187514"&gt;14&lt;/key&gt;&lt;/foreign-keys&gt;&lt;ref-type name="Journal Article"&gt;17&lt;/ref-type&gt;&lt;contributors&gt;&lt;authors&gt;&lt;author&gt;Rai, T.&lt;/author&gt;&lt;author&gt;Lambert, H. S.&lt;/author&gt;&lt;author&gt;Borquez, A. B.&lt;/author&gt;&lt;author&gt;Saggurti, N.&lt;/author&gt;&lt;author&gt;Mahapatra, B.&lt;/author&gt;&lt;author&gt;Ward, H.&lt;/author&gt;&lt;/authors&gt;&lt;/contributors&gt;&lt;titles&gt;&lt;title&gt;Circular Labor Migration and HIV in India: Exploring Heterogeneity in Bridge Populations Connecting Areas of High and Low HIV Infection Prevalence&lt;/title&gt;&lt;secondary-title&gt;Journal of Infectious Diseases&lt;/secondary-title&gt;&lt;/titles&gt;&lt;periodical&gt;&lt;full-title&gt;Journal of Infectious Diseases&lt;/full-title&gt;&lt;/periodical&gt;&lt;pages&gt;S556-S561&lt;/pages&gt;&lt;volume&gt;210&lt;/volume&gt;&lt;number&gt;Suppl 2&lt;/number&gt;&lt;dates&gt;&lt;year&gt;2014&lt;/year&gt;&lt;/dates&gt;&lt;urls&gt;&lt;/urls&gt;&lt;electronic-resource-num&gt;doi: 10.1093/infdis/jiu432&lt;/electronic-resource-num&gt;&lt;/record&gt;&lt;/Cite&gt;&lt;/EndNote&gt;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[17]</w:t>
            </w:r>
            <w:r w:rsidRPr="00305761">
              <w:rPr>
                <w:rFonts w:ascii="Times New Roman" w:hAnsi="Times New Roman"/>
                <w:sz w:val="16"/>
                <w:szCs w:val="16"/>
              </w:rPr>
              <w:fldChar w:fldCharType="end"/>
            </w:r>
          </w:p>
        </w:tc>
        <w:tc>
          <w:tcPr>
            <w:tcW w:w="1587" w:type="pct"/>
            <w:tcBorders>
              <w:top w:val="nil"/>
              <w:bottom w:val="nil"/>
            </w:tcBorders>
          </w:tcPr>
          <w:p w14:paraId="7455E950"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This is a behavioral study of 639 male circular migrants from </w:t>
            </w:r>
            <w:proofErr w:type="spellStart"/>
            <w:r w:rsidRPr="00305761">
              <w:rPr>
                <w:rFonts w:ascii="Times New Roman" w:hAnsi="Times New Roman"/>
                <w:sz w:val="16"/>
                <w:szCs w:val="16"/>
              </w:rPr>
              <w:t>Azamgarh</w:t>
            </w:r>
            <w:proofErr w:type="spellEnd"/>
            <w:r w:rsidRPr="00305761">
              <w:rPr>
                <w:rFonts w:ascii="Times New Roman" w:hAnsi="Times New Roman"/>
                <w:sz w:val="16"/>
                <w:szCs w:val="16"/>
              </w:rPr>
              <w:t xml:space="preserve"> district, India focusing on the role of circular migrants as a bridge population between areas with high and low HIV prevalence.</w:t>
            </w:r>
          </w:p>
        </w:tc>
        <w:tc>
          <w:tcPr>
            <w:tcW w:w="2357" w:type="pct"/>
            <w:tcBorders>
              <w:top w:val="nil"/>
              <w:bottom w:val="nil"/>
            </w:tcBorders>
          </w:tcPr>
          <w:p w14:paraId="1EE487AB"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Groups of circular migrants vary in size and sexual behavior across locations and time. As a result of their behavioral heterogeneity, only 1 in 5 circular migrants seem to connect sexual transmission networks from geographically separated high and low HIV prevalence areas.</w:t>
            </w:r>
          </w:p>
        </w:tc>
      </w:tr>
      <w:tr w:rsidR="007D5EAC" w:rsidRPr="007D5EAC" w14:paraId="0699562D"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5C3B5114" w14:textId="70E87280"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McGrath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&lt;EndNote&gt;&lt;Cite&gt;&lt;Author&gt;McGrath&lt;/Author&gt;&lt;Year&gt;2015&lt;/Year&gt;&lt;RecNum&gt;52&lt;/RecNum&gt;&lt;DisplayText&gt;&lt;style face="superscript"&gt;[18]&lt;/style&gt;&lt;/DisplayText&gt;&lt;record&gt;&lt;rec-number&gt;52&lt;/rec-number&gt;&lt;foreign-keys&gt;&lt;key app="EN" db-id="ra9p005rtsdz2nept9ax5aahp9dxedxd5502" timestamp="1431361864"&gt;52&lt;/key&gt;&lt;/foreign-keys&gt;&lt;ref-type name="Journal Article"&gt;17&lt;/ref-type&gt;&lt;contributors&gt;&lt;authors&gt;&lt;author&gt;McGrath, N.&lt;/author&gt;&lt;author&gt;Eaton, J. W.&lt;/author&gt;&lt;author&gt;Newell, Marie-Louise&lt;/author&gt;&lt;author&gt;Hosegood, V.&lt;/author&gt;&lt;/authors&gt;&lt;/contributors&gt;&lt;titles&gt;&lt;title&gt;Migration, sexual behaviour, and HIV risk: a general population cohort in rural South Africa&lt;/title&gt;&lt;secondary-title&gt;The Lancet HIV&lt;/secondary-title&gt;&lt;/titles&gt;&lt;periodical&gt;&lt;full-title&gt;The Lancet HIV&lt;/full-title&gt;&lt;/periodical&gt;&lt;pages&gt;e252 - e259&lt;/pages&gt;&lt;volume&gt;2&lt;/volume&gt;&lt;number&gt;6&lt;/number&gt;&lt;dates&gt;&lt;year&gt;2015&lt;/year&gt;&lt;/dates&gt;&lt;urls&gt;&lt;/urls&gt;&lt;electronic-resource-num&gt;http://dx.doi.org/10.1016/S2352-3018(15)00045-4&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[18]</w:t>
            </w:r>
            <w:r w:rsidRPr="00305761">
              <w:rPr>
                <w:rFonts w:ascii="Times New Roman" w:hAnsi="Times New Roman"/>
                <w:sz w:val="16"/>
                <w:szCs w:val="16"/>
              </w:rPr>
              <w:fldChar w:fldCharType="end"/>
            </w:r>
          </w:p>
        </w:tc>
        <w:tc>
          <w:tcPr>
            <w:tcW w:w="1587" w:type="pct"/>
            <w:tcBorders>
              <w:top w:val="nil"/>
              <w:bottom w:val="nil"/>
            </w:tcBorders>
          </w:tcPr>
          <w:p w14:paraId="6AA24EF2"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is a longitudinal behavioral study in rural South Africa (KwaZulu-Natal) focusing on the associations between sexual behavior, migration and HIV.</w:t>
            </w:r>
          </w:p>
        </w:tc>
        <w:tc>
          <w:tcPr>
            <w:tcW w:w="2357" w:type="pct"/>
            <w:tcBorders>
              <w:top w:val="nil"/>
              <w:bottom w:val="nil"/>
            </w:tcBorders>
          </w:tcPr>
          <w:p w14:paraId="6FBB7C38"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Current residents of the surveillance area with a recent history of migration had an increased likelihood of being seropositive compared to residents who did not migrate. </w:t>
            </w:r>
          </w:p>
        </w:tc>
      </w:tr>
      <w:tr w:rsidR="007D5EAC" w:rsidRPr="007D5EAC" w14:paraId="1D85B350" w14:textId="77777777" w:rsidTr="00674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nil"/>
            </w:tcBorders>
          </w:tcPr>
          <w:p w14:paraId="438BAA21" w14:textId="470C14BC" w:rsidR="007D5EAC" w:rsidRPr="00305761" w:rsidRDefault="007D5EAC" w:rsidP="00644C8A">
            <w:pPr>
              <w:rPr>
                <w:rFonts w:ascii="Times New Roman" w:hAnsi="Times New Roman"/>
                <w:b w:val="0"/>
                <w:sz w:val="16"/>
                <w:szCs w:val="16"/>
              </w:rPr>
            </w:pPr>
            <w:proofErr w:type="spellStart"/>
            <w:r w:rsidRPr="00305761">
              <w:rPr>
                <w:rFonts w:ascii="Times New Roman" w:hAnsi="Times New Roman"/>
                <w:b w:val="0"/>
                <w:sz w:val="16"/>
                <w:szCs w:val="16"/>
              </w:rPr>
              <w:t>Thapa</w:t>
            </w:r>
            <w:proofErr w:type="spellEnd"/>
            <w:r w:rsidRPr="00305761">
              <w:rPr>
                <w:rFonts w:ascii="Times New Roman" w:hAnsi="Times New Roman"/>
                <w:b w:val="0"/>
                <w:sz w:val="16"/>
                <w:szCs w:val="16"/>
              </w:rPr>
              <w:t xml:space="preserve"> et al.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&lt;EndNote&gt;&lt;Cite&gt;&lt;Author&gt;Thapa&lt;/Author&gt;&lt;Year&gt;2014&lt;/Year&gt;&lt;RecNum&gt;33&lt;/RecNum&gt;&lt;DisplayText&gt;&lt;style face="superscript"&gt;[19]&lt;/style&gt;&lt;/DisplayText&gt;&lt;record&gt;&lt;rec-number&gt;33&lt;/rec-number&gt;&lt;foreign-keys&gt;&lt;key app="EN" db-id="ra9p005rtsdz2nept9ax5aahp9dxedxd5502" timestamp="1428253743"&gt;33&lt;/key&gt;&lt;/foreign-keys&gt;&lt;ref-type name="Journal Article"&gt;17&lt;/ref-type&gt;&lt;contributors&gt;&lt;authors&gt;&lt;author&gt;Thapa, S.&lt;/author&gt;&lt;author&gt;Bista, N.&lt;/author&gt;&lt;author&gt;Timilsina, S.&lt;/author&gt;&lt;author&gt;Buntinx, F.&lt;/author&gt;&lt;author&gt;Mathei, C.&lt;/author&gt;&lt;/authors&gt;&lt;/contributors&gt;&lt;titles&gt;&lt;title&gt;Social and behavioural risk factors for HIV infection among the wives of labour migrants in Nepal&lt;/title&gt;&lt;secondary-title&gt;International Journal of STD &amp;amp; AIDS&lt;/secondary-title&gt;&lt;/titles&gt;&lt;periodical&gt;&lt;full-title&gt;International Journal of STD &amp;amp; AIDS&lt;/full-title&gt;&lt;/periodical&gt;&lt;pages&gt;793-799&lt;/pages&gt;&lt;volume&gt;25&lt;/volume&gt;&lt;number&gt;11&lt;/number&gt;&lt;dates&gt;&lt;year&gt;2014&lt;/year&gt;&lt;/dates&gt;&lt;urls&gt;&lt;/urls&gt;&lt;electronic-resource-num&gt;10.1177/0956462414521162&lt;/electronic-resource-num&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[19]</w:t>
            </w:r>
            <w:r w:rsidRPr="00305761">
              <w:rPr>
                <w:rFonts w:ascii="Times New Roman" w:hAnsi="Times New Roman"/>
                <w:sz w:val="16"/>
                <w:szCs w:val="16"/>
              </w:rPr>
              <w:fldChar w:fldCharType="end"/>
            </w:r>
          </w:p>
        </w:tc>
        <w:tc>
          <w:tcPr>
            <w:tcW w:w="1587" w:type="pct"/>
            <w:tcBorders>
              <w:top w:val="nil"/>
              <w:bottom w:val="nil"/>
            </w:tcBorders>
          </w:tcPr>
          <w:p w14:paraId="600A8D27"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paper investigates risk factors for HIV acquisition among spouses of male labor migrants in Nepal.</w:t>
            </w:r>
          </w:p>
        </w:tc>
        <w:tc>
          <w:tcPr>
            <w:tcW w:w="2357" w:type="pct"/>
            <w:tcBorders>
              <w:top w:val="nil"/>
              <w:bottom w:val="nil"/>
            </w:tcBorders>
          </w:tcPr>
          <w:p w14:paraId="0FD5F0DB" w14:textId="77777777" w:rsidR="007D5EAC" w:rsidRPr="00305761" w:rsidRDefault="007D5EAC" w:rsidP="007D5EAC">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Literacy status of the woman was the only social factor associated with HIV infection. However, the men-related factors included, among others, country of migration and age of at first migration episode.</w:t>
            </w:r>
          </w:p>
        </w:tc>
      </w:tr>
      <w:tr w:rsidR="007D5EAC" w:rsidRPr="007D5EAC" w14:paraId="6B80608E" w14:textId="77777777" w:rsidTr="006741B6">
        <w:tc>
          <w:tcPr>
            <w:cnfStyle w:val="001000000000" w:firstRow="0" w:lastRow="0" w:firstColumn="1" w:lastColumn="0" w:oddVBand="0" w:evenVBand="0" w:oddHBand="0" w:evenHBand="0" w:firstRowFirstColumn="0" w:firstRowLastColumn="0" w:lastRowFirstColumn="0" w:lastRowLastColumn="0"/>
            <w:tcW w:w="1056" w:type="pct"/>
            <w:tcBorders>
              <w:top w:val="nil"/>
              <w:left w:val="nil"/>
              <w:bottom w:val="single" w:sz="12" w:space="0" w:color="auto"/>
            </w:tcBorders>
          </w:tcPr>
          <w:p w14:paraId="2D3CCEEB" w14:textId="51AC6B99" w:rsidR="007D5EAC" w:rsidRPr="00305761" w:rsidRDefault="007D5EAC" w:rsidP="00644C8A">
            <w:pPr>
              <w:rPr>
                <w:rFonts w:ascii="Times New Roman" w:hAnsi="Times New Roman"/>
                <w:b w:val="0"/>
                <w:sz w:val="16"/>
                <w:szCs w:val="16"/>
              </w:rPr>
            </w:pPr>
            <w:r w:rsidRPr="00305761">
              <w:rPr>
                <w:rFonts w:ascii="Times New Roman" w:hAnsi="Times New Roman"/>
                <w:b w:val="0"/>
                <w:sz w:val="16"/>
                <w:szCs w:val="16"/>
              </w:rPr>
              <w:t xml:space="preserve">Palk and Blower </w:t>
            </w:r>
            <w:r w:rsidRPr="00305761">
              <w:rPr>
                <w:rFonts w:ascii="Times New Roman" w:hAnsi="Times New Roman"/>
                <w:sz w:val="16"/>
                <w:szCs w:val="16"/>
              </w:rPr>
              <w:fldChar w:fldCharType="begin"/>
            </w:r>
            <w:r w:rsidR="00644C8A">
              <w:rPr>
                <w:rFonts w:ascii="Times New Roman" w:hAnsi="Times New Roman"/>
                <w:sz w:val="16"/>
                <w:szCs w:val="16"/>
              </w:rPr>
              <w:instrText xml:space="preserve"> ADDIN EN.CITE &lt;EndNote&gt;&lt;Cite&gt;&lt;Author&gt;Palk&lt;/Author&gt;&lt;Year&gt;2015&lt;/Year&gt;&lt;RecNum&gt;51&lt;/RecNum&gt;&lt;DisplayText&gt;&lt;style face="superscript"&gt;[20]&lt;/style&gt;&lt;/DisplayText&gt;&lt;record&gt;&lt;rec-number&gt;51&lt;/rec-number&gt;&lt;foreign-keys&gt;&lt;key app="EN" db-id="ra9p005rtsdz2nept9ax5aahp9dxedxd5502" timestamp="1431361384"&gt;51&lt;/key&gt;&lt;/foreign-keys&gt;&lt;ref-type name="Journal Article"&gt;17&lt;/ref-type&gt;&lt;contributors&gt;&lt;authors&gt;&lt;author&gt;Palk, L.&lt;/author&gt;&lt;author&gt;Blower, S.&lt;/author&gt;&lt;/authors&gt;&lt;/contributors&gt;&lt;titles&gt;&lt;title&gt;Mobility and Circular Migration in Lesotho: Implications for Transmission, Treatment, and Control of a Severe HIV Epidemic&lt;/title&gt;&lt;secondary-title&gt;Journal of Acquired Immune Deficiency Syndromes&lt;/secondary-title&gt;&lt;/titles&gt;&lt;periodical&gt;&lt;full-title&gt;Journal of Acquired Immune Deficiency Syndromes&lt;/full-title&gt;&lt;/periodical&gt;&lt;pages&gt;604-608&lt;/pages&gt;&lt;volume&gt;68&lt;/volume&gt;&lt;number&gt;5&lt;/number&gt;&lt;dates&gt;&lt;year&gt;2015&lt;/year&gt;&lt;/dates&gt;&lt;urls&gt;&lt;/urls&gt;&lt;/record&gt;&lt;/Cite&gt;&lt;/EndNote&gt;</w:instrText>
            </w:r>
            <w:r w:rsidRPr="00305761">
              <w:rPr>
                <w:rFonts w:ascii="Times New Roman" w:hAnsi="Times New Roman"/>
                <w:sz w:val="16"/>
                <w:szCs w:val="16"/>
              </w:rPr>
              <w:fldChar w:fldCharType="separate"/>
            </w:r>
            <w:r w:rsidR="00644C8A" w:rsidRPr="00644C8A">
              <w:rPr>
                <w:rFonts w:ascii="Times New Roman" w:hAnsi="Times New Roman"/>
                <w:noProof/>
                <w:sz w:val="16"/>
                <w:szCs w:val="16"/>
                <w:vertAlign w:val="superscript"/>
              </w:rPr>
              <w:t>[20]</w:t>
            </w:r>
            <w:r w:rsidRPr="00305761">
              <w:rPr>
                <w:rFonts w:ascii="Times New Roman" w:hAnsi="Times New Roman"/>
                <w:sz w:val="16"/>
                <w:szCs w:val="16"/>
              </w:rPr>
              <w:fldChar w:fldCharType="end"/>
            </w:r>
          </w:p>
        </w:tc>
        <w:tc>
          <w:tcPr>
            <w:tcW w:w="1587" w:type="pct"/>
            <w:tcBorders>
              <w:top w:val="nil"/>
              <w:bottom w:val="single" w:sz="12" w:space="0" w:color="auto"/>
            </w:tcBorders>
          </w:tcPr>
          <w:p w14:paraId="10DAD275"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This study employed georeferenced Demographic and Health Survey data from Lesotho to construct country-level maps of mobility stratified by gender.</w:t>
            </w:r>
          </w:p>
        </w:tc>
        <w:tc>
          <w:tcPr>
            <w:tcW w:w="2357" w:type="pct"/>
            <w:tcBorders>
              <w:top w:val="nil"/>
              <w:bottom w:val="single" w:sz="12" w:space="0" w:color="auto"/>
            </w:tcBorders>
          </w:tcPr>
          <w:p w14:paraId="35C8981D" w14:textId="77777777" w:rsidR="007D5EAC" w:rsidRPr="00305761" w:rsidRDefault="007D5EAC" w:rsidP="007D5EAC">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305761">
              <w:rPr>
                <w:rFonts w:ascii="Times New Roman" w:hAnsi="Times New Roman"/>
                <w:sz w:val="16"/>
                <w:szCs w:val="16"/>
              </w:rPr>
              <w:t xml:space="preserve">Men who traveled often (21% of the surveyed individuals) had an increased likelihood of HIV infection than men that did not travel. However, men who traveled less often and women that traveled did not have an increased likelihood of HIV infection. </w:t>
            </w:r>
          </w:p>
        </w:tc>
      </w:tr>
    </w:tbl>
    <w:p w14:paraId="784DE8A8" w14:textId="2CFB3EE0" w:rsidR="00B44CE0" w:rsidRDefault="00452C0D" w:rsidP="00B44CE0">
      <w:pPr>
        <w:rPr>
          <w:rFonts w:ascii="Times New Roman" w:hAnsi="Times New Roman" w:cs="Times New Roman"/>
          <w:sz w:val="20"/>
          <w:szCs w:val="20"/>
        </w:rPr>
      </w:pPr>
      <w:r w:rsidRPr="00452C0D">
        <w:rPr>
          <w:rFonts w:ascii="Times New Roman" w:hAnsi="Times New Roman" w:cs="Times New Roman"/>
          <w:sz w:val="20"/>
          <w:szCs w:val="20"/>
        </w:rPr>
        <w:t>Notes:</w:t>
      </w:r>
      <w:r>
        <w:rPr>
          <w:rFonts w:ascii="Times New Roman" w:hAnsi="Times New Roman" w:cs="Times New Roman"/>
          <w:b/>
          <w:sz w:val="20"/>
          <w:szCs w:val="20"/>
        </w:rPr>
        <w:t xml:space="preserve"> </w:t>
      </w:r>
      <w:r w:rsidR="00B44CE0" w:rsidRPr="00E656AF">
        <w:rPr>
          <w:rFonts w:ascii="Times New Roman" w:hAnsi="Times New Roman" w:cs="Times New Roman"/>
          <w:sz w:val="20"/>
          <w:szCs w:val="20"/>
        </w:rPr>
        <w:t>These papers have been published between 2007 and 2015.</w:t>
      </w:r>
    </w:p>
    <w:p w14:paraId="73AA9DB9" w14:textId="77777777" w:rsidR="00527E3F" w:rsidRPr="00B44CE0" w:rsidRDefault="00527E3F" w:rsidP="00B44CE0">
      <w:pPr>
        <w:rPr>
          <w:rFonts w:ascii="Times New Roman" w:hAnsi="Times New Roman" w:cs="Times New Roman"/>
          <w:b/>
          <w:sz w:val="20"/>
          <w:szCs w:val="20"/>
        </w:rPr>
      </w:pPr>
    </w:p>
    <w:p w14:paraId="09A1FD66" w14:textId="508EBDD0" w:rsidR="00527E3F" w:rsidRDefault="00527E3F" w:rsidP="005A2EF9">
      <w:pPr>
        <w:pStyle w:val="ListParagraph"/>
      </w:pPr>
    </w:p>
    <w:p w14:paraId="7E24D1B5" w14:textId="3B148D8E" w:rsidR="006E2CB0" w:rsidRDefault="00452C0D" w:rsidP="00853490">
      <w:pPr>
        <w:pStyle w:val="Heading2"/>
        <w:rPr>
          <w:rFonts w:ascii="Times New Roman" w:hAnsi="Times New Roman" w:cs="Times New Roman"/>
          <w:sz w:val="32"/>
          <w:szCs w:val="32"/>
        </w:rPr>
      </w:pPr>
      <w:r>
        <w:rPr>
          <w:rFonts w:ascii="Times New Roman" w:hAnsi="Times New Roman" w:cs="Times New Roman"/>
          <w:sz w:val="32"/>
          <w:szCs w:val="32"/>
        </w:rPr>
        <w:t>S2</w:t>
      </w:r>
      <w:r w:rsidR="007D5D35" w:rsidRPr="00527E3F">
        <w:rPr>
          <w:rFonts w:ascii="Times New Roman" w:hAnsi="Times New Roman" w:cs="Times New Roman"/>
          <w:sz w:val="32"/>
          <w:szCs w:val="32"/>
        </w:rPr>
        <w:t xml:space="preserve">. </w:t>
      </w:r>
      <w:r w:rsidR="00F95260" w:rsidRPr="00527E3F">
        <w:rPr>
          <w:rFonts w:ascii="Times New Roman" w:hAnsi="Times New Roman" w:cs="Times New Roman"/>
          <w:sz w:val="32"/>
          <w:szCs w:val="32"/>
        </w:rPr>
        <w:t>Geocoding Places of Residency Out</w:t>
      </w:r>
      <w:r w:rsidR="005F3062" w:rsidRPr="00527E3F">
        <w:rPr>
          <w:rFonts w:ascii="Times New Roman" w:hAnsi="Times New Roman" w:cs="Times New Roman"/>
          <w:sz w:val="32"/>
          <w:szCs w:val="32"/>
        </w:rPr>
        <w:t>side the Surveillance Area</w:t>
      </w:r>
    </w:p>
    <w:p w14:paraId="69529A78" w14:textId="77777777" w:rsidR="00452C0D" w:rsidRDefault="00452C0D" w:rsidP="00F95260"/>
    <w:p w14:paraId="12D4D61A" w14:textId="314619A5" w:rsidR="001852C5" w:rsidRPr="00527E3F" w:rsidRDefault="006E2CB0" w:rsidP="00F95260">
      <w:pPr>
        <w:rPr>
          <w:rFonts w:ascii="Times New Roman" w:hAnsi="Times New Roman" w:cs="Times New Roman"/>
          <w:sz w:val="24"/>
          <w:szCs w:val="24"/>
        </w:rPr>
      </w:pPr>
      <w:r w:rsidRPr="00527E3F">
        <w:rPr>
          <w:rFonts w:ascii="Times New Roman" w:hAnsi="Times New Roman" w:cs="Times New Roman"/>
          <w:sz w:val="24"/>
          <w:szCs w:val="24"/>
        </w:rPr>
        <w:t>The raw descriptions</w:t>
      </w:r>
      <w:r w:rsidR="00676FBA" w:rsidRPr="00527E3F">
        <w:rPr>
          <w:rFonts w:ascii="Times New Roman" w:hAnsi="Times New Roman" w:cs="Times New Roman"/>
          <w:sz w:val="24"/>
          <w:szCs w:val="24"/>
        </w:rPr>
        <w:t xml:space="preserve"> of </w:t>
      </w:r>
      <w:r w:rsidRPr="00527E3F">
        <w:rPr>
          <w:rFonts w:ascii="Times New Roman" w:hAnsi="Times New Roman" w:cs="Times New Roman"/>
          <w:sz w:val="24"/>
          <w:szCs w:val="24"/>
        </w:rPr>
        <w:t xml:space="preserve">places of residency that were not associated with a bounded structure inside the </w:t>
      </w:r>
      <w:r w:rsidR="00A44028" w:rsidRPr="00527E3F">
        <w:rPr>
          <w:rFonts w:ascii="Times New Roman" w:hAnsi="Times New Roman" w:cs="Times New Roman"/>
          <w:sz w:val="24"/>
          <w:szCs w:val="24"/>
        </w:rPr>
        <w:t>study area</w:t>
      </w:r>
      <w:r w:rsidRPr="00527E3F">
        <w:rPr>
          <w:rFonts w:ascii="Times New Roman" w:hAnsi="Times New Roman" w:cs="Times New Roman"/>
          <w:sz w:val="24"/>
          <w:szCs w:val="24"/>
        </w:rPr>
        <w:t xml:space="preserve"> were cleaned by removing special characters, words without precise meaning (e.g., “don’t know”, “missing”, “non-applicable”, “default”, “refused”, “query”, “elsewhere”, “foreign country”, “outside sub-Saharan Africa”), and by correcting spelling mistakes. </w:t>
      </w:r>
      <w:r w:rsidR="0020638B" w:rsidRPr="00527E3F">
        <w:rPr>
          <w:rFonts w:ascii="Times New Roman" w:hAnsi="Times New Roman" w:cs="Times New Roman"/>
          <w:sz w:val="24"/>
          <w:szCs w:val="24"/>
        </w:rPr>
        <w:t xml:space="preserve">These corrections have been initially carried out using computer code, followed by manual checks. </w:t>
      </w:r>
      <w:r w:rsidR="00676FBA" w:rsidRPr="00527E3F">
        <w:rPr>
          <w:rFonts w:ascii="Times New Roman" w:hAnsi="Times New Roman" w:cs="Times New Roman"/>
          <w:sz w:val="24"/>
          <w:szCs w:val="24"/>
        </w:rPr>
        <w:t>When ambiguities in the resulting descriptions still seem to exist, string matching techniques were applied to identify the closest descriptions withou</w:t>
      </w:r>
      <w:r w:rsidR="00A44669" w:rsidRPr="00527E3F">
        <w:rPr>
          <w:rFonts w:ascii="Times New Roman" w:hAnsi="Times New Roman" w:cs="Times New Roman"/>
          <w:sz w:val="24"/>
          <w:szCs w:val="24"/>
        </w:rPr>
        <w:t xml:space="preserve">t ambiguities. Decisions about replacing a description of a place of residency with its closest match have been taken by a trained research assistant. </w:t>
      </w:r>
      <w:r w:rsidR="00915D0D" w:rsidRPr="00527E3F">
        <w:rPr>
          <w:rFonts w:ascii="Times New Roman" w:hAnsi="Times New Roman" w:cs="Times New Roman"/>
          <w:sz w:val="24"/>
          <w:szCs w:val="24"/>
        </w:rPr>
        <w:t xml:space="preserve">Every description of place was labeled as “inside South Africa” or “outside South Africa”. </w:t>
      </w:r>
    </w:p>
    <w:p w14:paraId="1CA7B09D" w14:textId="77777777" w:rsidR="001D7CB1" w:rsidRPr="00527E3F" w:rsidRDefault="005722D7" w:rsidP="00433F3F">
      <w:pPr>
        <w:jc w:val="left"/>
        <w:rPr>
          <w:rFonts w:ascii="Times New Roman" w:hAnsi="Times New Roman" w:cs="Times New Roman"/>
          <w:sz w:val="24"/>
          <w:szCs w:val="24"/>
        </w:rPr>
      </w:pPr>
      <w:r w:rsidRPr="00527E3F">
        <w:rPr>
          <w:rFonts w:ascii="Times New Roman" w:hAnsi="Times New Roman" w:cs="Times New Roman"/>
          <w:sz w:val="24"/>
          <w:szCs w:val="24"/>
        </w:rPr>
        <w:t xml:space="preserve">The cleaned versions of the description of places </w:t>
      </w:r>
      <w:r w:rsidR="001852C5" w:rsidRPr="00527E3F">
        <w:rPr>
          <w:rFonts w:ascii="Times New Roman" w:hAnsi="Times New Roman" w:cs="Times New Roman"/>
          <w:sz w:val="24"/>
          <w:szCs w:val="24"/>
        </w:rPr>
        <w:t xml:space="preserve">labeled “inside South Africa” </w:t>
      </w:r>
      <w:r w:rsidRPr="00527E3F">
        <w:rPr>
          <w:rFonts w:ascii="Times New Roman" w:hAnsi="Times New Roman" w:cs="Times New Roman"/>
          <w:sz w:val="24"/>
          <w:szCs w:val="24"/>
        </w:rPr>
        <w:t>have been geocoded using three</w:t>
      </w:r>
      <w:r w:rsidR="003540C4" w:rsidRPr="00527E3F">
        <w:rPr>
          <w:rFonts w:ascii="Times New Roman" w:hAnsi="Times New Roman" w:cs="Times New Roman"/>
          <w:sz w:val="24"/>
          <w:szCs w:val="24"/>
        </w:rPr>
        <w:t xml:space="preserve"> geocoding services: HERE Geocoder API (http://dev.here.com/mapsAPI_geocoder/), B</w:t>
      </w:r>
      <w:r w:rsidR="001D7CB1" w:rsidRPr="00527E3F">
        <w:rPr>
          <w:rFonts w:ascii="Times New Roman" w:hAnsi="Times New Roman" w:cs="Times New Roman"/>
          <w:sz w:val="24"/>
          <w:szCs w:val="24"/>
        </w:rPr>
        <w:t>ing</w:t>
      </w:r>
      <w:r w:rsidR="003540C4" w:rsidRPr="00527E3F">
        <w:rPr>
          <w:rFonts w:ascii="Times New Roman" w:hAnsi="Times New Roman" w:cs="Times New Roman"/>
          <w:sz w:val="24"/>
          <w:szCs w:val="24"/>
        </w:rPr>
        <w:t xml:space="preserve"> Maps REST Services API </w:t>
      </w:r>
      <w:r w:rsidR="00B52188" w:rsidRPr="00527E3F">
        <w:rPr>
          <w:rFonts w:ascii="Times New Roman" w:hAnsi="Times New Roman" w:cs="Times New Roman"/>
          <w:sz w:val="24"/>
          <w:szCs w:val="24"/>
        </w:rPr>
        <w:t>(</w:t>
      </w:r>
      <w:hyperlink r:id="rId12" w:tgtFrame="_blank" w:history="1">
        <w:r w:rsidR="00B52188" w:rsidRPr="00527E3F">
          <w:rPr>
            <w:rFonts w:ascii="Times New Roman" w:hAnsi="Times New Roman" w:cs="Times New Roman"/>
            <w:sz w:val="24"/>
            <w:szCs w:val="24"/>
          </w:rPr>
          <w:t>http://msdn.microsoft.com/en-us/library/ff701715.aspx</w:t>
        </w:r>
      </w:hyperlink>
      <w:r w:rsidR="00B52188" w:rsidRPr="00527E3F">
        <w:rPr>
          <w:rFonts w:ascii="Times New Roman" w:hAnsi="Times New Roman" w:cs="Times New Roman"/>
          <w:sz w:val="24"/>
          <w:szCs w:val="24"/>
        </w:rPr>
        <w:t>) and Google Maps Geocoding API (</w:t>
      </w:r>
      <w:hyperlink r:id="rId13" w:history="1">
        <w:r w:rsidR="00B52188" w:rsidRPr="00527E3F">
          <w:rPr>
            <w:rFonts w:ascii="Times New Roman" w:hAnsi="Times New Roman" w:cs="Times New Roman"/>
            <w:sz w:val="24"/>
            <w:szCs w:val="24"/>
          </w:rPr>
          <w:t>https://developers.google.com/maps/documentation/geocoding/intro</w:t>
        </w:r>
      </w:hyperlink>
      <w:r w:rsidR="00B52188" w:rsidRPr="00527E3F">
        <w:rPr>
          <w:rFonts w:ascii="Times New Roman" w:hAnsi="Times New Roman" w:cs="Times New Roman"/>
          <w:sz w:val="24"/>
          <w:szCs w:val="24"/>
        </w:rPr>
        <w:t xml:space="preserve">). </w:t>
      </w:r>
      <w:r w:rsidR="00494E25" w:rsidRPr="00527E3F">
        <w:rPr>
          <w:rFonts w:ascii="Times New Roman" w:hAnsi="Times New Roman" w:cs="Times New Roman"/>
          <w:sz w:val="24"/>
          <w:szCs w:val="24"/>
        </w:rPr>
        <w:t xml:space="preserve">These three services allow the determination of latitude and longitude coordinates of a location </w:t>
      </w:r>
      <w:r w:rsidR="00FC63C0" w:rsidRPr="00527E3F">
        <w:rPr>
          <w:rFonts w:ascii="Times New Roman" w:hAnsi="Times New Roman" w:cs="Times New Roman"/>
          <w:sz w:val="24"/>
          <w:szCs w:val="24"/>
        </w:rPr>
        <w:t xml:space="preserve">specified by a text address. The text address can be incomplete or spelled incorrectly. These three geocoding APIs </w:t>
      </w:r>
      <w:r w:rsidR="00FC63C0" w:rsidRPr="00527E3F">
        <w:rPr>
          <w:rFonts w:ascii="Times New Roman" w:hAnsi="Times New Roman" w:cs="Times New Roman"/>
          <w:sz w:val="24"/>
          <w:szCs w:val="24"/>
        </w:rPr>
        <w:lastRenderedPageBreak/>
        <w:t xml:space="preserve">take a text address, match it </w:t>
      </w:r>
      <w:r w:rsidR="000D17AB" w:rsidRPr="00527E3F">
        <w:rPr>
          <w:rFonts w:ascii="Times New Roman" w:hAnsi="Times New Roman" w:cs="Times New Roman"/>
          <w:sz w:val="24"/>
          <w:szCs w:val="24"/>
        </w:rPr>
        <w:t xml:space="preserve">against their internal databases of known addresses and return latitude and longitude coordinates if any satisfactory match has been identified. When no satisfactory match has been identified, the APIs do not return any coordinates. </w:t>
      </w:r>
      <w:r w:rsidR="001D7CB1" w:rsidRPr="00527E3F">
        <w:rPr>
          <w:rFonts w:ascii="Times New Roman" w:hAnsi="Times New Roman" w:cs="Times New Roman"/>
          <w:sz w:val="24"/>
          <w:szCs w:val="24"/>
        </w:rPr>
        <w:t>The use of three geocoding services provides robustness of the coordinates identified because HERE, Bing and Google employ various string matching rules and techniques. The internal databases of known addresses of these services could also have various degrees of coverage and quality for different parts of South Africa.</w:t>
      </w:r>
    </w:p>
    <w:p w14:paraId="34D20E53" w14:textId="694DB4F9" w:rsidR="00A85632" w:rsidRPr="00527E3F" w:rsidRDefault="00277666" w:rsidP="00F95260">
      <w:pPr>
        <w:rPr>
          <w:sz w:val="24"/>
          <w:szCs w:val="24"/>
        </w:rPr>
      </w:pPr>
      <w:r w:rsidRPr="00527E3F">
        <w:rPr>
          <w:rFonts w:ascii="Times New Roman" w:hAnsi="Times New Roman" w:cs="Times New Roman"/>
          <w:sz w:val="24"/>
          <w:szCs w:val="24"/>
        </w:rPr>
        <w:t xml:space="preserve">The HERE, Bing and Google APIs were employed with queries of the form “XXX, South Africa” where “XXX” is a cleaned description of a place of residency labeled “inside South Africa”. </w:t>
      </w:r>
      <w:r w:rsidR="001F7C3F" w:rsidRPr="00527E3F">
        <w:rPr>
          <w:rFonts w:ascii="Times New Roman" w:hAnsi="Times New Roman" w:cs="Times New Roman"/>
          <w:sz w:val="24"/>
          <w:szCs w:val="24"/>
        </w:rPr>
        <w:t xml:space="preserve">A total of 10,155 queries associated with each unique description of a place of residency were run. </w:t>
      </w:r>
      <w:r w:rsidR="006B3242" w:rsidRPr="00527E3F">
        <w:rPr>
          <w:rFonts w:ascii="Times New Roman" w:hAnsi="Times New Roman" w:cs="Times New Roman"/>
          <w:sz w:val="24"/>
          <w:szCs w:val="24"/>
        </w:rPr>
        <w:t xml:space="preserve">Those queries that were considered too ambiguous to yield a valid geolocation were dropped. </w:t>
      </w:r>
      <w:r w:rsidR="001F7C3F" w:rsidRPr="00527E3F">
        <w:rPr>
          <w:rFonts w:ascii="Times New Roman" w:hAnsi="Times New Roman" w:cs="Times New Roman"/>
          <w:sz w:val="24"/>
          <w:szCs w:val="24"/>
        </w:rPr>
        <w:t xml:space="preserve">HERE returned the </w:t>
      </w:r>
      <w:r w:rsidR="00754BBE" w:rsidRPr="00527E3F">
        <w:rPr>
          <w:rFonts w:ascii="Times New Roman" w:hAnsi="Times New Roman" w:cs="Times New Roman"/>
          <w:sz w:val="24"/>
          <w:szCs w:val="24"/>
        </w:rPr>
        <w:t xml:space="preserve">latitude and longitude </w:t>
      </w:r>
      <w:r w:rsidR="001F7C3F" w:rsidRPr="00527E3F">
        <w:rPr>
          <w:rFonts w:ascii="Times New Roman" w:hAnsi="Times New Roman" w:cs="Times New Roman"/>
          <w:sz w:val="24"/>
          <w:szCs w:val="24"/>
        </w:rPr>
        <w:t>coordinates associated with 5</w:t>
      </w:r>
      <w:r w:rsidR="0000503D" w:rsidRPr="00527E3F">
        <w:rPr>
          <w:rFonts w:ascii="Times New Roman" w:hAnsi="Times New Roman" w:cs="Times New Roman"/>
          <w:sz w:val="24"/>
          <w:szCs w:val="24"/>
        </w:rPr>
        <w:t>,366 queries (52</w:t>
      </w:r>
      <w:r w:rsidR="00452C0D">
        <w:rPr>
          <w:rFonts w:ascii="Times New Roman" w:hAnsi="Times New Roman" w:cs="Times New Roman"/>
          <w:sz w:val="24"/>
          <w:szCs w:val="24"/>
        </w:rPr>
        <w:t>.</w:t>
      </w:r>
      <w:r w:rsidR="001F7C3F" w:rsidRPr="00527E3F">
        <w:rPr>
          <w:rFonts w:ascii="Times New Roman" w:hAnsi="Times New Roman" w:cs="Times New Roman"/>
          <w:sz w:val="24"/>
          <w:szCs w:val="24"/>
        </w:rPr>
        <w:t xml:space="preserve">84%). </w:t>
      </w:r>
      <w:r w:rsidR="00DD6DA2" w:rsidRPr="00527E3F">
        <w:rPr>
          <w:rFonts w:ascii="Times New Roman" w:hAnsi="Times New Roman" w:cs="Times New Roman"/>
          <w:sz w:val="24"/>
          <w:szCs w:val="24"/>
        </w:rPr>
        <w:t xml:space="preserve">Bing returned the </w:t>
      </w:r>
      <w:r w:rsidR="00754BBE" w:rsidRPr="00527E3F">
        <w:rPr>
          <w:rFonts w:ascii="Times New Roman" w:hAnsi="Times New Roman" w:cs="Times New Roman"/>
          <w:sz w:val="24"/>
          <w:szCs w:val="24"/>
        </w:rPr>
        <w:t xml:space="preserve">latitude and longitude </w:t>
      </w:r>
      <w:r w:rsidR="00DD6DA2" w:rsidRPr="00527E3F">
        <w:rPr>
          <w:rFonts w:ascii="Times New Roman" w:hAnsi="Times New Roman" w:cs="Times New Roman"/>
          <w:sz w:val="24"/>
          <w:szCs w:val="24"/>
        </w:rPr>
        <w:t>coordinates associated with 3</w:t>
      </w:r>
      <w:r w:rsidR="0000503D" w:rsidRPr="00527E3F">
        <w:rPr>
          <w:rFonts w:ascii="Times New Roman" w:hAnsi="Times New Roman" w:cs="Times New Roman"/>
          <w:sz w:val="24"/>
          <w:szCs w:val="24"/>
        </w:rPr>
        <w:t>,990 queries (39</w:t>
      </w:r>
      <w:r w:rsidR="00452C0D">
        <w:rPr>
          <w:rFonts w:ascii="Times New Roman" w:hAnsi="Times New Roman" w:cs="Times New Roman"/>
          <w:sz w:val="24"/>
          <w:szCs w:val="24"/>
        </w:rPr>
        <w:t>.</w:t>
      </w:r>
      <w:r w:rsidR="00DD6DA2" w:rsidRPr="00527E3F">
        <w:rPr>
          <w:rFonts w:ascii="Times New Roman" w:hAnsi="Times New Roman" w:cs="Times New Roman"/>
          <w:sz w:val="24"/>
          <w:szCs w:val="24"/>
        </w:rPr>
        <w:t xml:space="preserve">29%). Google returned the </w:t>
      </w:r>
      <w:r w:rsidR="00754BBE" w:rsidRPr="00527E3F">
        <w:rPr>
          <w:rFonts w:ascii="Times New Roman" w:hAnsi="Times New Roman" w:cs="Times New Roman"/>
          <w:sz w:val="24"/>
          <w:szCs w:val="24"/>
        </w:rPr>
        <w:t xml:space="preserve">latitude and longitude </w:t>
      </w:r>
      <w:r w:rsidR="00DD6DA2" w:rsidRPr="00527E3F">
        <w:rPr>
          <w:rFonts w:ascii="Times New Roman" w:hAnsi="Times New Roman" w:cs="Times New Roman"/>
          <w:sz w:val="24"/>
          <w:szCs w:val="24"/>
        </w:rPr>
        <w:t>coordinates associated with 5</w:t>
      </w:r>
      <w:r w:rsidR="0000503D" w:rsidRPr="00527E3F">
        <w:rPr>
          <w:rFonts w:ascii="Times New Roman" w:hAnsi="Times New Roman" w:cs="Times New Roman"/>
          <w:sz w:val="24"/>
          <w:szCs w:val="24"/>
        </w:rPr>
        <w:t>,993 queries (59</w:t>
      </w:r>
      <w:r w:rsidR="00452C0D">
        <w:rPr>
          <w:rFonts w:ascii="Times New Roman" w:hAnsi="Times New Roman" w:cs="Times New Roman"/>
          <w:sz w:val="24"/>
          <w:szCs w:val="24"/>
        </w:rPr>
        <w:t>.</w:t>
      </w:r>
      <w:r w:rsidR="00DD6DA2" w:rsidRPr="00527E3F">
        <w:rPr>
          <w:rFonts w:ascii="Times New Roman" w:hAnsi="Times New Roman" w:cs="Times New Roman"/>
          <w:sz w:val="24"/>
          <w:szCs w:val="24"/>
        </w:rPr>
        <w:t xml:space="preserve">02%). </w:t>
      </w:r>
      <w:r w:rsidR="00754BBE" w:rsidRPr="00527E3F">
        <w:rPr>
          <w:rFonts w:ascii="Times New Roman" w:hAnsi="Times New Roman" w:cs="Times New Roman"/>
          <w:sz w:val="24"/>
          <w:szCs w:val="24"/>
        </w:rPr>
        <w:t xml:space="preserve">The latitude and longitude coordinates of </w:t>
      </w:r>
      <w:r w:rsidR="00B26B5F" w:rsidRPr="00527E3F">
        <w:rPr>
          <w:rFonts w:ascii="Times New Roman" w:hAnsi="Times New Roman" w:cs="Times New Roman"/>
          <w:sz w:val="24"/>
          <w:szCs w:val="24"/>
        </w:rPr>
        <w:t>2</w:t>
      </w:r>
      <w:r w:rsidR="0000503D" w:rsidRPr="00527E3F">
        <w:rPr>
          <w:rFonts w:ascii="Times New Roman" w:hAnsi="Times New Roman" w:cs="Times New Roman"/>
          <w:sz w:val="24"/>
          <w:szCs w:val="24"/>
        </w:rPr>
        <w:t>,</w:t>
      </w:r>
      <w:r w:rsidR="00B26B5F" w:rsidRPr="00527E3F">
        <w:rPr>
          <w:rFonts w:ascii="Times New Roman" w:hAnsi="Times New Roman" w:cs="Times New Roman"/>
          <w:sz w:val="24"/>
          <w:szCs w:val="24"/>
        </w:rPr>
        <w:t>587</w:t>
      </w:r>
      <w:r w:rsidR="00754BBE" w:rsidRPr="00527E3F">
        <w:rPr>
          <w:rFonts w:ascii="Times New Roman" w:hAnsi="Times New Roman" w:cs="Times New Roman"/>
          <w:sz w:val="24"/>
          <w:szCs w:val="24"/>
        </w:rPr>
        <w:t xml:space="preserve"> queries (</w:t>
      </w:r>
      <w:r w:rsidR="0000503D" w:rsidRPr="00527E3F">
        <w:rPr>
          <w:rFonts w:ascii="Times New Roman" w:hAnsi="Times New Roman" w:cs="Times New Roman"/>
          <w:sz w:val="24"/>
          <w:szCs w:val="24"/>
        </w:rPr>
        <w:t>25</w:t>
      </w:r>
      <w:r w:rsidR="00452C0D">
        <w:rPr>
          <w:rFonts w:ascii="Times New Roman" w:hAnsi="Times New Roman" w:cs="Times New Roman"/>
          <w:sz w:val="24"/>
          <w:szCs w:val="24"/>
        </w:rPr>
        <w:t>.</w:t>
      </w:r>
      <w:r w:rsidR="00B26B5F" w:rsidRPr="00527E3F">
        <w:rPr>
          <w:rFonts w:ascii="Times New Roman" w:hAnsi="Times New Roman" w:cs="Times New Roman"/>
          <w:sz w:val="24"/>
          <w:szCs w:val="24"/>
        </w:rPr>
        <w:t>48</w:t>
      </w:r>
      <w:r w:rsidR="00754BBE" w:rsidRPr="00527E3F">
        <w:rPr>
          <w:rFonts w:ascii="Times New Roman" w:hAnsi="Times New Roman" w:cs="Times New Roman"/>
          <w:sz w:val="24"/>
          <w:szCs w:val="24"/>
        </w:rPr>
        <w:t xml:space="preserve">%) were identified by all three APIs. The </w:t>
      </w:r>
      <w:r w:rsidR="0011489C" w:rsidRPr="00527E3F">
        <w:rPr>
          <w:rFonts w:ascii="Times New Roman" w:hAnsi="Times New Roman" w:cs="Times New Roman"/>
          <w:sz w:val="24"/>
          <w:szCs w:val="24"/>
        </w:rPr>
        <w:t>coordinates of 1</w:t>
      </w:r>
      <w:r w:rsidR="0000503D" w:rsidRPr="00527E3F">
        <w:rPr>
          <w:rFonts w:ascii="Times New Roman" w:hAnsi="Times New Roman" w:cs="Times New Roman"/>
          <w:sz w:val="24"/>
          <w:szCs w:val="24"/>
        </w:rPr>
        <w:t>,</w:t>
      </w:r>
      <w:r w:rsidR="0011489C" w:rsidRPr="00527E3F">
        <w:rPr>
          <w:rFonts w:ascii="Times New Roman" w:hAnsi="Times New Roman" w:cs="Times New Roman"/>
          <w:sz w:val="24"/>
          <w:szCs w:val="24"/>
        </w:rPr>
        <w:t>347</w:t>
      </w:r>
      <w:r w:rsidR="00754BBE" w:rsidRPr="00527E3F">
        <w:rPr>
          <w:rFonts w:ascii="Times New Roman" w:hAnsi="Times New Roman" w:cs="Times New Roman"/>
          <w:sz w:val="24"/>
          <w:szCs w:val="24"/>
        </w:rPr>
        <w:t xml:space="preserve"> queries (</w:t>
      </w:r>
      <w:r w:rsidR="0000503D" w:rsidRPr="00527E3F">
        <w:rPr>
          <w:rFonts w:ascii="Times New Roman" w:hAnsi="Times New Roman" w:cs="Times New Roman"/>
          <w:sz w:val="24"/>
          <w:szCs w:val="24"/>
        </w:rPr>
        <w:t>13</w:t>
      </w:r>
      <w:r w:rsidR="00452C0D">
        <w:rPr>
          <w:rFonts w:ascii="Times New Roman" w:hAnsi="Times New Roman" w:cs="Times New Roman"/>
          <w:sz w:val="24"/>
          <w:szCs w:val="24"/>
        </w:rPr>
        <w:t>.</w:t>
      </w:r>
      <w:r w:rsidR="0011489C" w:rsidRPr="00527E3F">
        <w:rPr>
          <w:rFonts w:ascii="Times New Roman" w:hAnsi="Times New Roman" w:cs="Times New Roman"/>
          <w:sz w:val="24"/>
          <w:szCs w:val="24"/>
        </w:rPr>
        <w:t>26</w:t>
      </w:r>
      <w:r w:rsidR="00754BBE" w:rsidRPr="00527E3F">
        <w:rPr>
          <w:rFonts w:ascii="Times New Roman" w:hAnsi="Times New Roman" w:cs="Times New Roman"/>
          <w:sz w:val="24"/>
          <w:szCs w:val="24"/>
        </w:rPr>
        <w:t>%)</w:t>
      </w:r>
      <w:r w:rsidR="00830102" w:rsidRPr="00527E3F">
        <w:rPr>
          <w:rFonts w:ascii="Times New Roman" w:hAnsi="Times New Roman" w:cs="Times New Roman"/>
          <w:sz w:val="24"/>
          <w:szCs w:val="24"/>
        </w:rPr>
        <w:t xml:space="preserve"> </w:t>
      </w:r>
      <w:r w:rsidR="008F3A67" w:rsidRPr="00527E3F">
        <w:rPr>
          <w:rFonts w:ascii="Times New Roman" w:hAnsi="Times New Roman" w:cs="Times New Roman"/>
          <w:sz w:val="24"/>
          <w:szCs w:val="24"/>
        </w:rPr>
        <w:t xml:space="preserve">were identified by HERE and Google APIs but not by the Bing API. </w:t>
      </w:r>
      <w:r w:rsidR="00754BBE" w:rsidRPr="00527E3F">
        <w:rPr>
          <w:rFonts w:ascii="Times New Roman" w:hAnsi="Times New Roman" w:cs="Times New Roman"/>
          <w:sz w:val="24"/>
          <w:szCs w:val="24"/>
        </w:rPr>
        <w:t xml:space="preserve"> </w:t>
      </w:r>
      <w:r w:rsidR="00F16EDA" w:rsidRPr="00527E3F">
        <w:rPr>
          <w:rFonts w:ascii="Times New Roman" w:hAnsi="Times New Roman" w:cs="Times New Roman"/>
          <w:sz w:val="24"/>
          <w:szCs w:val="24"/>
        </w:rPr>
        <w:t>Th</w:t>
      </w:r>
      <w:r w:rsidR="0000503D" w:rsidRPr="00527E3F">
        <w:rPr>
          <w:rFonts w:ascii="Times New Roman" w:hAnsi="Times New Roman" w:cs="Times New Roman"/>
          <w:sz w:val="24"/>
          <w:szCs w:val="24"/>
        </w:rPr>
        <w:t>e coordinates of 787 queries (7</w:t>
      </w:r>
      <w:r w:rsidR="00452C0D">
        <w:rPr>
          <w:rFonts w:ascii="Times New Roman" w:hAnsi="Times New Roman" w:cs="Times New Roman"/>
          <w:sz w:val="24"/>
          <w:szCs w:val="24"/>
        </w:rPr>
        <w:t>.</w:t>
      </w:r>
      <w:r w:rsidR="00F16EDA" w:rsidRPr="00527E3F">
        <w:rPr>
          <w:rFonts w:ascii="Times New Roman" w:hAnsi="Times New Roman" w:cs="Times New Roman"/>
          <w:sz w:val="24"/>
          <w:szCs w:val="24"/>
        </w:rPr>
        <w:t xml:space="preserve">75%) were identified by the Bing and Google APIs but not by the HERE API. </w:t>
      </w:r>
      <w:r w:rsidR="006A4C28" w:rsidRPr="00527E3F">
        <w:rPr>
          <w:rFonts w:ascii="Times New Roman" w:hAnsi="Times New Roman" w:cs="Times New Roman"/>
          <w:sz w:val="24"/>
          <w:szCs w:val="24"/>
        </w:rPr>
        <w:t>Th</w:t>
      </w:r>
      <w:r w:rsidR="0000503D" w:rsidRPr="00527E3F">
        <w:rPr>
          <w:rFonts w:ascii="Times New Roman" w:hAnsi="Times New Roman" w:cs="Times New Roman"/>
          <w:sz w:val="24"/>
          <w:szCs w:val="24"/>
        </w:rPr>
        <w:t>e coordinates of 329 queries (3</w:t>
      </w:r>
      <w:r w:rsidR="00452C0D">
        <w:rPr>
          <w:rFonts w:ascii="Times New Roman" w:hAnsi="Times New Roman" w:cs="Times New Roman"/>
          <w:sz w:val="24"/>
          <w:szCs w:val="24"/>
        </w:rPr>
        <w:t>.</w:t>
      </w:r>
      <w:r w:rsidR="006A4C28" w:rsidRPr="00527E3F">
        <w:rPr>
          <w:rFonts w:ascii="Times New Roman" w:hAnsi="Times New Roman" w:cs="Times New Roman"/>
          <w:sz w:val="24"/>
          <w:szCs w:val="24"/>
        </w:rPr>
        <w:t>24%) were identified by the Bing and HERE APIs but not by the Google API. Th</w:t>
      </w:r>
      <w:r w:rsidR="0000503D" w:rsidRPr="00527E3F">
        <w:rPr>
          <w:rFonts w:ascii="Times New Roman" w:hAnsi="Times New Roman" w:cs="Times New Roman"/>
          <w:sz w:val="24"/>
          <w:szCs w:val="24"/>
        </w:rPr>
        <w:t>e coordinates of 287 queries (2</w:t>
      </w:r>
      <w:r w:rsidR="00452C0D">
        <w:rPr>
          <w:rFonts w:ascii="Times New Roman" w:hAnsi="Times New Roman" w:cs="Times New Roman"/>
          <w:sz w:val="24"/>
          <w:szCs w:val="24"/>
        </w:rPr>
        <w:t>.</w:t>
      </w:r>
      <w:r w:rsidR="006A4C28" w:rsidRPr="00527E3F">
        <w:rPr>
          <w:rFonts w:ascii="Times New Roman" w:hAnsi="Times New Roman" w:cs="Times New Roman"/>
          <w:sz w:val="24"/>
          <w:szCs w:val="24"/>
        </w:rPr>
        <w:t xml:space="preserve">82%) </w:t>
      </w:r>
      <w:r w:rsidR="000D45A2" w:rsidRPr="00527E3F">
        <w:rPr>
          <w:rFonts w:ascii="Times New Roman" w:hAnsi="Times New Roman" w:cs="Times New Roman"/>
          <w:sz w:val="24"/>
          <w:szCs w:val="24"/>
        </w:rPr>
        <w:t>were identified only by the Bing API. The coordinates of 1</w:t>
      </w:r>
      <w:r w:rsidR="0000503D" w:rsidRPr="00527E3F">
        <w:rPr>
          <w:rFonts w:ascii="Times New Roman" w:hAnsi="Times New Roman" w:cs="Times New Roman"/>
          <w:sz w:val="24"/>
          <w:szCs w:val="24"/>
        </w:rPr>
        <w:t>,103 queries (10</w:t>
      </w:r>
      <w:r w:rsidR="00452C0D">
        <w:rPr>
          <w:rFonts w:ascii="Times New Roman" w:hAnsi="Times New Roman" w:cs="Times New Roman"/>
          <w:sz w:val="24"/>
          <w:szCs w:val="24"/>
        </w:rPr>
        <w:t>.</w:t>
      </w:r>
      <w:r w:rsidR="000D45A2" w:rsidRPr="00527E3F">
        <w:rPr>
          <w:rFonts w:ascii="Times New Roman" w:hAnsi="Times New Roman" w:cs="Times New Roman"/>
          <w:sz w:val="24"/>
          <w:szCs w:val="24"/>
        </w:rPr>
        <w:t>86%) were identified only by the HERE API. The coordinates of 1</w:t>
      </w:r>
      <w:r w:rsidR="0000503D" w:rsidRPr="00527E3F">
        <w:rPr>
          <w:rFonts w:ascii="Times New Roman" w:hAnsi="Times New Roman" w:cs="Times New Roman"/>
          <w:sz w:val="24"/>
          <w:szCs w:val="24"/>
        </w:rPr>
        <w:t>,212 queries (11</w:t>
      </w:r>
      <w:r w:rsidR="00452C0D">
        <w:rPr>
          <w:rFonts w:ascii="Times New Roman" w:hAnsi="Times New Roman" w:cs="Times New Roman"/>
          <w:sz w:val="24"/>
          <w:szCs w:val="24"/>
        </w:rPr>
        <w:t>.</w:t>
      </w:r>
      <w:r w:rsidR="000D45A2" w:rsidRPr="00527E3F">
        <w:rPr>
          <w:rFonts w:ascii="Times New Roman" w:hAnsi="Times New Roman" w:cs="Times New Roman"/>
          <w:sz w:val="24"/>
          <w:szCs w:val="24"/>
        </w:rPr>
        <w:t>94%) were identified only by the Google API. Finally, the coordinates of 2</w:t>
      </w:r>
      <w:r w:rsidR="0000503D" w:rsidRPr="00527E3F">
        <w:rPr>
          <w:rFonts w:ascii="Times New Roman" w:hAnsi="Times New Roman" w:cs="Times New Roman"/>
          <w:sz w:val="24"/>
          <w:szCs w:val="24"/>
        </w:rPr>
        <w:t>,503 queries (24</w:t>
      </w:r>
      <w:r w:rsidR="00452C0D">
        <w:rPr>
          <w:rFonts w:ascii="Times New Roman" w:hAnsi="Times New Roman" w:cs="Times New Roman"/>
          <w:sz w:val="24"/>
          <w:szCs w:val="24"/>
        </w:rPr>
        <w:t>.</w:t>
      </w:r>
      <w:r w:rsidR="000D45A2" w:rsidRPr="00527E3F">
        <w:rPr>
          <w:rFonts w:ascii="Times New Roman" w:hAnsi="Times New Roman" w:cs="Times New Roman"/>
          <w:sz w:val="24"/>
          <w:szCs w:val="24"/>
        </w:rPr>
        <w:t xml:space="preserve">65%) were not identified by any of the three APIs. </w:t>
      </w:r>
      <w:r w:rsidR="00F1488D" w:rsidRPr="00527E3F">
        <w:rPr>
          <w:rFonts w:ascii="Times New Roman" w:hAnsi="Times New Roman" w:cs="Times New Roman"/>
          <w:sz w:val="24"/>
          <w:szCs w:val="24"/>
        </w:rPr>
        <w:t xml:space="preserve">When two or all there of the geocoding APIs successfully geocoded a </w:t>
      </w:r>
      <w:r w:rsidR="006D3BA0" w:rsidRPr="00527E3F">
        <w:rPr>
          <w:rFonts w:ascii="Times New Roman" w:hAnsi="Times New Roman" w:cs="Times New Roman"/>
          <w:sz w:val="24"/>
          <w:szCs w:val="24"/>
        </w:rPr>
        <w:t>query, the</w:t>
      </w:r>
      <w:r w:rsidR="00F1488D" w:rsidRPr="00527E3F">
        <w:rPr>
          <w:rFonts w:ascii="Times New Roman" w:hAnsi="Times New Roman" w:cs="Times New Roman"/>
          <w:sz w:val="24"/>
          <w:szCs w:val="24"/>
        </w:rPr>
        <w:t xml:space="preserve"> coordinates </w:t>
      </w:r>
      <w:r w:rsidR="006D3BA0" w:rsidRPr="00527E3F">
        <w:rPr>
          <w:rFonts w:ascii="Times New Roman" w:hAnsi="Times New Roman" w:cs="Times New Roman"/>
          <w:sz w:val="24"/>
          <w:szCs w:val="24"/>
        </w:rPr>
        <w:t xml:space="preserve">they returned </w:t>
      </w:r>
      <w:r w:rsidR="00F1488D" w:rsidRPr="00527E3F">
        <w:rPr>
          <w:rFonts w:ascii="Times New Roman" w:hAnsi="Times New Roman" w:cs="Times New Roman"/>
          <w:sz w:val="24"/>
          <w:szCs w:val="24"/>
        </w:rPr>
        <w:t xml:space="preserve">were </w:t>
      </w:r>
      <w:r w:rsidR="006D3BA0" w:rsidRPr="00527E3F">
        <w:rPr>
          <w:rFonts w:ascii="Times New Roman" w:hAnsi="Times New Roman" w:cs="Times New Roman"/>
          <w:sz w:val="24"/>
          <w:szCs w:val="24"/>
        </w:rPr>
        <w:t xml:space="preserve">quite consistent: the corresponding distances between them were less than 5 km. The exceptions were manually checked. The latitude and longitude coordinates that were closest to the </w:t>
      </w:r>
      <w:r w:rsidR="00ED1922" w:rsidRPr="00527E3F">
        <w:rPr>
          <w:rFonts w:ascii="Times New Roman" w:hAnsi="Times New Roman" w:cs="Times New Roman"/>
          <w:sz w:val="24"/>
          <w:szCs w:val="24"/>
        </w:rPr>
        <w:t xml:space="preserve">study area </w:t>
      </w:r>
      <w:r w:rsidR="006D3BA0" w:rsidRPr="00527E3F">
        <w:rPr>
          <w:rFonts w:ascii="Times New Roman" w:hAnsi="Times New Roman" w:cs="Times New Roman"/>
          <w:sz w:val="24"/>
          <w:szCs w:val="24"/>
        </w:rPr>
        <w:t>were chosen for the queries for which multiple latitude and longitude coordinates were available. The queries that were successfully geo</w:t>
      </w:r>
      <w:r w:rsidR="005A26D7" w:rsidRPr="00527E3F">
        <w:rPr>
          <w:rFonts w:ascii="Times New Roman" w:hAnsi="Times New Roman" w:cs="Times New Roman"/>
          <w:sz w:val="24"/>
          <w:szCs w:val="24"/>
        </w:rPr>
        <w:t>-</w:t>
      </w:r>
      <w:r w:rsidR="006D3BA0" w:rsidRPr="00527E3F">
        <w:rPr>
          <w:rFonts w:ascii="Times New Roman" w:hAnsi="Times New Roman" w:cs="Times New Roman"/>
          <w:sz w:val="24"/>
          <w:szCs w:val="24"/>
        </w:rPr>
        <w:t>located by a single API were manually checked. The decision whether to use the latitude and longitude coordinates was taken on a case by case basis after assessing the validity of the original query.</w:t>
      </w:r>
      <w:r w:rsidR="006D3BA0" w:rsidRPr="00527E3F">
        <w:rPr>
          <w:sz w:val="24"/>
          <w:szCs w:val="24"/>
        </w:rPr>
        <w:t xml:space="preserve"> </w:t>
      </w:r>
    </w:p>
    <w:p w14:paraId="7C987E8E" w14:textId="77777777" w:rsidR="00ED7AA9" w:rsidRDefault="00ED7AA9" w:rsidP="00F95260"/>
    <w:p w14:paraId="1A622A5B" w14:textId="21D4C211" w:rsidR="00277666" w:rsidRPr="00527E3F" w:rsidRDefault="00452C0D" w:rsidP="00F95260">
      <w:pPr>
        <w:rPr>
          <w:b/>
          <w:sz w:val="32"/>
          <w:szCs w:val="32"/>
        </w:rPr>
      </w:pPr>
      <w:r>
        <w:rPr>
          <w:rFonts w:ascii="Times New Roman" w:hAnsi="Times New Roman" w:cs="Times New Roman"/>
          <w:b/>
          <w:sz w:val="32"/>
          <w:szCs w:val="32"/>
        </w:rPr>
        <w:t>S3</w:t>
      </w:r>
      <w:r w:rsidR="00ED7AA9" w:rsidRPr="00527E3F">
        <w:rPr>
          <w:rFonts w:ascii="Times New Roman" w:hAnsi="Times New Roman" w:cs="Times New Roman"/>
          <w:b/>
          <w:sz w:val="32"/>
          <w:szCs w:val="32"/>
        </w:rPr>
        <w:t>. Additional explanations related to the con</w:t>
      </w:r>
      <w:r w:rsidR="008350CB" w:rsidRPr="00527E3F">
        <w:rPr>
          <w:rFonts w:ascii="Times New Roman" w:hAnsi="Times New Roman" w:cs="Times New Roman"/>
          <w:b/>
          <w:sz w:val="32"/>
          <w:szCs w:val="32"/>
        </w:rPr>
        <w:t>struction of migration indices</w:t>
      </w:r>
    </w:p>
    <w:p w14:paraId="3B79F4E1" w14:textId="40CE672A" w:rsidR="00ED7AA9" w:rsidRPr="00527E3F" w:rsidRDefault="00ED7AA9" w:rsidP="00ED7AA9">
      <w:pPr>
        <w:rPr>
          <w:rFonts w:ascii="Times New Roman" w:hAnsi="Times New Roman" w:cs="Times New Roman"/>
          <w:sz w:val="24"/>
          <w:szCs w:val="24"/>
        </w:rPr>
      </w:pPr>
      <w:r w:rsidRPr="00527E3F">
        <w:rPr>
          <w:rFonts w:ascii="Times New Roman" w:hAnsi="Times New Roman" w:cs="Times New Roman"/>
          <w:sz w:val="24"/>
          <w:szCs w:val="24"/>
        </w:rPr>
        <w:t>We create time-varying measures of migration that express the dynamic spatial and temporal extent of migration patterns recorded for repeat-testers. Longitudinally</w:t>
      </w:r>
      <w:r w:rsidR="00531295" w:rsidRPr="00527E3F">
        <w:rPr>
          <w:rFonts w:ascii="Times New Roman" w:hAnsi="Times New Roman" w:cs="Times New Roman"/>
          <w:sz w:val="24"/>
          <w:szCs w:val="24"/>
        </w:rPr>
        <w:t xml:space="preserve"> recorded </w:t>
      </w:r>
      <w:r w:rsidRPr="00527E3F">
        <w:rPr>
          <w:rFonts w:ascii="Times New Roman" w:hAnsi="Times New Roman" w:cs="Times New Roman"/>
          <w:sz w:val="24"/>
          <w:szCs w:val="24"/>
        </w:rPr>
        <w:t xml:space="preserve">migration episodes capture heterogeneous patterns of movement of repeat-testers that repeatedly leave the study area, come back to the study area, possibly move between residences inside the study area, then move out again. Some repeat-testers move between two residencies outside the study area without moving back into the study area. Other repeat-testers return to the same bounded structure inside the study area after their external migration episodes. Yet, some repeat-testers return from an external migration episode to a bounded structure inside the study area that is different from the </w:t>
      </w:r>
      <w:r w:rsidRPr="00527E3F">
        <w:rPr>
          <w:rFonts w:ascii="Times New Roman" w:hAnsi="Times New Roman" w:cs="Times New Roman"/>
          <w:sz w:val="24"/>
          <w:szCs w:val="24"/>
        </w:rPr>
        <w:lastRenderedPageBreak/>
        <w:t xml:space="preserve">bounded structure they resided in when they </w:t>
      </w:r>
      <w:proofErr w:type="spellStart"/>
      <w:r w:rsidRPr="00527E3F">
        <w:rPr>
          <w:rFonts w:ascii="Times New Roman" w:hAnsi="Times New Roman" w:cs="Times New Roman"/>
          <w:sz w:val="24"/>
          <w:szCs w:val="24"/>
        </w:rPr>
        <w:t>outmigrated</w:t>
      </w:r>
      <w:proofErr w:type="spellEnd"/>
      <w:r w:rsidRPr="00527E3F">
        <w:rPr>
          <w:rFonts w:ascii="Times New Roman" w:hAnsi="Times New Roman" w:cs="Times New Roman"/>
          <w:sz w:val="24"/>
          <w:szCs w:val="24"/>
        </w:rPr>
        <w:t>. Some repeat-testers internally migrate, but might never reside outside the study area.</w:t>
      </w:r>
    </w:p>
    <w:p w14:paraId="29F73D47" w14:textId="7EA35886" w:rsidR="00ED7AA9" w:rsidRPr="00527E3F" w:rsidRDefault="00ED7AA9" w:rsidP="00ED7AA9">
      <w:pPr>
        <w:rPr>
          <w:rFonts w:ascii="Times New Roman" w:hAnsi="Times New Roman" w:cs="Times New Roman"/>
          <w:sz w:val="24"/>
          <w:szCs w:val="24"/>
        </w:rPr>
      </w:pPr>
      <w:r w:rsidRPr="00527E3F">
        <w:rPr>
          <w:rFonts w:ascii="Times New Roman" w:hAnsi="Times New Roman" w:cs="Times New Roman"/>
          <w:sz w:val="24"/>
          <w:szCs w:val="24"/>
        </w:rPr>
        <w:t xml:space="preserve">Our first migration </w:t>
      </w:r>
      <w:r w:rsidR="00410975" w:rsidRPr="00527E3F">
        <w:rPr>
          <w:rFonts w:ascii="Times New Roman" w:hAnsi="Times New Roman" w:cs="Times New Roman"/>
          <w:sz w:val="24"/>
          <w:szCs w:val="24"/>
        </w:rPr>
        <w:t>index</w:t>
      </w:r>
      <w:r w:rsidRPr="00527E3F">
        <w:rPr>
          <w:rFonts w:ascii="Times New Roman" w:hAnsi="Times New Roman" w:cs="Times New Roman"/>
          <w:sz w:val="24"/>
          <w:szCs w:val="24"/>
        </w:rPr>
        <w:t xml:space="preserve"> which we call </w:t>
      </w:r>
      <w:r w:rsidRPr="00527E3F">
        <w:rPr>
          <w:rFonts w:ascii="Times New Roman" w:hAnsi="Times New Roman" w:cs="Times New Roman"/>
          <w:i/>
          <w:sz w:val="24"/>
          <w:szCs w:val="24"/>
        </w:rPr>
        <w:t>time outside</w:t>
      </w:r>
      <w:r w:rsidRPr="00527E3F">
        <w:rPr>
          <w:rFonts w:ascii="Times New Roman" w:hAnsi="Times New Roman" w:cs="Times New Roman"/>
          <w:sz w:val="24"/>
          <w:szCs w:val="24"/>
        </w:rPr>
        <w:t xml:space="preserve"> represents the proportion of time per year spent outside the study area. </w:t>
      </w:r>
      <w:r w:rsidR="007F0605" w:rsidRPr="00527E3F">
        <w:rPr>
          <w:rFonts w:ascii="Times New Roman" w:hAnsi="Times New Roman" w:cs="Times New Roman"/>
          <w:sz w:val="24"/>
          <w:szCs w:val="24"/>
        </w:rPr>
        <w:t>It</w:t>
      </w:r>
      <w:r w:rsidRPr="00527E3F">
        <w:rPr>
          <w:rFonts w:ascii="Times New Roman" w:hAnsi="Times New Roman" w:cs="Times New Roman"/>
          <w:sz w:val="24"/>
          <w:szCs w:val="24"/>
        </w:rPr>
        <w:t xml:space="preserve"> is exclusively a temporal measure that is independent of the distance between consecutive residences occupied by a repeat-tester. For example, time outside cannot differentiate between two hypothetical repeat-testers A and B that change their residences in and out of the study area at the exact same dates, but reside in Johannesburg and in Richards Bay, respectively, when living outside the study area. Because Johannesburg is located farther away from the study area than Richards Bay, the expenses and time needed to visit the study area for A are significantl</w:t>
      </w:r>
      <w:r w:rsidR="000C71A9">
        <w:rPr>
          <w:rFonts w:ascii="Times New Roman" w:hAnsi="Times New Roman" w:cs="Times New Roman"/>
          <w:sz w:val="24"/>
          <w:szCs w:val="24"/>
        </w:rPr>
        <w:t xml:space="preserve">y larger than for B. As such, </w:t>
      </w:r>
      <w:proofErr w:type="gramStart"/>
      <w:r w:rsidR="000C71A9">
        <w:rPr>
          <w:rFonts w:ascii="Times New Roman" w:hAnsi="Times New Roman" w:cs="Times New Roman"/>
          <w:sz w:val="24"/>
          <w:szCs w:val="24"/>
        </w:rPr>
        <w:t>A</w:t>
      </w:r>
      <w:proofErr w:type="gramEnd"/>
      <w:r w:rsidR="000C71A9">
        <w:rPr>
          <w:rFonts w:ascii="Times New Roman" w:hAnsi="Times New Roman" w:cs="Times New Roman"/>
          <w:sz w:val="24"/>
          <w:szCs w:val="24"/>
        </w:rPr>
        <w:t xml:space="preserve"> </w:t>
      </w:r>
      <w:r w:rsidRPr="00527E3F">
        <w:rPr>
          <w:rFonts w:ascii="Times New Roman" w:hAnsi="Times New Roman" w:cs="Times New Roman"/>
          <w:sz w:val="24"/>
          <w:szCs w:val="24"/>
        </w:rPr>
        <w:t>will likely visit the study area less than B, and consequently their degree of separation from their sexual partners, family and friends that reside in the study area is likely to be larger for A compared to B. For this reason, we introduce five additional time-varying measures of migration that depend on the distances between consecutive residencies occupied by a repeat-tester, and also on the time elapsed between these residency changes.</w:t>
      </w:r>
    </w:p>
    <w:p w14:paraId="6D100A45" w14:textId="453EAEF8" w:rsidR="00ED7AA9" w:rsidRPr="00527E3F" w:rsidRDefault="00410975" w:rsidP="00ED7AA9">
      <w:pPr>
        <w:rPr>
          <w:rFonts w:ascii="Times New Roman" w:hAnsi="Times New Roman" w:cs="Times New Roman"/>
          <w:sz w:val="24"/>
          <w:szCs w:val="24"/>
        </w:rPr>
      </w:pPr>
      <w:r w:rsidRPr="00527E3F">
        <w:rPr>
          <w:rFonts w:ascii="Times New Roman" w:hAnsi="Times New Roman" w:cs="Times New Roman"/>
          <w:sz w:val="24"/>
          <w:szCs w:val="24"/>
        </w:rPr>
        <w:t>Our second migration index</w:t>
      </w:r>
      <w:r w:rsidR="00ED7AA9" w:rsidRPr="00527E3F">
        <w:rPr>
          <w:rFonts w:ascii="Times New Roman" w:hAnsi="Times New Roman" w:cs="Times New Roman"/>
          <w:sz w:val="24"/>
          <w:szCs w:val="24"/>
        </w:rPr>
        <w:t xml:space="preserve"> is called </w:t>
      </w:r>
      <w:r w:rsidR="00ED7AA9" w:rsidRPr="00527E3F">
        <w:rPr>
          <w:rFonts w:ascii="Times New Roman" w:hAnsi="Times New Roman" w:cs="Times New Roman"/>
          <w:i/>
          <w:sz w:val="24"/>
          <w:szCs w:val="24"/>
        </w:rPr>
        <w:t>migration distance</w:t>
      </w:r>
      <w:r w:rsidR="00ED7AA9" w:rsidRPr="00527E3F">
        <w:rPr>
          <w:rFonts w:ascii="Times New Roman" w:hAnsi="Times New Roman" w:cs="Times New Roman"/>
          <w:sz w:val="24"/>
          <w:szCs w:val="24"/>
        </w:rPr>
        <w:t>. It is calculated as the ratio between the sum of distances between consecutive residences occupied during episodes that coincide or precede a reference episode, and the sum of the durations of all the exposure episodes that coincide or precede the same reference episode. Migration distance takes into account distances between any two consecutive residences occupied by a repeat-tester irrespective of their location outside or inside the study area. While the migration patterns of the two hypothetical repeat-testers A and B record the same values for the time outside measure because they move in and out the study area in the same time, they give larger values of migration distance for A than for B because A moves over a larger distance than B.</w:t>
      </w:r>
    </w:p>
    <w:p w14:paraId="2652CE16" w14:textId="5DD7F029" w:rsidR="00BA6118" w:rsidRDefault="0036243C" w:rsidP="00ED7AA9">
      <w:r w:rsidRPr="00527E3F">
        <w:rPr>
          <w:rFonts w:ascii="Times New Roman" w:hAnsi="Times New Roman" w:cs="Times New Roman"/>
          <w:sz w:val="24"/>
          <w:szCs w:val="24"/>
        </w:rPr>
        <w:t xml:space="preserve">Migration distance captures </w:t>
      </w:r>
      <w:r w:rsidR="005D2EAC" w:rsidRPr="00527E3F">
        <w:rPr>
          <w:rFonts w:ascii="Times New Roman" w:hAnsi="Times New Roman" w:cs="Times New Roman"/>
          <w:sz w:val="24"/>
          <w:szCs w:val="24"/>
        </w:rPr>
        <w:t xml:space="preserve">external migration episode as well </w:t>
      </w:r>
      <w:r w:rsidR="00531295" w:rsidRPr="00527E3F">
        <w:rPr>
          <w:rFonts w:ascii="Times New Roman" w:hAnsi="Times New Roman" w:cs="Times New Roman"/>
          <w:sz w:val="24"/>
          <w:szCs w:val="24"/>
        </w:rPr>
        <w:t xml:space="preserve">as internal migration episodes. </w:t>
      </w:r>
      <w:r w:rsidR="00ED7AA9" w:rsidRPr="00527E3F">
        <w:rPr>
          <w:rFonts w:ascii="Times New Roman" w:hAnsi="Times New Roman" w:cs="Times New Roman"/>
          <w:sz w:val="24"/>
          <w:szCs w:val="24"/>
        </w:rPr>
        <w:t>For repeat-testers, time outside can be interpreted as the average percentage of the year spent outside the study area in contiguous time intervals defined by sequential exposure episodes since the start of their exp</w:t>
      </w:r>
      <w:r w:rsidR="00531295" w:rsidRPr="00527E3F">
        <w:rPr>
          <w:rFonts w:ascii="Times New Roman" w:hAnsi="Times New Roman" w:cs="Times New Roman"/>
          <w:sz w:val="24"/>
          <w:szCs w:val="24"/>
        </w:rPr>
        <w:t>osure. Our distance-dependent measure</w:t>
      </w:r>
      <w:r w:rsidR="00ED7AA9" w:rsidRPr="00527E3F">
        <w:rPr>
          <w:rFonts w:ascii="Times New Roman" w:hAnsi="Times New Roman" w:cs="Times New Roman"/>
          <w:sz w:val="24"/>
          <w:szCs w:val="24"/>
        </w:rPr>
        <w:t xml:space="preserve"> can be interpreted as the average distance per year a repeat-tester has migrated in the same contiguous time intervals defined by sequential exposure episodes.</w:t>
      </w:r>
      <w:r w:rsidR="00ED7AA9">
        <w:t xml:space="preserve"> </w:t>
      </w:r>
    </w:p>
    <w:p w14:paraId="495CEB94" w14:textId="18112B46" w:rsidR="00C1600A" w:rsidRPr="00F871DF" w:rsidRDefault="00BA6118" w:rsidP="00C1600A">
      <w:pPr>
        <w:rPr>
          <w:rFonts w:ascii="Times New Roman" w:hAnsi="Times New Roman" w:cs="Times New Roman"/>
          <w:sz w:val="20"/>
          <w:szCs w:val="20"/>
        </w:rPr>
      </w:pPr>
      <w:r>
        <w:br w:type="page"/>
      </w:r>
      <w:r w:rsidR="00C1600A" w:rsidRPr="00E656AF">
        <w:rPr>
          <w:rFonts w:ascii="Times New Roman" w:hAnsi="Times New Roman" w:cs="Times New Roman"/>
          <w:b/>
          <w:sz w:val="20"/>
          <w:szCs w:val="20"/>
        </w:rPr>
        <w:lastRenderedPageBreak/>
        <w:t>Table S</w:t>
      </w:r>
      <w:r w:rsidR="00C1600A">
        <w:rPr>
          <w:rFonts w:ascii="Times New Roman" w:hAnsi="Times New Roman" w:cs="Times New Roman"/>
          <w:b/>
          <w:sz w:val="20"/>
          <w:szCs w:val="20"/>
        </w:rPr>
        <w:t>2</w:t>
      </w:r>
      <w:r w:rsidR="00C1600A" w:rsidRPr="00E656AF">
        <w:rPr>
          <w:rFonts w:ascii="Times New Roman" w:hAnsi="Times New Roman" w:cs="Times New Roman"/>
          <w:b/>
          <w:sz w:val="20"/>
          <w:szCs w:val="20"/>
        </w:rPr>
        <w:t xml:space="preserve">. </w:t>
      </w:r>
      <w:r w:rsidR="00C1600A" w:rsidRPr="005B4A08">
        <w:rPr>
          <w:rFonts w:ascii="Times New Roman" w:hAnsi="Times New Roman" w:cs="Times New Roman"/>
          <w:b/>
          <w:sz w:val="20"/>
          <w:szCs w:val="20"/>
        </w:rPr>
        <w:t>Descriptive statistics of the times between the date of the last HIV negative test and the date of the first HIV positive test for men (N=547, 7</w:t>
      </w:r>
      <w:r w:rsidR="00C1600A">
        <w:rPr>
          <w:rFonts w:ascii="Times New Roman" w:hAnsi="Times New Roman" w:cs="Times New Roman"/>
          <w:b/>
          <w:sz w:val="16"/>
          <w:szCs w:val="16"/>
        </w:rPr>
        <w:t>.</w:t>
      </w:r>
      <w:r w:rsidR="00C1600A" w:rsidRPr="005B4A08">
        <w:rPr>
          <w:rFonts w:ascii="Times New Roman" w:hAnsi="Times New Roman" w:cs="Times New Roman"/>
          <w:b/>
          <w:sz w:val="20"/>
          <w:szCs w:val="20"/>
        </w:rPr>
        <w:t>82%</w:t>
      </w:r>
      <w:r w:rsidR="00C1600A">
        <w:rPr>
          <w:rFonts w:ascii="Times New Roman" w:hAnsi="Times New Roman" w:cs="Times New Roman"/>
          <w:b/>
          <w:sz w:val="20"/>
          <w:szCs w:val="20"/>
        </w:rPr>
        <w:t>) that seroconverted</w:t>
      </w:r>
    </w:p>
    <w:tbl>
      <w:tblPr>
        <w:tblStyle w:val="PlainTable3"/>
        <w:tblW w:w="0" w:type="auto"/>
        <w:tblLayout w:type="fixed"/>
        <w:tblLook w:val="04A0" w:firstRow="1" w:lastRow="0" w:firstColumn="1" w:lastColumn="0" w:noHBand="0" w:noVBand="1"/>
      </w:tblPr>
      <w:tblGrid>
        <w:gridCol w:w="2065"/>
        <w:gridCol w:w="1350"/>
        <w:gridCol w:w="630"/>
        <w:gridCol w:w="720"/>
        <w:gridCol w:w="1355"/>
        <w:gridCol w:w="805"/>
        <w:gridCol w:w="866"/>
        <w:gridCol w:w="810"/>
      </w:tblGrid>
      <w:tr w:rsidR="00C1600A" w:rsidRPr="00E656AF" w14:paraId="2DD4EBDF" w14:textId="77777777" w:rsidTr="00522CF4">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2065" w:type="dxa"/>
            <w:tcBorders>
              <w:bottom w:val="single" w:sz="12" w:space="0" w:color="auto"/>
            </w:tcBorders>
          </w:tcPr>
          <w:p w14:paraId="0CC66EC6" w14:textId="77777777" w:rsidR="00C1600A" w:rsidRPr="00E656AF" w:rsidRDefault="00C1600A" w:rsidP="00522CF4">
            <w:pPr>
              <w:jc w:val="center"/>
              <w:rPr>
                <w:rFonts w:ascii="Times New Roman" w:hAnsi="Times New Roman" w:cs="Times New Roman"/>
                <w:sz w:val="16"/>
                <w:szCs w:val="16"/>
              </w:rPr>
            </w:pPr>
            <w:r w:rsidRPr="00E656AF">
              <w:rPr>
                <w:rFonts w:ascii="Times New Roman" w:hAnsi="Times New Roman" w:cs="Times New Roman"/>
                <w:sz w:val="16"/>
                <w:szCs w:val="16"/>
              </w:rPr>
              <w:t>Age stratum (years)</w:t>
            </w:r>
          </w:p>
        </w:tc>
        <w:tc>
          <w:tcPr>
            <w:tcW w:w="1350" w:type="dxa"/>
            <w:tcBorders>
              <w:bottom w:val="single" w:sz="12" w:space="0" w:color="auto"/>
            </w:tcBorders>
          </w:tcPr>
          <w:p w14:paraId="33946BE3"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N</w:t>
            </w:r>
            <w:r>
              <w:rPr>
                <w:rFonts w:ascii="Times New Roman" w:hAnsi="Times New Roman" w:cs="Times New Roman"/>
                <w:sz w:val="16"/>
                <w:szCs w:val="16"/>
              </w:rPr>
              <w:br/>
            </w:r>
            <w:r w:rsidRPr="00E656AF">
              <w:rPr>
                <w:rFonts w:ascii="Times New Roman" w:hAnsi="Times New Roman" w:cs="Times New Roman"/>
                <w:sz w:val="16"/>
                <w:szCs w:val="16"/>
              </w:rPr>
              <w:t>(%)</w:t>
            </w:r>
          </w:p>
        </w:tc>
        <w:tc>
          <w:tcPr>
            <w:tcW w:w="630" w:type="dxa"/>
            <w:tcBorders>
              <w:bottom w:val="single" w:sz="12" w:space="0" w:color="auto"/>
            </w:tcBorders>
          </w:tcPr>
          <w:p w14:paraId="5FFBA1A7"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Min</w:t>
            </w:r>
          </w:p>
        </w:tc>
        <w:tc>
          <w:tcPr>
            <w:tcW w:w="720" w:type="dxa"/>
            <w:tcBorders>
              <w:bottom w:val="single" w:sz="12" w:space="0" w:color="auto"/>
            </w:tcBorders>
          </w:tcPr>
          <w:p w14:paraId="53757ABA"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2.5%</w:t>
            </w:r>
          </w:p>
        </w:tc>
        <w:tc>
          <w:tcPr>
            <w:tcW w:w="1355" w:type="dxa"/>
            <w:tcBorders>
              <w:bottom w:val="single" w:sz="12" w:space="0" w:color="auto"/>
            </w:tcBorders>
          </w:tcPr>
          <w:p w14:paraId="5CF22376"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Median</w:t>
            </w:r>
            <w:r>
              <w:rPr>
                <w:rFonts w:ascii="Times New Roman" w:hAnsi="Times New Roman" w:cs="Times New Roman"/>
                <w:sz w:val="16"/>
                <w:szCs w:val="16"/>
              </w:rPr>
              <w:br/>
            </w:r>
            <w:r w:rsidRPr="00E656AF">
              <w:rPr>
                <w:rFonts w:ascii="Times New Roman" w:hAnsi="Times New Roman" w:cs="Times New Roman"/>
                <w:sz w:val="16"/>
                <w:szCs w:val="16"/>
              </w:rPr>
              <w:t>(IQR)</w:t>
            </w:r>
          </w:p>
        </w:tc>
        <w:tc>
          <w:tcPr>
            <w:tcW w:w="805" w:type="dxa"/>
            <w:tcBorders>
              <w:bottom w:val="single" w:sz="12" w:space="0" w:color="auto"/>
            </w:tcBorders>
          </w:tcPr>
          <w:p w14:paraId="5047434D"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Mean</w:t>
            </w:r>
          </w:p>
        </w:tc>
        <w:tc>
          <w:tcPr>
            <w:tcW w:w="866" w:type="dxa"/>
            <w:tcBorders>
              <w:bottom w:val="single" w:sz="12" w:space="0" w:color="auto"/>
            </w:tcBorders>
          </w:tcPr>
          <w:p w14:paraId="58EDCE38"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97.5%</w:t>
            </w:r>
          </w:p>
        </w:tc>
        <w:tc>
          <w:tcPr>
            <w:tcW w:w="810" w:type="dxa"/>
            <w:tcBorders>
              <w:bottom w:val="single" w:sz="12" w:space="0" w:color="auto"/>
            </w:tcBorders>
          </w:tcPr>
          <w:p w14:paraId="360D0DBD"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Max</w:t>
            </w:r>
          </w:p>
        </w:tc>
      </w:tr>
      <w:tr w:rsidR="00C1600A" w:rsidRPr="00E656AF" w14:paraId="5BD14896"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auto"/>
            </w:tcBorders>
            <w:shd w:val="clear" w:color="auto" w:fill="D0CECE" w:themeFill="background2" w:themeFillShade="E6"/>
          </w:tcPr>
          <w:p w14:paraId="5C69862D"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15-19</w:t>
            </w:r>
          </w:p>
        </w:tc>
        <w:tc>
          <w:tcPr>
            <w:tcW w:w="1350" w:type="dxa"/>
            <w:tcBorders>
              <w:top w:val="single" w:sz="12" w:space="0" w:color="auto"/>
            </w:tcBorders>
            <w:shd w:val="clear" w:color="auto" w:fill="D0CECE" w:themeFill="background2" w:themeFillShade="E6"/>
          </w:tcPr>
          <w:p w14:paraId="574D6714"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 xml:space="preserve">147 </w:t>
            </w:r>
            <w:r>
              <w:rPr>
                <w:rFonts w:ascii="Times New Roman" w:hAnsi="Times New Roman" w:cs="Times New Roman"/>
                <w:sz w:val="16"/>
                <w:szCs w:val="16"/>
              </w:rPr>
              <w:br/>
            </w:r>
            <w:r w:rsidRPr="00E656AF">
              <w:rPr>
                <w:rFonts w:ascii="Times New Roman" w:hAnsi="Times New Roman" w:cs="Times New Roman"/>
                <w:sz w:val="16"/>
                <w:szCs w:val="16"/>
              </w:rPr>
              <w:t>(26</w:t>
            </w:r>
            <w:r>
              <w:rPr>
                <w:rFonts w:ascii="Times New Roman" w:hAnsi="Times New Roman" w:cs="Times New Roman"/>
                <w:sz w:val="16"/>
                <w:szCs w:val="16"/>
              </w:rPr>
              <w:t>.</w:t>
            </w:r>
            <w:r w:rsidRPr="00E656AF">
              <w:rPr>
                <w:rFonts w:ascii="Times New Roman" w:hAnsi="Times New Roman" w:cs="Times New Roman"/>
                <w:sz w:val="16"/>
                <w:szCs w:val="16"/>
              </w:rPr>
              <w:t>87%)</w:t>
            </w:r>
          </w:p>
        </w:tc>
        <w:tc>
          <w:tcPr>
            <w:tcW w:w="630" w:type="dxa"/>
            <w:tcBorders>
              <w:top w:val="single" w:sz="12" w:space="0" w:color="auto"/>
            </w:tcBorders>
            <w:shd w:val="clear" w:color="auto" w:fill="D0CECE" w:themeFill="background2" w:themeFillShade="E6"/>
          </w:tcPr>
          <w:p w14:paraId="4F785856"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73</w:t>
            </w:r>
          </w:p>
        </w:tc>
        <w:tc>
          <w:tcPr>
            <w:tcW w:w="720" w:type="dxa"/>
            <w:tcBorders>
              <w:top w:val="single" w:sz="12" w:space="0" w:color="auto"/>
            </w:tcBorders>
            <w:shd w:val="clear" w:color="auto" w:fill="D0CECE" w:themeFill="background2" w:themeFillShade="E6"/>
          </w:tcPr>
          <w:p w14:paraId="56E1AE90"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87</w:t>
            </w:r>
          </w:p>
        </w:tc>
        <w:tc>
          <w:tcPr>
            <w:tcW w:w="1355" w:type="dxa"/>
            <w:tcBorders>
              <w:top w:val="single" w:sz="12" w:space="0" w:color="auto"/>
            </w:tcBorders>
            <w:shd w:val="clear" w:color="auto" w:fill="D0CECE" w:themeFill="background2" w:themeFillShade="E6"/>
          </w:tcPr>
          <w:p w14:paraId="2AF2A38E"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.71</w:t>
            </w:r>
            <w:r>
              <w:rPr>
                <w:rFonts w:ascii="Times New Roman" w:hAnsi="Times New Roman" w:cs="Times New Roman"/>
                <w:sz w:val="16"/>
                <w:szCs w:val="16"/>
              </w:rPr>
              <w:br/>
            </w:r>
            <w:r w:rsidRPr="00E656AF">
              <w:rPr>
                <w:rFonts w:ascii="Times New Roman" w:hAnsi="Times New Roman" w:cs="Times New Roman"/>
                <w:sz w:val="16"/>
                <w:szCs w:val="16"/>
              </w:rPr>
              <w:t>(4</w:t>
            </w:r>
            <w:r>
              <w:rPr>
                <w:rFonts w:ascii="Times New Roman" w:hAnsi="Times New Roman" w:cs="Times New Roman"/>
                <w:sz w:val="16"/>
                <w:szCs w:val="16"/>
              </w:rPr>
              <w:t>.</w:t>
            </w:r>
            <w:r w:rsidRPr="00E656AF">
              <w:rPr>
                <w:rFonts w:ascii="Times New Roman" w:hAnsi="Times New Roman" w:cs="Times New Roman"/>
                <w:sz w:val="16"/>
                <w:szCs w:val="16"/>
              </w:rPr>
              <w:t>71)</w:t>
            </w:r>
          </w:p>
        </w:tc>
        <w:tc>
          <w:tcPr>
            <w:tcW w:w="805" w:type="dxa"/>
            <w:tcBorders>
              <w:top w:val="single" w:sz="12" w:space="0" w:color="auto"/>
            </w:tcBorders>
            <w:shd w:val="clear" w:color="auto" w:fill="D0CECE" w:themeFill="background2" w:themeFillShade="E6"/>
          </w:tcPr>
          <w:p w14:paraId="39793EE0"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4</w:t>
            </w:r>
            <w:r>
              <w:rPr>
                <w:rFonts w:ascii="Times New Roman" w:hAnsi="Times New Roman" w:cs="Times New Roman"/>
                <w:sz w:val="16"/>
                <w:szCs w:val="16"/>
              </w:rPr>
              <w:t>.</w:t>
            </w:r>
            <w:r w:rsidRPr="00E656AF">
              <w:rPr>
                <w:rFonts w:ascii="Times New Roman" w:hAnsi="Times New Roman" w:cs="Times New Roman"/>
                <w:sz w:val="16"/>
                <w:szCs w:val="16"/>
              </w:rPr>
              <w:t>34</w:t>
            </w:r>
          </w:p>
        </w:tc>
        <w:tc>
          <w:tcPr>
            <w:tcW w:w="866" w:type="dxa"/>
            <w:tcBorders>
              <w:top w:val="single" w:sz="12" w:space="0" w:color="auto"/>
            </w:tcBorders>
            <w:shd w:val="clear" w:color="auto" w:fill="D0CECE" w:themeFill="background2" w:themeFillShade="E6"/>
          </w:tcPr>
          <w:p w14:paraId="7B6DEB5E"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w:t>
            </w:r>
            <w:r>
              <w:rPr>
                <w:rFonts w:ascii="Times New Roman" w:hAnsi="Times New Roman" w:cs="Times New Roman"/>
                <w:sz w:val="16"/>
                <w:szCs w:val="16"/>
              </w:rPr>
              <w:t>.</w:t>
            </w:r>
            <w:r w:rsidRPr="00E656AF">
              <w:rPr>
                <w:rFonts w:ascii="Times New Roman" w:hAnsi="Times New Roman" w:cs="Times New Roman"/>
                <w:sz w:val="16"/>
                <w:szCs w:val="16"/>
              </w:rPr>
              <w:t>99</w:t>
            </w:r>
          </w:p>
        </w:tc>
        <w:tc>
          <w:tcPr>
            <w:tcW w:w="810" w:type="dxa"/>
            <w:tcBorders>
              <w:top w:val="single" w:sz="12" w:space="0" w:color="auto"/>
            </w:tcBorders>
            <w:shd w:val="clear" w:color="auto" w:fill="D0CECE" w:themeFill="background2" w:themeFillShade="E6"/>
          </w:tcPr>
          <w:p w14:paraId="42EB66BD"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11</w:t>
            </w:r>
            <w:r>
              <w:rPr>
                <w:rFonts w:ascii="Times New Roman" w:hAnsi="Times New Roman" w:cs="Times New Roman"/>
                <w:sz w:val="16"/>
                <w:szCs w:val="16"/>
              </w:rPr>
              <w:t>.</w:t>
            </w:r>
            <w:r w:rsidRPr="00E656AF">
              <w:rPr>
                <w:rFonts w:ascii="Times New Roman" w:hAnsi="Times New Roman" w:cs="Times New Roman"/>
                <w:sz w:val="16"/>
                <w:szCs w:val="16"/>
              </w:rPr>
              <w:t>00</w:t>
            </w:r>
          </w:p>
        </w:tc>
      </w:tr>
      <w:tr w:rsidR="00C1600A" w:rsidRPr="00E656AF" w14:paraId="65347871" w14:textId="77777777" w:rsidTr="00522CF4">
        <w:tc>
          <w:tcPr>
            <w:cnfStyle w:val="001000000000" w:firstRow="0" w:lastRow="0" w:firstColumn="1" w:lastColumn="0" w:oddVBand="0" w:evenVBand="0" w:oddHBand="0" w:evenHBand="0" w:firstRowFirstColumn="0" w:firstRowLastColumn="0" w:lastRowFirstColumn="0" w:lastRowLastColumn="0"/>
            <w:tcW w:w="2065" w:type="dxa"/>
          </w:tcPr>
          <w:p w14:paraId="06DA79DD"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20-24</w:t>
            </w:r>
          </w:p>
        </w:tc>
        <w:tc>
          <w:tcPr>
            <w:tcW w:w="1350" w:type="dxa"/>
          </w:tcPr>
          <w:p w14:paraId="0681BED3"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191</w:t>
            </w:r>
            <w:r>
              <w:rPr>
                <w:rFonts w:ascii="Times New Roman" w:hAnsi="Times New Roman" w:cs="Times New Roman"/>
                <w:sz w:val="16"/>
                <w:szCs w:val="16"/>
              </w:rPr>
              <w:br/>
            </w:r>
            <w:r w:rsidRPr="00E656AF">
              <w:rPr>
                <w:rFonts w:ascii="Times New Roman" w:hAnsi="Times New Roman" w:cs="Times New Roman"/>
                <w:sz w:val="16"/>
                <w:szCs w:val="16"/>
              </w:rPr>
              <w:t>(34</w:t>
            </w:r>
            <w:r>
              <w:rPr>
                <w:rFonts w:ascii="Times New Roman" w:hAnsi="Times New Roman" w:cs="Times New Roman"/>
                <w:sz w:val="16"/>
                <w:szCs w:val="16"/>
              </w:rPr>
              <w:t>.</w:t>
            </w:r>
            <w:r w:rsidRPr="00E656AF">
              <w:rPr>
                <w:rFonts w:ascii="Times New Roman" w:hAnsi="Times New Roman" w:cs="Times New Roman"/>
                <w:sz w:val="16"/>
                <w:szCs w:val="16"/>
              </w:rPr>
              <w:t>92%)</w:t>
            </w:r>
          </w:p>
        </w:tc>
        <w:tc>
          <w:tcPr>
            <w:tcW w:w="630" w:type="dxa"/>
          </w:tcPr>
          <w:p w14:paraId="3A824639"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61</w:t>
            </w:r>
          </w:p>
        </w:tc>
        <w:tc>
          <w:tcPr>
            <w:tcW w:w="720" w:type="dxa"/>
          </w:tcPr>
          <w:p w14:paraId="32CCBA92"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91</w:t>
            </w:r>
          </w:p>
        </w:tc>
        <w:tc>
          <w:tcPr>
            <w:tcW w:w="1355" w:type="dxa"/>
          </w:tcPr>
          <w:p w14:paraId="731E3FEA"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.87</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77)</w:t>
            </w:r>
          </w:p>
        </w:tc>
        <w:tc>
          <w:tcPr>
            <w:tcW w:w="805" w:type="dxa"/>
          </w:tcPr>
          <w:p w14:paraId="6A86DBC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66</w:t>
            </w:r>
          </w:p>
        </w:tc>
        <w:tc>
          <w:tcPr>
            <w:tcW w:w="866" w:type="dxa"/>
          </w:tcPr>
          <w:p w14:paraId="52AA7786"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w:t>
            </w:r>
            <w:r>
              <w:rPr>
                <w:rFonts w:ascii="Times New Roman" w:hAnsi="Times New Roman" w:cs="Times New Roman"/>
                <w:sz w:val="16"/>
                <w:szCs w:val="16"/>
              </w:rPr>
              <w:t>.</w:t>
            </w:r>
            <w:r w:rsidRPr="00E656AF">
              <w:rPr>
                <w:rFonts w:ascii="Times New Roman" w:hAnsi="Times New Roman" w:cs="Times New Roman"/>
                <w:sz w:val="16"/>
                <w:szCs w:val="16"/>
              </w:rPr>
              <w:t>39</w:t>
            </w:r>
          </w:p>
        </w:tc>
        <w:tc>
          <w:tcPr>
            <w:tcW w:w="810" w:type="dxa"/>
          </w:tcPr>
          <w:p w14:paraId="70B830C9"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83</w:t>
            </w:r>
          </w:p>
        </w:tc>
      </w:tr>
      <w:tr w:rsidR="00C1600A" w:rsidRPr="00E656AF" w14:paraId="145F30C9"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D0CECE" w:themeFill="background2" w:themeFillShade="E6"/>
          </w:tcPr>
          <w:p w14:paraId="28FD76C5"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25-29</w:t>
            </w:r>
          </w:p>
        </w:tc>
        <w:tc>
          <w:tcPr>
            <w:tcW w:w="1350" w:type="dxa"/>
            <w:shd w:val="clear" w:color="auto" w:fill="D0CECE" w:themeFill="background2" w:themeFillShade="E6"/>
          </w:tcPr>
          <w:p w14:paraId="1EC236BD"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w:t>
            </w:r>
            <w:r>
              <w:rPr>
                <w:rFonts w:ascii="Times New Roman" w:hAnsi="Times New Roman" w:cs="Times New Roman"/>
                <w:sz w:val="16"/>
                <w:szCs w:val="16"/>
              </w:rPr>
              <w:br/>
            </w:r>
            <w:r w:rsidRPr="00E656AF">
              <w:rPr>
                <w:rFonts w:ascii="Times New Roman" w:hAnsi="Times New Roman" w:cs="Times New Roman"/>
                <w:sz w:val="16"/>
                <w:szCs w:val="16"/>
              </w:rPr>
              <w:t>(14</w:t>
            </w:r>
            <w:r>
              <w:rPr>
                <w:rFonts w:ascii="Times New Roman" w:hAnsi="Times New Roman" w:cs="Times New Roman"/>
                <w:sz w:val="16"/>
                <w:szCs w:val="16"/>
              </w:rPr>
              <w:t>.</w:t>
            </w:r>
            <w:r w:rsidRPr="00E656AF">
              <w:rPr>
                <w:rFonts w:ascii="Times New Roman" w:hAnsi="Times New Roman" w:cs="Times New Roman"/>
                <w:sz w:val="16"/>
                <w:szCs w:val="16"/>
              </w:rPr>
              <w:t>26%)</w:t>
            </w:r>
          </w:p>
        </w:tc>
        <w:tc>
          <w:tcPr>
            <w:tcW w:w="630" w:type="dxa"/>
            <w:shd w:val="clear" w:color="auto" w:fill="D0CECE" w:themeFill="background2" w:themeFillShade="E6"/>
          </w:tcPr>
          <w:p w14:paraId="1BBABBF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34</w:t>
            </w:r>
          </w:p>
        </w:tc>
        <w:tc>
          <w:tcPr>
            <w:tcW w:w="720" w:type="dxa"/>
            <w:shd w:val="clear" w:color="auto" w:fill="D0CECE" w:themeFill="background2" w:themeFillShade="E6"/>
          </w:tcPr>
          <w:p w14:paraId="65C9BB42"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69</w:t>
            </w:r>
          </w:p>
        </w:tc>
        <w:tc>
          <w:tcPr>
            <w:tcW w:w="1355" w:type="dxa"/>
            <w:shd w:val="clear" w:color="auto" w:fill="D0CECE" w:themeFill="background2" w:themeFillShade="E6"/>
          </w:tcPr>
          <w:p w14:paraId="0721CC9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.13</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14)</w:t>
            </w:r>
          </w:p>
        </w:tc>
        <w:tc>
          <w:tcPr>
            <w:tcW w:w="805" w:type="dxa"/>
            <w:shd w:val="clear" w:color="auto" w:fill="D0CECE" w:themeFill="background2" w:themeFillShade="E6"/>
          </w:tcPr>
          <w:p w14:paraId="36B268C4"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93</w:t>
            </w:r>
          </w:p>
        </w:tc>
        <w:tc>
          <w:tcPr>
            <w:tcW w:w="866" w:type="dxa"/>
            <w:shd w:val="clear" w:color="auto" w:fill="D0CECE" w:themeFill="background2" w:themeFillShade="E6"/>
          </w:tcPr>
          <w:p w14:paraId="7569EB9C"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66</w:t>
            </w:r>
          </w:p>
        </w:tc>
        <w:tc>
          <w:tcPr>
            <w:tcW w:w="810" w:type="dxa"/>
            <w:shd w:val="clear" w:color="auto" w:fill="D0CECE" w:themeFill="background2" w:themeFillShade="E6"/>
          </w:tcPr>
          <w:p w14:paraId="7B80B9A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w:t>
            </w:r>
            <w:r>
              <w:rPr>
                <w:rFonts w:ascii="Times New Roman" w:hAnsi="Times New Roman" w:cs="Times New Roman"/>
                <w:sz w:val="16"/>
                <w:szCs w:val="16"/>
              </w:rPr>
              <w:t>.</w:t>
            </w:r>
            <w:r w:rsidRPr="00E656AF">
              <w:rPr>
                <w:rFonts w:ascii="Times New Roman" w:hAnsi="Times New Roman" w:cs="Times New Roman"/>
                <w:sz w:val="16"/>
                <w:szCs w:val="16"/>
              </w:rPr>
              <w:t>47</w:t>
            </w:r>
          </w:p>
        </w:tc>
      </w:tr>
      <w:tr w:rsidR="00C1600A" w:rsidRPr="00E656AF" w14:paraId="2A4D87DF" w14:textId="77777777" w:rsidTr="00522CF4">
        <w:tc>
          <w:tcPr>
            <w:cnfStyle w:val="001000000000" w:firstRow="0" w:lastRow="0" w:firstColumn="1" w:lastColumn="0" w:oddVBand="0" w:evenVBand="0" w:oddHBand="0" w:evenHBand="0" w:firstRowFirstColumn="0" w:firstRowLastColumn="0" w:lastRowFirstColumn="0" w:lastRowLastColumn="0"/>
            <w:tcW w:w="2065" w:type="dxa"/>
          </w:tcPr>
          <w:p w14:paraId="22DF3EE7"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30-34</w:t>
            </w:r>
          </w:p>
        </w:tc>
        <w:tc>
          <w:tcPr>
            <w:tcW w:w="1350" w:type="dxa"/>
          </w:tcPr>
          <w:p w14:paraId="697CDA04"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 xml:space="preserve">38 </w:t>
            </w:r>
            <w:r>
              <w:rPr>
                <w:rFonts w:ascii="Times New Roman" w:hAnsi="Times New Roman" w:cs="Times New Roman"/>
                <w:sz w:val="16"/>
                <w:szCs w:val="16"/>
              </w:rPr>
              <w:br/>
            </w:r>
            <w:r w:rsidRPr="00E656AF">
              <w:rPr>
                <w:rFonts w:ascii="Times New Roman" w:hAnsi="Times New Roman" w:cs="Times New Roman"/>
                <w:sz w:val="16"/>
                <w:szCs w:val="16"/>
              </w:rPr>
              <w:t>(6</w:t>
            </w:r>
            <w:r>
              <w:rPr>
                <w:rFonts w:ascii="Times New Roman" w:hAnsi="Times New Roman" w:cs="Times New Roman"/>
                <w:sz w:val="16"/>
                <w:szCs w:val="16"/>
              </w:rPr>
              <w:t>.</w:t>
            </w:r>
            <w:r w:rsidRPr="00E656AF">
              <w:rPr>
                <w:rFonts w:ascii="Times New Roman" w:hAnsi="Times New Roman" w:cs="Times New Roman"/>
                <w:sz w:val="16"/>
                <w:szCs w:val="16"/>
              </w:rPr>
              <w:t>95%)</w:t>
            </w:r>
          </w:p>
        </w:tc>
        <w:tc>
          <w:tcPr>
            <w:tcW w:w="630" w:type="dxa"/>
          </w:tcPr>
          <w:p w14:paraId="75C4AAD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83</w:t>
            </w:r>
          </w:p>
        </w:tc>
        <w:tc>
          <w:tcPr>
            <w:tcW w:w="720" w:type="dxa"/>
          </w:tcPr>
          <w:p w14:paraId="14DAB65A"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91</w:t>
            </w:r>
          </w:p>
        </w:tc>
        <w:tc>
          <w:tcPr>
            <w:tcW w:w="1355" w:type="dxa"/>
          </w:tcPr>
          <w:p w14:paraId="25924FAC"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.59</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24)</w:t>
            </w:r>
          </w:p>
        </w:tc>
        <w:tc>
          <w:tcPr>
            <w:tcW w:w="805" w:type="dxa"/>
          </w:tcPr>
          <w:p w14:paraId="79073D11"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32</w:t>
            </w:r>
          </w:p>
        </w:tc>
        <w:tc>
          <w:tcPr>
            <w:tcW w:w="866" w:type="dxa"/>
          </w:tcPr>
          <w:p w14:paraId="25BEAF3C"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50</w:t>
            </w:r>
          </w:p>
        </w:tc>
        <w:tc>
          <w:tcPr>
            <w:tcW w:w="810" w:type="dxa"/>
          </w:tcPr>
          <w:p w14:paraId="1F55669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05</w:t>
            </w:r>
          </w:p>
        </w:tc>
      </w:tr>
      <w:tr w:rsidR="00C1600A" w:rsidRPr="00E656AF" w14:paraId="52017AD1"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D0CECE" w:themeFill="background2" w:themeFillShade="E6"/>
          </w:tcPr>
          <w:p w14:paraId="7B6247C1"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35-39</w:t>
            </w:r>
          </w:p>
        </w:tc>
        <w:tc>
          <w:tcPr>
            <w:tcW w:w="1350" w:type="dxa"/>
            <w:shd w:val="clear" w:color="auto" w:fill="D0CECE" w:themeFill="background2" w:themeFillShade="E6"/>
          </w:tcPr>
          <w:p w14:paraId="0467BDD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 xml:space="preserve">30 </w:t>
            </w:r>
            <w:r>
              <w:rPr>
                <w:rFonts w:ascii="Times New Roman" w:hAnsi="Times New Roman" w:cs="Times New Roman"/>
                <w:sz w:val="16"/>
                <w:szCs w:val="16"/>
              </w:rPr>
              <w:br/>
            </w:r>
            <w:r w:rsidRPr="00E656AF">
              <w:rPr>
                <w:rFonts w:ascii="Times New Roman" w:hAnsi="Times New Roman" w:cs="Times New Roman"/>
                <w:sz w:val="16"/>
                <w:szCs w:val="16"/>
              </w:rPr>
              <w:t>(5</w:t>
            </w:r>
            <w:r>
              <w:rPr>
                <w:rFonts w:ascii="Times New Roman" w:hAnsi="Times New Roman" w:cs="Times New Roman"/>
                <w:sz w:val="16"/>
                <w:szCs w:val="16"/>
              </w:rPr>
              <w:t>.</w:t>
            </w:r>
            <w:r w:rsidRPr="00E656AF">
              <w:rPr>
                <w:rFonts w:ascii="Times New Roman" w:hAnsi="Times New Roman" w:cs="Times New Roman"/>
                <w:sz w:val="16"/>
                <w:szCs w:val="16"/>
              </w:rPr>
              <w:t>48%)</w:t>
            </w:r>
          </w:p>
        </w:tc>
        <w:tc>
          <w:tcPr>
            <w:tcW w:w="630" w:type="dxa"/>
            <w:shd w:val="clear" w:color="auto" w:fill="D0CECE" w:themeFill="background2" w:themeFillShade="E6"/>
          </w:tcPr>
          <w:p w14:paraId="1AEA8500"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97</w:t>
            </w:r>
          </w:p>
        </w:tc>
        <w:tc>
          <w:tcPr>
            <w:tcW w:w="720" w:type="dxa"/>
            <w:shd w:val="clear" w:color="auto" w:fill="D0CECE" w:themeFill="background2" w:themeFillShade="E6"/>
          </w:tcPr>
          <w:p w14:paraId="31FD04B4"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98</w:t>
            </w:r>
          </w:p>
        </w:tc>
        <w:tc>
          <w:tcPr>
            <w:tcW w:w="1355" w:type="dxa"/>
            <w:shd w:val="clear" w:color="auto" w:fill="D0CECE" w:themeFill="background2" w:themeFillShade="E6"/>
          </w:tcPr>
          <w:p w14:paraId="52AA2D9A"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.09</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50)</w:t>
            </w:r>
          </w:p>
        </w:tc>
        <w:tc>
          <w:tcPr>
            <w:tcW w:w="805" w:type="dxa"/>
            <w:shd w:val="clear" w:color="auto" w:fill="D0CECE" w:themeFill="background2" w:themeFillShade="E6"/>
          </w:tcPr>
          <w:p w14:paraId="65A46055"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40</w:t>
            </w:r>
          </w:p>
        </w:tc>
        <w:tc>
          <w:tcPr>
            <w:tcW w:w="866" w:type="dxa"/>
            <w:shd w:val="clear" w:color="auto" w:fill="D0CECE" w:themeFill="background2" w:themeFillShade="E6"/>
          </w:tcPr>
          <w:p w14:paraId="6E10929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75</w:t>
            </w:r>
          </w:p>
        </w:tc>
        <w:tc>
          <w:tcPr>
            <w:tcW w:w="810" w:type="dxa"/>
            <w:shd w:val="clear" w:color="auto" w:fill="D0CECE" w:themeFill="background2" w:themeFillShade="E6"/>
          </w:tcPr>
          <w:p w14:paraId="0CD49269"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06</w:t>
            </w:r>
          </w:p>
        </w:tc>
      </w:tr>
      <w:tr w:rsidR="00C1600A" w:rsidRPr="00E656AF" w14:paraId="0BDE5166" w14:textId="77777777" w:rsidTr="00522CF4">
        <w:tc>
          <w:tcPr>
            <w:cnfStyle w:val="001000000000" w:firstRow="0" w:lastRow="0" w:firstColumn="1" w:lastColumn="0" w:oddVBand="0" w:evenVBand="0" w:oddHBand="0" w:evenHBand="0" w:firstRowFirstColumn="0" w:firstRowLastColumn="0" w:lastRowFirstColumn="0" w:lastRowLastColumn="0"/>
            <w:tcW w:w="2065" w:type="dxa"/>
          </w:tcPr>
          <w:p w14:paraId="1DD1985E"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40-44</w:t>
            </w:r>
          </w:p>
        </w:tc>
        <w:tc>
          <w:tcPr>
            <w:tcW w:w="1350" w:type="dxa"/>
          </w:tcPr>
          <w:p w14:paraId="0CCF0BF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22</w:t>
            </w:r>
            <w:r>
              <w:rPr>
                <w:rFonts w:ascii="Times New Roman" w:hAnsi="Times New Roman" w:cs="Times New Roman"/>
                <w:sz w:val="16"/>
                <w:szCs w:val="16"/>
              </w:rPr>
              <w:br/>
            </w:r>
            <w:r w:rsidRPr="00E656AF">
              <w:rPr>
                <w:rFonts w:ascii="Times New Roman" w:hAnsi="Times New Roman" w:cs="Times New Roman"/>
                <w:sz w:val="16"/>
                <w:szCs w:val="16"/>
              </w:rPr>
              <w:t>(4</w:t>
            </w:r>
            <w:r>
              <w:rPr>
                <w:rFonts w:ascii="Times New Roman" w:hAnsi="Times New Roman" w:cs="Times New Roman"/>
                <w:sz w:val="16"/>
                <w:szCs w:val="16"/>
              </w:rPr>
              <w:t>.</w:t>
            </w:r>
            <w:r w:rsidRPr="00E656AF">
              <w:rPr>
                <w:rFonts w:ascii="Times New Roman" w:hAnsi="Times New Roman" w:cs="Times New Roman"/>
                <w:sz w:val="16"/>
                <w:szCs w:val="16"/>
              </w:rPr>
              <w:t>02%)</w:t>
            </w:r>
          </w:p>
        </w:tc>
        <w:tc>
          <w:tcPr>
            <w:tcW w:w="630" w:type="dxa"/>
          </w:tcPr>
          <w:p w14:paraId="7E0AD6F2"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Pr>
                <w:rFonts w:ascii="Times New Roman" w:hAnsi="Times New Roman" w:cs="Times New Roman"/>
                <w:sz w:val="16"/>
                <w:szCs w:val="16"/>
              </w:rPr>
              <w:t>.</w:t>
            </w:r>
            <w:r w:rsidRPr="00E656AF">
              <w:rPr>
                <w:rFonts w:ascii="Times New Roman" w:hAnsi="Times New Roman" w:cs="Times New Roman"/>
                <w:sz w:val="16"/>
                <w:szCs w:val="16"/>
              </w:rPr>
              <w:t>02</w:t>
            </w:r>
          </w:p>
        </w:tc>
        <w:tc>
          <w:tcPr>
            <w:tcW w:w="720" w:type="dxa"/>
          </w:tcPr>
          <w:p w14:paraId="00E5086A"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Pr>
                <w:rFonts w:ascii="Times New Roman" w:hAnsi="Times New Roman" w:cs="Times New Roman"/>
                <w:sz w:val="16"/>
                <w:szCs w:val="16"/>
              </w:rPr>
              <w:t>.</w:t>
            </w:r>
            <w:r w:rsidRPr="00E656AF">
              <w:rPr>
                <w:rFonts w:ascii="Times New Roman" w:hAnsi="Times New Roman" w:cs="Times New Roman"/>
                <w:sz w:val="16"/>
                <w:szCs w:val="16"/>
              </w:rPr>
              <w:t>05</w:t>
            </w:r>
          </w:p>
        </w:tc>
        <w:tc>
          <w:tcPr>
            <w:tcW w:w="1355" w:type="dxa"/>
          </w:tcPr>
          <w:p w14:paraId="6D807FC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.06</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97)</w:t>
            </w:r>
          </w:p>
        </w:tc>
        <w:tc>
          <w:tcPr>
            <w:tcW w:w="805" w:type="dxa"/>
          </w:tcPr>
          <w:p w14:paraId="75B2FB1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29</w:t>
            </w:r>
          </w:p>
        </w:tc>
        <w:tc>
          <w:tcPr>
            <w:tcW w:w="866" w:type="dxa"/>
          </w:tcPr>
          <w:p w14:paraId="6E587CA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6</w:t>
            </w:r>
            <w:r>
              <w:rPr>
                <w:rFonts w:ascii="Times New Roman" w:hAnsi="Times New Roman" w:cs="Times New Roman"/>
                <w:sz w:val="16"/>
                <w:szCs w:val="16"/>
              </w:rPr>
              <w:t>.</w:t>
            </w:r>
            <w:r w:rsidRPr="00E656AF">
              <w:rPr>
                <w:rFonts w:ascii="Times New Roman" w:hAnsi="Times New Roman" w:cs="Times New Roman"/>
                <w:sz w:val="16"/>
                <w:szCs w:val="16"/>
              </w:rPr>
              <w:t>25</w:t>
            </w:r>
          </w:p>
        </w:tc>
        <w:tc>
          <w:tcPr>
            <w:tcW w:w="810" w:type="dxa"/>
          </w:tcPr>
          <w:p w14:paraId="53B2C28C"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6</w:t>
            </w:r>
            <w:r>
              <w:rPr>
                <w:rFonts w:ascii="Times New Roman" w:hAnsi="Times New Roman" w:cs="Times New Roman"/>
                <w:sz w:val="16"/>
                <w:szCs w:val="16"/>
              </w:rPr>
              <w:t>.</w:t>
            </w:r>
            <w:r w:rsidRPr="00E656AF">
              <w:rPr>
                <w:rFonts w:ascii="Times New Roman" w:hAnsi="Times New Roman" w:cs="Times New Roman"/>
                <w:sz w:val="16"/>
                <w:szCs w:val="16"/>
              </w:rPr>
              <w:t>56</w:t>
            </w:r>
          </w:p>
        </w:tc>
      </w:tr>
      <w:tr w:rsidR="00C1600A" w:rsidRPr="00E656AF" w14:paraId="105AA5C7"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bottom w:val="single" w:sz="12" w:space="0" w:color="auto"/>
            </w:tcBorders>
            <w:shd w:val="clear" w:color="auto" w:fill="D0CECE" w:themeFill="background2" w:themeFillShade="E6"/>
          </w:tcPr>
          <w:p w14:paraId="6AE5760B"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≥45</w:t>
            </w:r>
          </w:p>
        </w:tc>
        <w:tc>
          <w:tcPr>
            <w:tcW w:w="1350" w:type="dxa"/>
            <w:tcBorders>
              <w:bottom w:val="single" w:sz="12" w:space="0" w:color="auto"/>
            </w:tcBorders>
            <w:shd w:val="clear" w:color="auto" w:fill="D0CECE" w:themeFill="background2" w:themeFillShade="E6"/>
          </w:tcPr>
          <w:p w14:paraId="7FEE627A"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41</w:t>
            </w:r>
            <w:r>
              <w:rPr>
                <w:rFonts w:ascii="Times New Roman" w:hAnsi="Times New Roman" w:cs="Times New Roman"/>
                <w:sz w:val="16"/>
                <w:szCs w:val="16"/>
              </w:rPr>
              <w:br/>
            </w:r>
            <w:r w:rsidRPr="00E656AF">
              <w:rPr>
                <w:rFonts w:ascii="Times New Roman" w:hAnsi="Times New Roman" w:cs="Times New Roman"/>
                <w:sz w:val="16"/>
                <w:szCs w:val="16"/>
              </w:rPr>
              <w:t>(7</w:t>
            </w:r>
            <w:r>
              <w:rPr>
                <w:rFonts w:ascii="Times New Roman" w:hAnsi="Times New Roman" w:cs="Times New Roman"/>
                <w:sz w:val="16"/>
                <w:szCs w:val="16"/>
              </w:rPr>
              <w:t>.</w:t>
            </w:r>
            <w:r w:rsidRPr="00E656AF">
              <w:rPr>
                <w:rFonts w:ascii="Times New Roman" w:hAnsi="Times New Roman" w:cs="Times New Roman"/>
                <w:sz w:val="16"/>
                <w:szCs w:val="16"/>
              </w:rPr>
              <w:t>50%)</w:t>
            </w:r>
          </w:p>
        </w:tc>
        <w:tc>
          <w:tcPr>
            <w:tcW w:w="630" w:type="dxa"/>
            <w:tcBorders>
              <w:bottom w:val="single" w:sz="12" w:space="0" w:color="auto"/>
            </w:tcBorders>
            <w:shd w:val="clear" w:color="auto" w:fill="D0CECE" w:themeFill="background2" w:themeFillShade="E6"/>
          </w:tcPr>
          <w:p w14:paraId="7744E478"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73</w:t>
            </w:r>
          </w:p>
        </w:tc>
        <w:tc>
          <w:tcPr>
            <w:tcW w:w="720" w:type="dxa"/>
            <w:tcBorders>
              <w:bottom w:val="single" w:sz="12" w:space="0" w:color="auto"/>
            </w:tcBorders>
            <w:shd w:val="clear" w:color="auto" w:fill="D0CECE" w:themeFill="background2" w:themeFillShade="E6"/>
          </w:tcPr>
          <w:p w14:paraId="28FDBD11"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94</w:t>
            </w:r>
          </w:p>
        </w:tc>
        <w:tc>
          <w:tcPr>
            <w:tcW w:w="1355" w:type="dxa"/>
            <w:tcBorders>
              <w:bottom w:val="single" w:sz="12" w:space="0" w:color="auto"/>
            </w:tcBorders>
            <w:shd w:val="clear" w:color="auto" w:fill="D0CECE" w:themeFill="background2" w:themeFillShade="E6"/>
          </w:tcPr>
          <w:p w14:paraId="294AF730"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.50</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70)</w:t>
            </w:r>
          </w:p>
        </w:tc>
        <w:tc>
          <w:tcPr>
            <w:tcW w:w="805" w:type="dxa"/>
            <w:tcBorders>
              <w:bottom w:val="single" w:sz="12" w:space="0" w:color="auto"/>
            </w:tcBorders>
            <w:shd w:val="clear" w:color="auto" w:fill="D0CECE" w:themeFill="background2" w:themeFillShade="E6"/>
          </w:tcPr>
          <w:p w14:paraId="3BF9C740"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74</w:t>
            </w:r>
          </w:p>
        </w:tc>
        <w:tc>
          <w:tcPr>
            <w:tcW w:w="866" w:type="dxa"/>
            <w:tcBorders>
              <w:bottom w:val="single" w:sz="12" w:space="0" w:color="auto"/>
            </w:tcBorders>
            <w:shd w:val="clear" w:color="auto" w:fill="D0CECE" w:themeFill="background2" w:themeFillShade="E6"/>
          </w:tcPr>
          <w:p w14:paraId="785DC1C8"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6</w:t>
            </w:r>
            <w:r>
              <w:rPr>
                <w:rFonts w:ascii="Times New Roman" w:hAnsi="Times New Roman" w:cs="Times New Roman"/>
                <w:sz w:val="16"/>
                <w:szCs w:val="16"/>
              </w:rPr>
              <w:t>.</w:t>
            </w:r>
            <w:r w:rsidRPr="00E656AF">
              <w:rPr>
                <w:rFonts w:ascii="Times New Roman" w:hAnsi="Times New Roman" w:cs="Times New Roman"/>
                <w:sz w:val="16"/>
                <w:szCs w:val="16"/>
              </w:rPr>
              <w:t>25</w:t>
            </w:r>
          </w:p>
        </w:tc>
        <w:tc>
          <w:tcPr>
            <w:tcW w:w="810" w:type="dxa"/>
            <w:tcBorders>
              <w:bottom w:val="single" w:sz="12" w:space="0" w:color="auto"/>
            </w:tcBorders>
            <w:shd w:val="clear" w:color="auto" w:fill="D0CECE" w:themeFill="background2" w:themeFillShade="E6"/>
          </w:tcPr>
          <w:p w14:paraId="3FE00633"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7</w:t>
            </w:r>
            <w:r>
              <w:rPr>
                <w:rFonts w:ascii="Times New Roman" w:hAnsi="Times New Roman" w:cs="Times New Roman"/>
                <w:sz w:val="16"/>
                <w:szCs w:val="16"/>
              </w:rPr>
              <w:t>.</w:t>
            </w:r>
            <w:r w:rsidRPr="00E656AF">
              <w:rPr>
                <w:rFonts w:ascii="Times New Roman" w:hAnsi="Times New Roman" w:cs="Times New Roman"/>
                <w:sz w:val="16"/>
                <w:szCs w:val="16"/>
              </w:rPr>
              <w:t>02</w:t>
            </w:r>
          </w:p>
        </w:tc>
      </w:tr>
      <w:tr w:rsidR="00C1600A" w:rsidRPr="00E656AF" w14:paraId="36598E90" w14:textId="77777777" w:rsidTr="00522CF4">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auto"/>
            </w:tcBorders>
          </w:tcPr>
          <w:p w14:paraId="00966F35"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All ages</w:t>
            </w:r>
          </w:p>
        </w:tc>
        <w:tc>
          <w:tcPr>
            <w:tcW w:w="1350" w:type="dxa"/>
            <w:tcBorders>
              <w:top w:val="single" w:sz="12" w:space="0" w:color="auto"/>
            </w:tcBorders>
          </w:tcPr>
          <w:p w14:paraId="2634E24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547</w:t>
            </w:r>
            <w:r>
              <w:rPr>
                <w:rFonts w:ascii="Times New Roman" w:hAnsi="Times New Roman" w:cs="Times New Roman"/>
                <w:sz w:val="16"/>
                <w:szCs w:val="16"/>
              </w:rPr>
              <w:br/>
            </w:r>
            <w:r w:rsidRPr="00E656AF">
              <w:rPr>
                <w:rFonts w:ascii="Times New Roman" w:hAnsi="Times New Roman" w:cs="Times New Roman"/>
                <w:sz w:val="16"/>
                <w:szCs w:val="16"/>
              </w:rPr>
              <w:t>(100%)</w:t>
            </w:r>
          </w:p>
        </w:tc>
        <w:tc>
          <w:tcPr>
            <w:tcW w:w="630" w:type="dxa"/>
            <w:tcBorders>
              <w:top w:val="single" w:sz="12" w:space="0" w:color="auto"/>
            </w:tcBorders>
          </w:tcPr>
          <w:p w14:paraId="55DA779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34</w:t>
            </w:r>
          </w:p>
        </w:tc>
        <w:tc>
          <w:tcPr>
            <w:tcW w:w="720" w:type="dxa"/>
            <w:tcBorders>
              <w:top w:val="single" w:sz="12" w:space="0" w:color="auto"/>
            </w:tcBorders>
          </w:tcPr>
          <w:p w14:paraId="392ADC7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88</w:t>
            </w:r>
          </w:p>
        </w:tc>
        <w:tc>
          <w:tcPr>
            <w:tcW w:w="1355" w:type="dxa"/>
            <w:tcBorders>
              <w:top w:val="single" w:sz="12" w:space="0" w:color="auto"/>
            </w:tcBorders>
          </w:tcPr>
          <w:p w14:paraId="3C58CC73"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.86</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48)</w:t>
            </w:r>
          </w:p>
        </w:tc>
        <w:tc>
          <w:tcPr>
            <w:tcW w:w="805" w:type="dxa"/>
            <w:tcBorders>
              <w:top w:val="single" w:sz="12" w:space="0" w:color="auto"/>
            </w:tcBorders>
          </w:tcPr>
          <w:p w14:paraId="35A81DFC"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62</w:t>
            </w:r>
          </w:p>
        </w:tc>
        <w:tc>
          <w:tcPr>
            <w:tcW w:w="866" w:type="dxa"/>
            <w:tcBorders>
              <w:top w:val="single" w:sz="12" w:space="0" w:color="auto"/>
            </w:tcBorders>
          </w:tcPr>
          <w:p w14:paraId="0D932DF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w:t>
            </w:r>
            <w:r>
              <w:rPr>
                <w:rFonts w:ascii="Times New Roman" w:hAnsi="Times New Roman" w:cs="Times New Roman"/>
                <w:sz w:val="16"/>
                <w:szCs w:val="16"/>
              </w:rPr>
              <w:t>.</w:t>
            </w:r>
            <w:r w:rsidRPr="00E656AF">
              <w:rPr>
                <w:rFonts w:ascii="Times New Roman" w:hAnsi="Times New Roman" w:cs="Times New Roman"/>
                <w:sz w:val="16"/>
                <w:szCs w:val="16"/>
              </w:rPr>
              <w:t>47</w:t>
            </w:r>
          </w:p>
        </w:tc>
        <w:tc>
          <w:tcPr>
            <w:tcW w:w="810" w:type="dxa"/>
            <w:tcBorders>
              <w:top w:val="single" w:sz="12" w:space="0" w:color="auto"/>
            </w:tcBorders>
          </w:tcPr>
          <w:p w14:paraId="6256C893"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11</w:t>
            </w:r>
            <w:r>
              <w:rPr>
                <w:rFonts w:ascii="Times New Roman" w:hAnsi="Times New Roman" w:cs="Times New Roman"/>
                <w:sz w:val="16"/>
                <w:szCs w:val="16"/>
              </w:rPr>
              <w:t>.</w:t>
            </w:r>
            <w:r w:rsidRPr="00E656AF">
              <w:rPr>
                <w:rFonts w:ascii="Times New Roman" w:hAnsi="Times New Roman" w:cs="Times New Roman"/>
                <w:sz w:val="16"/>
                <w:szCs w:val="16"/>
              </w:rPr>
              <w:t>00</w:t>
            </w:r>
          </w:p>
        </w:tc>
      </w:tr>
    </w:tbl>
    <w:p w14:paraId="24BEF804" w14:textId="77777777" w:rsidR="00C1600A" w:rsidRPr="00E656AF" w:rsidRDefault="00C1600A" w:rsidP="00C1600A">
      <w:pPr>
        <w:rPr>
          <w:rFonts w:ascii="Times New Roman" w:hAnsi="Times New Roman" w:cs="Times New Roman"/>
          <w:b/>
          <w:sz w:val="20"/>
          <w:szCs w:val="20"/>
        </w:rPr>
      </w:pPr>
      <w:r>
        <w:rPr>
          <w:rFonts w:ascii="Times New Roman" w:hAnsi="Times New Roman" w:cs="Times New Roman"/>
          <w:sz w:val="20"/>
          <w:szCs w:val="20"/>
        </w:rPr>
        <w:t xml:space="preserve">Notes: </w:t>
      </w:r>
      <w:r w:rsidRPr="00E656AF">
        <w:rPr>
          <w:rFonts w:ascii="Times New Roman" w:hAnsi="Times New Roman" w:cs="Times New Roman"/>
          <w:sz w:val="20"/>
          <w:szCs w:val="20"/>
        </w:rPr>
        <w:t xml:space="preserve">Time is expressed in years. </w:t>
      </w:r>
    </w:p>
    <w:p w14:paraId="4D3D72CA" w14:textId="77777777" w:rsidR="00C1600A" w:rsidRPr="00E656AF" w:rsidRDefault="00C1600A" w:rsidP="00C1600A">
      <w:pPr>
        <w:rPr>
          <w:rFonts w:ascii="Times New Roman" w:hAnsi="Times New Roman" w:cs="Times New Roman"/>
          <w:sz w:val="20"/>
          <w:szCs w:val="20"/>
        </w:rPr>
      </w:pPr>
    </w:p>
    <w:p w14:paraId="49699835" w14:textId="77777777" w:rsidR="00C1600A" w:rsidRDefault="00C1600A" w:rsidP="00C1600A">
      <w:pPr>
        <w:rPr>
          <w:rFonts w:ascii="Times New Roman" w:hAnsi="Times New Roman" w:cs="Times New Roman"/>
          <w:sz w:val="20"/>
          <w:szCs w:val="20"/>
        </w:rPr>
      </w:pPr>
    </w:p>
    <w:p w14:paraId="73010783" w14:textId="4FEB3317" w:rsidR="00C1600A" w:rsidRPr="00E656AF" w:rsidRDefault="00C1600A" w:rsidP="00C1600A">
      <w:pPr>
        <w:rPr>
          <w:rFonts w:ascii="Times New Roman" w:hAnsi="Times New Roman" w:cs="Times New Roman"/>
          <w:sz w:val="20"/>
          <w:szCs w:val="20"/>
        </w:rPr>
      </w:pPr>
      <w:r w:rsidRPr="00E656AF">
        <w:rPr>
          <w:rFonts w:ascii="Times New Roman" w:hAnsi="Times New Roman" w:cs="Times New Roman"/>
          <w:b/>
          <w:sz w:val="20"/>
          <w:szCs w:val="20"/>
        </w:rPr>
        <w:t>Table S</w:t>
      </w:r>
      <w:r>
        <w:rPr>
          <w:rFonts w:ascii="Times New Roman" w:hAnsi="Times New Roman" w:cs="Times New Roman"/>
          <w:b/>
          <w:sz w:val="20"/>
          <w:szCs w:val="20"/>
        </w:rPr>
        <w:t>3</w:t>
      </w:r>
      <w:r w:rsidRPr="00E656AF">
        <w:rPr>
          <w:rFonts w:ascii="Times New Roman" w:hAnsi="Times New Roman" w:cs="Times New Roman"/>
          <w:b/>
          <w:sz w:val="20"/>
          <w:szCs w:val="20"/>
        </w:rPr>
        <w:t xml:space="preserve">. </w:t>
      </w:r>
      <w:r w:rsidRPr="005B4A08">
        <w:rPr>
          <w:rFonts w:ascii="Times New Roman" w:hAnsi="Times New Roman" w:cs="Times New Roman"/>
          <w:b/>
          <w:sz w:val="20"/>
          <w:szCs w:val="20"/>
        </w:rPr>
        <w:t>Descriptive statistics of the times between the date of the last HIV negative test and the date of the first HIV positive test for women (N=1478, 13</w:t>
      </w:r>
      <w:r>
        <w:rPr>
          <w:rFonts w:ascii="Times New Roman" w:hAnsi="Times New Roman" w:cs="Times New Roman"/>
          <w:b/>
          <w:sz w:val="16"/>
          <w:szCs w:val="16"/>
        </w:rPr>
        <w:t>.</w:t>
      </w:r>
      <w:r w:rsidRPr="005B4A08">
        <w:rPr>
          <w:rFonts w:ascii="Times New Roman" w:hAnsi="Times New Roman" w:cs="Times New Roman"/>
          <w:b/>
          <w:sz w:val="20"/>
          <w:szCs w:val="20"/>
        </w:rPr>
        <w:t>75%) that seroconverted</w:t>
      </w:r>
    </w:p>
    <w:tbl>
      <w:tblPr>
        <w:tblStyle w:val="PlainTable3"/>
        <w:tblW w:w="0" w:type="auto"/>
        <w:tblLayout w:type="fixed"/>
        <w:tblLook w:val="04A0" w:firstRow="1" w:lastRow="0" w:firstColumn="1" w:lastColumn="0" w:noHBand="0" w:noVBand="1"/>
      </w:tblPr>
      <w:tblGrid>
        <w:gridCol w:w="2065"/>
        <w:gridCol w:w="1350"/>
        <w:gridCol w:w="630"/>
        <w:gridCol w:w="720"/>
        <w:gridCol w:w="1265"/>
        <w:gridCol w:w="895"/>
        <w:gridCol w:w="866"/>
        <w:gridCol w:w="810"/>
      </w:tblGrid>
      <w:tr w:rsidR="00C1600A" w:rsidRPr="00E656AF" w14:paraId="38794E42" w14:textId="77777777" w:rsidTr="00522CF4">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2065" w:type="dxa"/>
            <w:tcBorders>
              <w:bottom w:val="single" w:sz="12" w:space="0" w:color="auto"/>
            </w:tcBorders>
          </w:tcPr>
          <w:p w14:paraId="098A19C4" w14:textId="77777777" w:rsidR="00C1600A" w:rsidRPr="00E656AF" w:rsidRDefault="00C1600A" w:rsidP="00522CF4">
            <w:pPr>
              <w:jc w:val="center"/>
              <w:rPr>
                <w:rFonts w:ascii="Times New Roman" w:hAnsi="Times New Roman" w:cs="Times New Roman"/>
                <w:sz w:val="16"/>
                <w:szCs w:val="16"/>
              </w:rPr>
            </w:pPr>
            <w:r w:rsidRPr="00E656AF">
              <w:rPr>
                <w:rFonts w:ascii="Times New Roman" w:hAnsi="Times New Roman" w:cs="Times New Roman"/>
                <w:sz w:val="16"/>
                <w:szCs w:val="16"/>
              </w:rPr>
              <w:t>Age stratum (years)</w:t>
            </w:r>
          </w:p>
        </w:tc>
        <w:tc>
          <w:tcPr>
            <w:tcW w:w="1350" w:type="dxa"/>
            <w:tcBorders>
              <w:bottom w:val="single" w:sz="12" w:space="0" w:color="auto"/>
            </w:tcBorders>
          </w:tcPr>
          <w:p w14:paraId="120B1A58"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sz w:val="16"/>
                <w:szCs w:val="16"/>
              </w:rPr>
              <w:br/>
            </w:r>
            <w:r w:rsidRPr="00E656AF">
              <w:rPr>
                <w:rFonts w:ascii="Times New Roman" w:hAnsi="Times New Roman" w:cs="Times New Roman"/>
                <w:sz w:val="16"/>
                <w:szCs w:val="16"/>
              </w:rPr>
              <w:t>(%)</w:t>
            </w:r>
          </w:p>
        </w:tc>
        <w:tc>
          <w:tcPr>
            <w:tcW w:w="630" w:type="dxa"/>
            <w:tcBorders>
              <w:bottom w:val="single" w:sz="12" w:space="0" w:color="auto"/>
            </w:tcBorders>
          </w:tcPr>
          <w:p w14:paraId="4EFE66E7"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Min</w:t>
            </w:r>
          </w:p>
        </w:tc>
        <w:tc>
          <w:tcPr>
            <w:tcW w:w="720" w:type="dxa"/>
            <w:tcBorders>
              <w:bottom w:val="single" w:sz="12" w:space="0" w:color="auto"/>
            </w:tcBorders>
          </w:tcPr>
          <w:p w14:paraId="10BE89F5"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2.5%</w:t>
            </w:r>
          </w:p>
        </w:tc>
        <w:tc>
          <w:tcPr>
            <w:tcW w:w="1265" w:type="dxa"/>
            <w:tcBorders>
              <w:bottom w:val="single" w:sz="12" w:space="0" w:color="auto"/>
            </w:tcBorders>
          </w:tcPr>
          <w:p w14:paraId="78BF2DE7"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Median (IQR)</w:t>
            </w:r>
          </w:p>
        </w:tc>
        <w:tc>
          <w:tcPr>
            <w:tcW w:w="895" w:type="dxa"/>
            <w:tcBorders>
              <w:bottom w:val="single" w:sz="12" w:space="0" w:color="auto"/>
            </w:tcBorders>
          </w:tcPr>
          <w:p w14:paraId="5950F612"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Mean</w:t>
            </w:r>
          </w:p>
        </w:tc>
        <w:tc>
          <w:tcPr>
            <w:tcW w:w="866" w:type="dxa"/>
            <w:tcBorders>
              <w:bottom w:val="single" w:sz="12" w:space="0" w:color="auto"/>
            </w:tcBorders>
          </w:tcPr>
          <w:p w14:paraId="11FCF3D2"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97.5%</w:t>
            </w:r>
          </w:p>
        </w:tc>
        <w:tc>
          <w:tcPr>
            <w:tcW w:w="810" w:type="dxa"/>
            <w:tcBorders>
              <w:bottom w:val="single" w:sz="12" w:space="0" w:color="auto"/>
            </w:tcBorders>
          </w:tcPr>
          <w:p w14:paraId="30228C9E" w14:textId="77777777" w:rsidR="00C1600A" w:rsidRPr="00E656AF" w:rsidRDefault="00C1600A" w:rsidP="00522C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E656AF">
              <w:rPr>
                <w:rFonts w:ascii="Times New Roman" w:hAnsi="Times New Roman" w:cs="Times New Roman"/>
                <w:b w:val="0"/>
                <w:sz w:val="16"/>
                <w:szCs w:val="16"/>
              </w:rPr>
              <w:t>Max</w:t>
            </w:r>
          </w:p>
        </w:tc>
      </w:tr>
      <w:tr w:rsidR="00C1600A" w:rsidRPr="00E656AF" w14:paraId="62475C58"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auto"/>
            </w:tcBorders>
            <w:shd w:val="clear" w:color="auto" w:fill="D0CECE" w:themeFill="background2" w:themeFillShade="E6"/>
          </w:tcPr>
          <w:p w14:paraId="20BC110C"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15-19</w:t>
            </w:r>
          </w:p>
        </w:tc>
        <w:tc>
          <w:tcPr>
            <w:tcW w:w="1350" w:type="dxa"/>
            <w:tcBorders>
              <w:top w:val="single" w:sz="12" w:space="0" w:color="auto"/>
            </w:tcBorders>
            <w:shd w:val="clear" w:color="auto" w:fill="D0CECE" w:themeFill="background2" w:themeFillShade="E6"/>
          </w:tcPr>
          <w:p w14:paraId="69E6AF61"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607</w:t>
            </w:r>
            <w:r>
              <w:rPr>
                <w:rFonts w:ascii="Times New Roman" w:hAnsi="Times New Roman" w:cs="Times New Roman"/>
                <w:sz w:val="16"/>
                <w:szCs w:val="16"/>
              </w:rPr>
              <w:br/>
            </w:r>
            <w:r w:rsidRPr="00E656AF">
              <w:rPr>
                <w:rFonts w:ascii="Times New Roman" w:hAnsi="Times New Roman" w:cs="Times New Roman"/>
                <w:sz w:val="16"/>
                <w:szCs w:val="16"/>
              </w:rPr>
              <w:t>(41</w:t>
            </w:r>
            <w:r>
              <w:rPr>
                <w:rFonts w:ascii="Times New Roman" w:hAnsi="Times New Roman" w:cs="Times New Roman"/>
                <w:sz w:val="16"/>
                <w:szCs w:val="16"/>
              </w:rPr>
              <w:t>.</w:t>
            </w:r>
            <w:r w:rsidRPr="00E656AF">
              <w:rPr>
                <w:rFonts w:ascii="Times New Roman" w:hAnsi="Times New Roman" w:cs="Times New Roman"/>
                <w:sz w:val="16"/>
                <w:szCs w:val="16"/>
              </w:rPr>
              <w:t>07%)</w:t>
            </w:r>
          </w:p>
        </w:tc>
        <w:tc>
          <w:tcPr>
            <w:tcW w:w="630" w:type="dxa"/>
            <w:tcBorders>
              <w:top w:val="single" w:sz="12" w:space="0" w:color="auto"/>
            </w:tcBorders>
            <w:shd w:val="clear" w:color="auto" w:fill="D0CECE" w:themeFill="background2" w:themeFillShade="E6"/>
          </w:tcPr>
          <w:p w14:paraId="51E31B04"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44</w:t>
            </w:r>
          </w:p>
        </w:tc>
        <w:tc>
          <w:tcPr>
            <w:tcW w:w="720" w:type="dxa"/>
            <w:tcBorders>
              <w:top w:val="single" w:sz="12" w:space="0" w:color="auto"/>
            </w:tcBorders>
            <w:shd w:val="clear" w:color="auto" w:fill="D0CECE" w:themeFill="background2" w:themeFillShade="E6"/>
          </w:tcPr>
          <w:p w14:paraId="10904F2F"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91</w:t>
            </w:r>
          </w:p>
        </w:tc>
        <w:tc>
          <w:tcPr>
            <w:tcW w:w="1265" w:type="dxa"/>
            <w:tcBorders>
              <w:top w:val="single" w:sz="12" w:space="0" w:color="auto"/>
            </w:tcBorders>
            <w:shd w:val="clear" w:color="auto" w:fill="D0CECE" w:themeFill="background2" w:themeFillShade="E6"/>
          </w:tcPr>
          <w:p w14:paraId="0B3A72AD"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.41</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75)</w:t>
            </w:r>
          </w:p>
        </w:tc>
        <w:tc>
          <w:tcPr>
            <w:tcW w:w="895" w:type="dxa"/>
            <w:tcBorders>
              <w:top w:val="single" w:sz="12" w:space="0" w:color="auto"/>
            </w:tcBorders>
            <w:shd w:val="clear" w:color="auto" w:fill="D0CECE" w:themeFill="background2" w:themeFillShade="E6"/>
          </w:tcPr>
          <w:p w14:paraId="5C4E1DF4"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08</w:t>
            </w:r>
          </w:p>
        </w:tc>
        <w:tc>
          <w:tcPr>
            <w:tcW w:w="866" w:type="dxa"/>
            <w:tcBorders>
              <w:top w:val="single" w:sz="12" w:space="0" w:color="auto"/>
            </w:tcBorders>
            <w:shd w:val="clear" w:color="auto" w:fill="D0CECE" w:themeFill="background2" w:themeFillShade="E6"/>
          </w:tcPr>
          <w:p w14:paraId="3BE001F1"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75</w:t>
            </w:r>
          </w:p>
        </w:tc>
        <w:tc>
          <w:tcPr>
            <w:tcW w:w="810" w:type="dxa"/>
            <w:tcBorders>
              <w:top w:val="single" w:sz="12" w:space="0" w:color="auto"/>
            </w:tcBorders>
            <w:shd w:val="clear" w:color="auto" w:fill="D0CECE" w:themeFill="background2" w:themeFillShade="E6"/>
          </w:tcPr>
          <w:p w14:paraId="1BB74E66"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11</w:t>
            </w:r>
            <w:r>
              <w:rPr>
                <w:rFonts w:ascii="Times New Roman" w:hAnsi="Times New Roman" w:cs="Times New Roman"/>
                <w:sz w:val="16"/>
                <w:szCs w:val="16"/>
              </w:rPr>
              <w:t>.</w:t>
            </w:r>
            <w:r w:rsidRPr="00E656AF">
              <w:rPr>
                <w:rFonts w:ascii="Times New Roman" w:hAnsi="Times New Roman" w:cs="Times New Roman"/>
                <w:sz w:val="16"/>
                <w:szCs w:val="16"/>
              </w:rPr>
              <w:t>04</w:t>
            </w:r>
          </w:p>
        </w:tc>
      </w:tr>
      <w:tr w:rsidR="00C1600A" w:rsidRPr="00E656AF" w14:paraId="1746E33C" w14:textId="77777777" w:rsidTr="00522CF4">
        <w:trPr>
          <w:trHeight w:val="242"/>
        </w:trPr>
        <w:tc>
          <w:tcPr>
            <w:cnfStyle w:val="001000000000" w:firstRow="0" w:lastRow="0" w:firstColumn="1" w:lastColumn="0" w:oddVBand="0" w:evenVBand="0" w:oddHBand="0" w:evenHBand="0" w:firstRowFirstColumn="0" w:firstRowLastColumn="0" w:lastRowFirstColumn="0" w:lastRowLastColumn="0"/>
            <w:tcW w:w="2065" w:type="dxa"/>
          </w:tcPr>
          <w:p w14:paraId="66AE8C22"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20-24</w:t>
            </w:r>
          </w:p>
        </w:tc>
        <w:tc>
          <w:tcPr>
            <w:tcW w:w="1350" w:type="dxa"/>
          </w:tcPr>
          <w:p w14:paraId="5142F15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429</w:t>
            </w:r>
            <w:r>
              <w:rPr>
                <w:rFonts w:ascii="Times New Roman" w:hAnsi="Times New Roman" w:cs="Times New Roman"/>
                <w:sz w:val="16"/>
                <w:szCs w:val="16"/>
              </w:rPr>
              <w:br/>
            </w:r>
            <w:r w:rsidRPr="00E656AF">
              <w:rPr>
                <w:rFonts w:ascii="Times New Roman" w:hAnsi="Times New Roman" w:cs="Times New Roman"/>
                <w:sz w:val="16"/>
                <w:szCs w:val="16"/>
              </w:rPr>
              <w:t>(29</w:t>
            </w:r>
            <w:r>
              <w:rPr>
                <w:rFonts w:ascii="Times New Roman" w:hAnsi="Times New Roman" w:cs="Times New Roman"/>
                <w:sz w:val="16"/>
                <w:szCs w:val="16"/>
              </w:rPr>
              <w:t>.</w:t>
            </w:r>
            <w:r w:rsidRPr="00E656AF">
              <w:rPr>
                <w:rFonts w:ascii="Times New Roman" w:hAnsi="Times New Roman" w:cs="Times New Roman"/>
                <w:sz w:val="16"/>
                <w:szCs w:val="16"/>
              </w:rPr>
              <w:t>03%)</w:t>
            </w:r>
          </w:p>
        </w:tc>
        <w:tc>
          <w:tcPr>
            <w:tcW w:w="630" w:type="dxa"/>
          </w:tcPr>
          <w:p w14:paraId="103122D2"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35</w:t>
            </w:r>
          </w:p>
        </w:tc>
        <w:tc>
          <w:tcPr>
            <w:tcW w:w="720" w:type="dxa"/>
          </w:tcPr>
          <w:p w14:paraId="48119D11"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77</w:t>
            </w:r>
          </w:p>
        </w:tc>
        <w:tc>
          <w:tcPr>
            <w:tcW w:w="1265" w:type="dxa"/>
          </w:tcPr>
          <w:p w14:paraId="66C379A7"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.06</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61)</w:t>
            </w:r>
          </w:p>
        </w:tc>
        <w:tc>
          <w:tcPr>
            <w:tcW w:w="895" w:type="dxa"/>
          </w:tcPr>
          <w:p w14:paraId="741EEBC2"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80</w:t>
            </w:r>
          </w:p>
        </w:tc>
        <w:tc>
          <w:tcPr>
            <w:tcW w:w="866" w:type="dxa"/>
          </w:tcPr>
          <w:p w14:paraId="6147677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50</w:t>
            </w:r>
          </w:p>
        </w:tc>
        <w:tc>
          <w:tcPr>
            <w:tcW w:w="810" w:type="dxa"/>
          </w:tcPr>
          <w:p w14:paraId="0B5A038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78</w:t>
            </w:r>
          </w:p>
        </w:tc>
      </w:tr>
      <w:tr w:rsidR="00C1600A" w:rsidRPr="00E656AF" w14:paraId="159D715C"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D0CECE" w:themeFill="background2" w:themeFillShade="E6"/>
          </w:tcPr>
          <w:p w14:paraId="15883251"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25-29</w:t>
            </w:r>
          </w:p>
        </w:tc>
        <w:tc>
          <w:tcPr>
            <w:tcW w:w="1350" w:type="dxa"/>
            <w:shd w:val="clear" w:color="auto" w:fill="D0CECE" w:themeFill="background2" w:themeFillShade="E6"/>
          </w:tcPr>
          <w:p w14:paraId="24FF05C6"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149</w:t>
            </w:r>
            <w:r>
              <w:rPr>
                <w:rFonts w:ascii="Times New Roman" w:hAnsi="Times New Roman" w:cs="Times New Roman"/>
                <w:sz w:val="16"/>
                <w:szCs w:val="16"/>
              </w:rPr>
              <w:br/>
            </w: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08%)</w:t>
            </w:r>
          </w:p>
        </w:tc>
        <w:tc>
          <w:tcPr>
            <w:tcW w:w="630" w:type="dxa"/>
            <w:shd w:val="clear" w:color="auto" w:fill="D0CECE" w:themeFill="background2" w:themeFillShade="E6"/>
          </w:tcPr>
          <w:p w14:paraId="668D472E"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61</w:t>
            </w:r>
          </w:p>
        </w:tc>
        <w:tc>
          <w:tcPr>
            <w:tcW w:w="720" w:type="dxa"/>
            <w:shd w:val="clear" w:color="auto" w:fill="D0CECE" w:themeFill="background2" w:themeFillShade="E6"/>
          </w:tcPr>
          <w:p w14:paraId="54F0B023"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81</w:t>
            </w:r>
          </w:p>
        </w:tc>
        <w:tc>
          <w:tcPr>
            <w:tcW w:w="1265" w:type="dxa"/>
            <w:shd w:val="clear" w:color="auto" w:fill="D0CECE" w:themeFill="background2" w:themeFillShade="E6"/>
          </w:tcPr>
          <w:p w14:paraId="30A2154B"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.06</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89)</w:t>
            </w:r>
          </w:p>
        </w:tc>
        <w:tc>
          <w:tcPr>
            <w:tcW w:w="895" w:type="dxa"/>
            <w:shd w:val="clear" w:color="auto" w:fill="D0CECE" w:themeFill="background2" w:themeFillShade="E6"/>
          </w:tcPr>
          <w:p w14:paraId="5517AB45"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91</w:t>
            </w:r>
          </w:p>
        </w:tc>
        <w:tc>
          <w:tcPr>
            <w:tcW w:w="866" w:type="dxa"/>
            <w:shd w:val="clear" w:color="auto" w:fill="D0CECE" w:themeFill="background2" w:themeFillShade="E6"/>
          </w:tcPr>
          <w:p w14:paraId="08126BC8"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44</w:t>
            </w:r>
          </w:p>
        </w:tc>
        <w:tc>
          <w:tcPr>
            <w:tcW w:w="810" w:type="dxa"/>
            <w:shd w:val="clear" w:color="auto" w:fill="D0CECE" w:themeFill="background2" w:themeFillShade="E6"/>
          </w:tcPr>
          <w:p w14:paraId="45BD98D8"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50</w:t>
            </w:r>
          </w:p>
        </w:tc>
      </w:tr>
      <w:tr w:rsidR="00C1600A" w:rsidRPr="00E656AF" w14:paraId="525741E8" w14:textId="77777777" w:rsidTr="00522CF4">
        <w:tc>
          <w:tcPr>
            <w:cnfStyle w:val="001000000000" w:firstRow="0" w:lastRow="0" w:firstColumn="1" w:lastColumn="0" w:oddVBand="0" w:evenVBand="0" w:oddHBand="0" w:evenHBand="0" w:firstRowFirstColumn="0" w:firstRowLastColumn="0" w:lastRowFirstColumn="0" w:lastRowLastColumn="0"/>
            <w:tcW w:w="2065" w:type="dxa"/>
          </w:tcPr>
          <w:p w14:paraId="5412968F"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30-34</w:t>
            </w:r>
          </w:p>
        </w:tc>
        <w:tc>
          <w:tcPr>
            <w:tcW w:w="1350" w:type="dxa"/>
          </w:tcPr>
          <w:p w14:paraId="6826D85E"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81</w:t>
            </w:r>
            <w:r>
              <w:rPr>
                <w:rFonts w:ascii="Times New Roman" w:hAnsi="Times New Roman" w:cs="Times New Roman"/>
                <w:sz w:val="16"/>
                <w:szCs w:val="16"/>
              </w:rPr>
              <w:br/>
            </w:r>
            <w:r w:rsidRPr="00E656AF">
              <w:rPr>
                <w:rFonts w:ascii="Times New Roman" w:hAnsi="Times New Roman" w:cs="Times New Roman"/>
                <w:sz w:val="16"/>
                <w:szCs w:val="16"/>
              </w:rPr>
              <w:t>(5</w:t>
            </w:r>
            <w:r>
              <w:rPr>
                <w:rFonts w:ascii="Times New Roman" w:hAnsi="Times New Roman" w:cs="Times New Roman"/>
                <w:sz w:val="16"/>
                <w:szCs w:val="16"/>
              </w:rPr>
              <w:t>.</w:t>
            </w:r>
            <w:r w:rsidRPr="00E656AF">
              <w:rPr>
                <w:rFonts w:ascii="Times New Roman" w:hAnsi="Times New Roman" w:cs="Times New Roman"/>
                <w:sz w:val="16"/>
                <w:szCs w:val="16"/>
              </w:rPr>
              <w:t>48%)</w:t>
            </w:r>
          </w:p>
        </w:tc>
        <w:tc>
          <w:tcPr>
            <w:tcW w:w="630" w:type="dxa"/>
          </w:tcPr>
          <w:p w14:paraId="354787FC"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70</w:t>
            </w:r>
          </w:p>
        </w:tc>
        <w:tc>
          <w:tcPr>
            <w:tcW w:w="720" w:type="dxa"/>
          </w:tcPr>
          <w:p w14:paraId="14388F5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91</w:t>
            </w:r>
          </w:p>
        </w:tc>
        <w:tc>
          <w:tcPr>
            <w:tcW w:w="1265" w:type="dxa"/>
          </w:tcPr>
          <w:p w14:paraId="58E09AD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Pr>
                <w:rFonts w:ascii="Times New Roman" w:hAnsi="Times New Roman" w:cs="Times New Roman"/>
                <w:sz w:val="16"/>
                <w:szCs w:val="16"/>
              </w:rPr>
              <w:t>.96</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01)</w:t>
            </w:r>
          </w:p>
        </w:tc>
        <w:tc>
          <w:tcPr>
            <w:tcW w:w="895" w:type="dxa"/>
          </w:tcPr>
          <w:p w14:paraId="3BA0B220"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75</w:t>
            </w:r>
          </w:p>
        </w:tc>
        <w:tc>
          <w:tcPr>
            <w:tcW w:w="866" w:type="dxa"/>
          </w:tcPr>
          <w:p w14:paraId="1EDE39D0"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94</w:t>
            </w:r>
          </w:p>
        </w:tc>
        <w:tc>
          <w:tcPr>
            <w:tcW w:w="810" w:type="dxa"/>
          </w:tcPr>
          <w:p w14:paraId="4E5C9F47"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10</w:t>
            </w:r>
            <w:r>
              <w:rPr>
                <w:rFonts w:ascii="Times New Roman" w:hAnsi="Times New Roman" w:cs="Times New Roman"/>
                <w:sz w:val="16"/>
                <w:szCs w:val="16"/>
              </w:rPr>
              <w:t>.</w:t>
            </w:r>
            <w:r w:rsidRPr="00E656AF">
              <w:rPr>
                <w:rFonts w:ascii="Times New Roman" w:hAnsi="Times New Roman" w:cs="Times New Roman"/>
                <w:sz w:val="16"/>
                <w:szCs w:val="16"/>
              </w:rPr>
              <w:t>06</w:t>
            </w:r>
          </w:p>
        </w:tc>
      </w:tr>
      <w:tr w:rsidR="00C1600A" w:rsidRPr="00E656AF" w14:paraId="5E9D785F"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D0CECE" w:themeFill="background2" w:themeFillShade="E6"/>
          </w:tcPr>
          <w:p w14:paraId="78883652"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35-39</w:t>
            </w:r>
          </w:p>
        </w:tc>
        <w:tc>
          <w:tcPr>
            <w:tcW w:w="1350" w:type="dxa"/>
            <w:shd w:val="clear" w:color="auto" w:fill="D0CECE" w:themeFill="background2" w:themeFillShade="E6"/>
          </w:tcPr>
          <w:p w14:paraId="1C98EE3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49</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32%)</w:t>
            </w:r>
          </w:p>
        </w:tc>
        <w:tc>
          <w:tcPr>
            <w:tcW w:w="630" w:type="dxa"/>
            <w:shd w:val="clear" w:color="auto" w:fill="D0CECE" w:themeFill="background2" w:themeFillShade="E6"/>
          </w:tcPr>
          <w:p w14:paraId="31F7625D"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80</w:t>
            </w:r>
          </w:p>
        </w:tc>
        <w:tc>
          <w:tcPr>
            <w:tcW w:w="720" w:type="dxa"/>
            <w:shd w:val="clear" w:color="auto" w:fill="D0CECE" w:themeFill="background2" w:themeFillShade="E6"/>
          </w:tcPr>
          <w:p w14:paraId="7A854DF7"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93</w:t>
            </w:r>
          </w:p>
        </w:tc>
        <w:tc>
          <w:tcPr>
            <w:tcW w:w="1265" w:type="dxa"/>
            <w:shd w:val="clear" w:color="auto" w:fill="D0CECE" w:themeFill="background2" w:themeFillShade="E6"/>
          </w:tcPr>
          <w:p w14:paraId="670D082C"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.32</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90)</w:t>
            </w:r>
          </w:p>
        </w:tc>
        <w:tc>
          <w:tcPr>
            <w:tcW w:w="895" w:type="dxa"/>
            <w:shd w:val="clear" w:color="auto" w:fill="D0CECE" w:themeFill="background2" w:themeFillShade="E6"/>
          </w:tcPr>
          <w:p w14:paraId="79FF5B2B"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22</w:t>
            </w:r>
          </w:p>
        </w:tc>
        <w:tc>
          <w:tcPr>
            <w:tcW w:w="866" w:type="dxa"/>
            <w:shd w:val="clear" w:color="auto" w:fill="D0CECE" w:themeFill="background2" w:themeFillShade="E6"/>
          </w:tcPr>
          <w:p w14:paraId="545982FF"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32</w:t>
            </w:r>
          </w:p>
        </w:tc>
        <w:tc>
          <w:tcPr>
            <w:tcW w:w="810" w:type="dxa"/>
            <w:shd w:val="clear" w:color="auto" w:fill="D0CECE" w:themeFill="background2" w:themeFillShade="E6"/>
          </w:tcPr>
          <w:p w14:paraId="09034C94"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37</w:t>
            </w:r>
          </w:p>
        </w:tc>
      </w:tr>
      <w:tr w:rsidR="00C1600A" w:rsidRPr="00E656AF" w14:paraId="66BC610C" w14:textId="77777777" w:rsidTr="00522CF4">
        <w:tc>
          <w:tcPr>
            <w:cnfStyle w:val="001000000000" w:firstRow="0" w:lastRow="0" w:firstColumn="1" w:lastColumn="0" w:oddVBand="0" w:evenVBand="0" w:oddHBand="0" w:evenHBand="0" w:firstRowFirstColumn="0" w:firstRowLastColumn="0" w:lastRowFirstColumn="0" w:lastRowLastColumn="0"/>
            <w:tcW w:w="2065" w:type="dxa"/>
          </w:tcPr>
          <w:p w14:paraId="5A1FAD9A"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40-44</w:t>
            </w:r>
          </w:p>
        </w:tc>
        <w:tc>
          <w:tcPr>
            <w:tcW w:w="1350" w:type="dxa"/>
          </w:tcPr>
          <w:p w14:paraId="0C53C5AA"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69</w:t>
            </w:r>
            <w:r>
              <w:rPr>
                <w:rFonts w:ascii="Times New Roman" w:hAnsi="Times New Roman" w:cs="Times New Roman"/>
                <w:sz w:val="16"/>
                <w:szCs w:val="16"/>
              </w:rPr>
              <w:br/>
            </w:r>
            <w:r w:rsidRPr="00E656AF">
              <w:rPr>
                <w:rFonts w:ascii="Times New Roman" w:hAnsi="Times New Roman" w:cs="Times New Roman"/>
                <w:sz w:val="16"/>
                <w:szCs w:val="16"/>
              </w:rPr>
              <w:t>(4</w:t>
            </w:r>
            <w:r>
              <w:rPr>
                <w:rFonts w:ascii="Times New Roman" w:hAnsi="Times New Roman" w:cs="Times New Roman"/>
                <w:sz w:val="16"/>
                <w:szCs w:val="16"/>
              </w:rPr>
              <w:t>.</w:t>
            </w:r>
            <w:r w:rsidRPr="00E656AF">
              <w:rPr>
                <w:rFonts w:ascii="Times New Roman" w:hAnsi="Times New Roman" w:cs="Times New Roman"/>
                <w:sz w:val="16"/>
                <w:szCs w:val="16"/>
              </w:rPr>
              <w:t>67%)</w:t>
            </w:r>
          </w:p>
        </w:tc>
        <w:tc>
          <w:tcPr>
            <w:tcW w:w="630" w:type="dxa"/>
          </w:tcPr>
          <w:p w14:paraId="04D2C0A3"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27</w:t>
            </w:r>
          </w:p>
        </w:tc>
        <w:tc>
          <w:tcPr>
            <w:tcW w:w="720" w:type="dxa"/>
          </w:tcPr>
          <w:p w14:paraId="2434D15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82</w:t>
            </w:r>
          </w:p>
        </w:tc>
        <w:tc>
          <w:tcPr>
            <w:tcW w:w="1265" w:type="dxa"/>
          </w:tcPr>
          <w:p w14:paraId="194F727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.07</w:t>
            </w:r>
            <w:r>
              <w:rPr>
                <w:rFonts w:ascii="Times New Roman" w:hAnsi="Times New Roman" w:cs="Times New Roman"/>
                <w:sz w:val="16"/>
                <w:szCs w:val="16"/>
              </w:rPr>
              <w:br/>
            </w:r>
            <w:r w:rsidRPr="00E656AF">
              <w:rPr>
                <w:rFonts w:ascii="Times New Roman" w:hAnsi="Times New Roman" w:cs="Times New Roman"/>
                <w:sz w:val="16"/>
                <w:szCs w:val="16"/>
              </w:rPr>
              <w:t>(3</w:t>
            </w:r>
            <w:r>
              <w:rPr>
                <w:rFonts w:ascii="Times New Roman" w:hAnsi="Times New Roman" w:cs="Times New Roman"/>
                <w:sz w:val="16"/>
                <w:szCs w:val="16"/>
              </w:rPr>
              <w:t>.</w:t>
            </w:r>
            <w:r w:rsidRPr="00E656AF">
              <w:rPr>
                <w:rFonts w:ascii="Times New Roman" w:hAnsi="Times New Roman" w:cs="Times New Roman"/>
                <w:sz w:val="16"/>
                <w:szCs w:val="16"/>
              </w:rPr>
              <w:t>02)</w:t>
            </w:r>
          </w:p>
        </w:tc>
        <w:tc>
          <w:tcPr>
            <w:tcW w:w="895" w:type="dxa"/>
          </w:tcPr>
          <w:p w14:paraId="17E7D943"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89</w:t>
            </w:r>
          </w:p>
        </w:tc>
        <w:tc>
          <w:tcPr>
            <w:tcW w:w="866" w:type="dxa"/>
          </w:tcPr>
          <w:p w14:paraId="3486AD7E"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41</w:t>
            </w:r>
          </w:p>
        </w:tc>
        <w:tc>
          <w:tcPr>
            <w:tcW w:w="810" w:type="dxa"/>
          </w:tcPr>
          <w:p w14:paraId="2DBA7F8F"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w:t>
            </w:r>
            <w:r>
              <w:rPr>
                <w:rFonts w:ascii="Times New Roman" w:hAnsi="Times New Roman" w:cs="Times New Roman"/>
                <w:sz w:val="16"/>
                <w:szCs w:val="16"/>
              </w:rPr>
              <w:t>.</w:t>
            </w:r>
            <w:r w:rsidRPr="00E656AF">
              <w:rPr>
                <w:rFonts w:ascii="Times New Roman" w:hAnsi="Times New Roman" w:cs="Times New Roman"/>
                <w:sz w:val="16"/>
                <w:szCs w:val="16"/>
              </w:rPr>
              <w:t>95</w:t>
            </w:r>
          </w:p>
        </w:tc>
      </w:tr>
      <w:tr w:rsidR="00C1600A" w:rsidRPr="00E656AF" w14:paraId="185CFD66" w14:textId="77777777" w:rsidTr="0052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bottom w:val="single" w:sz="12" w:space="0" w:color="auto"/>
            </w:tcBorders>
            <w:shd w:val="clear" w:color="auto" w:fill="D0CECE" w:themeFill="background2" w:themeFillShade="E6"/>
          </w:tcPr>
          <w:p w14:paraId="63E3E9DD" w14:textId="77777777" w:rsidR="00C1600A" w:rsidRPr="00E656AF" w:rsidRDefault="00C1600A" w:rsidP="00522CF4">
            <w:pPr>
              <w:rPr>
                <w:rFonts w:ascii="Times New Roman" w:hAnsi="Times New Roman" w:cs="Times New Roman"/>
                <w:b w:val="0"/>
                <w:sz w:val="16"/>
                <w:szCs w:val="16"/>
              </w:rPr>
            </w:pPr>
            <w:r w:rsidRPr="00E656AF">
              <w:rPr>
                <w:rFonts w:ascii="Times New Roman" w:hAnsi="Times New Roman" w:cs="Times New Roman"/>
                <w:b w:val="0"/>
                <w:sz w:val="16"/>
                <w:szCs w:val="16"/>
              </w:rPr>
              <w:t>≥45</w:t>
            </w:r>
          </w:p>
        </w:tc>
        <w:tc>
          <w:tcPr>
            <w:tcW w:w="1350" w:type="dxa"/>
            <w:tcBorders>
              <w:bottom w:val="single" w:sz="12" w:space="0" w:color="auto"/>
            </w:tcBorders>
            <w:shd w:val="clear" w:color="auto" w:fill="D0CECE" w:themeFill="background2" w:themeFillShade="E6"/>
          </w:tcPr>
          <w:p w14:paraId="398FC1B1"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94</w:t>
            </w:r>
            <w:r>
              <w:rPr>
                <w:rFonts w:ascii="Times New Roman" w:hAnsi="Times New Roman" w:cs="Times New Roman"/>
                <w:sz w:val="16"/>
                <w:szCs w:val="16"/>
              </w:rPr>
              <w:br/>
            </w:r>
            <w:r w:rsidRPr="00E656AF">
              <w:rPr>
                <w:rFonts w:ascii="Times New Roman" w:hAnsi="Times New Roman" w:cs="Times New Roman"/>
                <w:sz w:val="16"/>
                <w:szCs w:val="16"/>
              </w:rPr>
              <w:t>(6</w:t>
            </w:r>
            <w:r>
              <w:rPr>
                <w:rFonts w:ascii="Times New Roman" w:hAnsi="Times New Roman" w:cs="Times New Roman"/>
                <w:sz w:val="16"/>
                <w:szCs w:val="16"/>
              </w:rPr>
              <w:t>.</w:t>
            </w:r>
            <w:r w:rsidRPr="00E656AF">
              <w:rPr>
                <w:rFonts w:ascii="Times New Roman" w:hAnsi="Times New Roman" w:cs="Times New Roman"/>
                <w:sz w:val="16"/>
                <w:szCs w:val="16"/>
              </w:rPr>
              <w:t>35%)</w:t>
            </w:r>
          </w:p>
        </w:tc>
        <w:tc>
          <w:tcPr>
            <w:tcW w:w="630" w:type="dxa"/>
            <w:tcBorders>
              <w:bottom w:val="single" w:sz="12" w:space="0" w:color="auto"/>
            </w:tcBorders>
            <w:shd w:val="clear" w:color="auto" w:fill="D0CECE" w:themeFill="background2" w:themeFillShade="E6"/>
          </w:tcPr>
          <w:p w14:paraId="5B06672F"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68</w:t>
            </w:r>
          </w:p>
        </w:tc>
        <w:tc>
          <w:tcPr>
            <w:tcW w:w="720" w:type="dxa"/>
            <w:tcBorders>
              <w:bottom w:val="single" w:sz="12" w:space="0" w:color="auto"/>
            </w:tcBorders>
            <w:shd w:val="clear" w:color="auto" w:fill="D0CECE" w:themeFill="background2" w:themeFillShade="E6"/>
          </w:tcPr>
          <w:p w14:paraId="1FB165A5"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87</w:t>
            </w:r>
          </w:p>
        </w:tc>
        <w:tc>
          <w:tcPr>
            <w:tcW w:w="1265" w:type="dxa"/>
            <w:tcBorders>
              <w:bottom w:val="single" w:sz="12" w:space="0" w:color="auto"/>
            </w:tcBorders>
            <w:shd w:val="clear" w:color="auto" w:fill="D0CECE" w:themeFill="background2" w:themeFillShade="E6"/>
          </w:tcPr>
          <w:p w14:paraId="7395302C"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Pr>
                <w:rFonts w:ascii="Times New Roman" w:hAnsi="Times New Roman" w:cs="Times New Roman"/>
                <w:sz w:val="16"/>
                <w:szCs w:val="16"/>
              </w:rPr>
              <w:t>.96</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16)</w:t>
            </w:r>
          </w:p>
        </w:tc>
        <w:tc>
          <w:tcPr>
            <w:tcW w:w="895" w:type="dxa"/>
            <w:tcBorders>
              <w:bottom w:val="single" w:sz="12" w:space="0" w:color="auto"/>
            </w:tcBorders>
            <w:shd w:val="clear" w:color="auto" w:fill="D0CECE" w:themeFill="background2" w:themeFillShade="E6"/>
          </w:tcPr>
          <w:p w14:paraId="3D6601E5"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55</w:t>
            </w:r>
          </w:p>
        </w:tc>
        <w:tc>
          <w:tcPr>
            <w:tcW w:w="866" w:type="dxa"/>
            <w:tcBorders>
              <w:bottom w:val="single" w:sz="12" w:space="0" w:color="auto"/>
            </w:tcBorders>
            <w:shd w:val="clear" w:color="auto" w:fill="D0CECE" w:themeFill="background2" w:themeFillShade="E6"/>
          </w:tcPr>
          <w:p w14:paraId="0D63760D"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21</w:t>
            </w:r>
          </w:p>
        </w:tc>
        <w:tc>
          <w:tcPr>
            <w:tcW w:w="810" w:type="dxa"/>
            <w:tcBorders>
              <w:bottom w:val="single" w:sz="12" w:space="0" w:color="auto"/>
            </w:tcBorders>
            <w:shd w:val="clear" w:color="auto" w:fill="D0CECE" w:themeFill="background2" w:themeFillShade="E6"/>
          </w:tcPr>
          <w:p w14:paraId="3BB48B9E" w14:textId="77777777" w:rsidR="00C1600A" w:rsidRPr="00E656AF" w:rsidRDefault="00C1600A" w:rsidP="00522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9</w:t>
            </w:r>
            <w:r>
              <w:rPr>
                <w:rFonts w:ascii="Times New Roman" w:hAnsi="Times New Roman" w:cs="Times New Roman"/>
                <w:sz w:val="16"/>
                <w:szCs w:val="16"/>
              </w:rPr>
              <w:t>.</w:t>
            </w:r>
            <w:r w:rsidRPr="00E656AF">
              <w:rPr>
                <w:rFonts w:ascii="Times New Roman" w:hAnsi="Times New Roman" w:cs="Times New Roman"/>
                <w:sz w:val="16"/>
                <w:szCs w:val="16"/>
              </w:rPr>
              <w:t>55</w:t>
            </w:r>
          </w:p>
        </w:tc>
      </w:tr>
      <w:tr w:rsidR="00C1600A" w:rsidRPr="00E656AF" w14:paraId="145F2C2B" w14:textId="77777777" w:rsidTr="00522CF4">
        <w:tc>
          <w:tcPr>
            <w:cnfStyle w:val="001000000000" w:firstRow="0" w:lastRow="0" w:firstColumn="1" w:lastColumn="0" w:oddVBand="0" w:evenVBand="0" w:oddHBand="0" w:evenHBand="0" w:firstRowFirstColumn="0" w:firstRowLastColumn="0" w:lastRowFirstColumn="0" w:lastRowLastColumn="0"/>
            <w:tcW w:w="2065" w:type="dxa"/>
            <w:tcBorders>
              <w:top w:val="single" w:sz="12" w:space="0" w:color="auto"/>
            </w:tcBorders>
          </w:tcPr>
          <w:p w14:paraId="4271F318" w14:textId="77777777" w:rsidR="00C1600A" w:rsidRPr="00E656AF" w:rsidRDefault="00C1600A" w:rsidP="00522CF4">
            <w:pPr>
              <w:rPr>
                <w:rFonts w:ascii="Times New Roman" w:hAnsi="Times New Roman" w:cs="Times New Roman"/>
                <w:sz w:val="16"/>
                <w:szCs w:val="16"/>
              </w:rPr>
            </w:pPr>
            <w:r w:rsidRPr="00E656AF">
              <w:rPr>
                <w:rFonts w:ascii="Times New Roman" w:hAnsi="Times New Roman" w:cs="Times New Roman"/>
                <w:sz w:val="16"/>
                <w:szCs w:val="16"/>
              </w:rPr>
              <w:t>All ages</w:t>
            </w:r>
          </w:p>
        </w:tc>
        <w:tc>
          <w:tcPr>
            <w:tcW w:w="1350" w:type="dxa"/>
            <w:tcBorders>
              <w:top w:val="single" w:sz="12" w:space="0" w:color="auto"/>
            </w:tcBorders>
          </w:tcPr>
          <w:p w14:paraId="2887ACAC"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1478</w:t>
            </w:r>
            <w:r>
              <w:rPr>
                <w:rFonts w:ascii="Times New Roman" w:hAnsi="Times New Roman" w:cs="Times New Roman"/>
                <w:sz w:val="16"/>
                <w:szCs w:val="16"/>
              </w:rPr>
              <w:br/>
            </w:r>
            <w:r w:rsidRPr="00E656AF">
              <w:rPr>
                <w:rFonts w:ascii="Times New Roman" w:hAnsi="Times New Roman" w:cs="Times New Roman"/>
                <w:sz w:val="16"/>
                <w:szCs w:val="16"/>
              </w:rPr>
              <w:t>(100%)</w:t>
            </w:r>
          </w:p>
        </w:tc>
        <w:tc>
          <w:tcPr>
            <w:tcW w:w="630" w:type="dxa"/>
            <w:tcBorders>
              <w:top w:val="single" w:sz="12" w:space="0" w:color="auto"/>
            </w:tcBorders>
          </w:tcPr>
          <w:p w14:paraId="77F80ADD"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27</w:t>
            </w:r>
          </w:p>
        </w:tc>
        <w:tc>
          <w:tcPr>
            <w:tcW w:w="720" w:type="dxa"/>
            <w:tcBorders>
              <w:top w:val="single" w:sz="12" w:space="0" w:color="auto"/>
            </w:tcBorders>
          </w:tcPr>
          <w:p w14:paraId="01C5ABF6"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Pr>
                <w:rFonts w:ascii="Times New Roman" w:hAnsi="Times New Roman" w:cs="Times New Roman"/>
                <w:sz w:val="16"/>
                <w:szCs w:val="16"/>
              </w:rPr>
              <w:t>.</w:t>
            </w:r>
            <w:r w:rsidRPr="00E656AF">
              <w:rPr>
                <w:rFonts w:ascii="Times New Roman" w:hAnsi="Times New Roman" w:cs="Times New Roman"/>
                <w:sz w:val="16"/>
                <w:szCs w:val="16"/>
              </w:rPr>
              <w:t>87</w:t>
            </w:r>
          </w:p>
        </w:tc>
        <w:tc>
          <w:tcPr>
            <w:tcW w:w="1265" w:type="dxa"/>
            <w:tcBorders>
              <w:top w:val="single" w:sz="12" w:space="0" w:color="auto"/>
            </w:tcBorders>
          </w:tcPr>
          <w:p w14:paraId="1762B098"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.12</w:t>
            </w:r>
            <w:r>
              <w:rPr>
                <w:rFonts w:ascii="Times New Roman" w:hAnsi="Times New Roman" w:cs="Times New Roman"/>
                <w:sz w:val="16"/>
                <w:szCs w:val="16"/>
              </w:rPr>
              <w:br/>
            </w: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82)</w:t>
            </w:r>
          </w:p>
        </w:tc>
        <w:tc>
          <w:tcPr>
            <w:tcW w:w="895" w:type="dxa"/>
            <w:tcBorders>
              <w:top w:val="single" w:sz="12" w:space="0" w:color="auto"/>
            </w:tcBorders>
          </w:tcPr>
          <w:p w14:paraId="401D81DA"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Pr>
                <w:rFonts w:ascii="Times New Roman" w:hAnsi="Times New Roman" w:cs="Times New Roman"/>
                <w:sz w:val="16"/>
                <w:szCs w:val="16"/>
              </w:rPr>
              <w:t>.</w:t>
            </w:r>
            <w:r w:rsidRPr="00E656AF">
              <w:rPr>
                <w:rFonts w:ascii="Times New Roman" w:hAnsi="Times New Roman" w:cs="Times New Roman"/>
                <w:sz w:val="16"/>
                <w:szCs w:val="16"/>
              </w:rPr>
              <w:t>93</w:t>
            </w:r>
          </w:p>
        </w:tc>
        <w:tc>
          <w:tcPr>
            <w:tcW w:w="866" w:type="dxa"/>
            <w:tcBorders>
              <w:top w:val="single" w:sz="12" w:space="0" w:color="auto"/>
            </w:tcBorders>
          </w:tcPr>
          <w:p w14:paraId="470B4F61"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8</w:t>
            </w:r>
            <w:r>
              <w:rPr>
                <w:rFonts w:ascii="Times New Roman" w:hAnsi="Times New Roman" w:cs="Times New Roman"/>
                <w:sz w:val="16"/>
                <w:szCs w:val="16"/>
              </w:rPr>
              <w:t>.</w:t>
            </w:r>
            <w:r w:rsidRPr="00E656AF">
              <w:rPr>
                <w:rFonts w:ascii="Times New Roman" w:hAnsi="Times New Roman" w:cs="Times New Roman"/>
                <w:sz w:val="16"/>
                <w:szCs w:val="16"/>
              </w:rPr>
              <w:t>64</w:t>
            </w:r>
          </w:p>
        </w:tc>
        <w:tc>
          <w:tcPr>
            <w:tcW w:w="810" w:type="dxa"/>
            <w:tcBorders>
              <w:top w:val="single" w:sz="12" w:space="0" w:color="auto"/>
            </w:tcBorders>
          </w:tcPr>
          <w:p w14:paraId="17F10525" w14:textId="77777777" w:rsidR="00C1600A" w:rsidRPr="00E656AF" w:rsidRDefault="00C1600A" w:rsidP="00522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11</w:t>
            </w:r>
            <w:r>
              <w:rPr>
                <w:rFonts w:ascii="Times New Roman" w:hAnsi="Times New Roman" w:cs="Times New Roman"/>
                <w:sz w:val="16"/>
                <w:szCs w:val="16"/>
              </w:rPr>
              <w:t>.</w:t>
            </w:r>
            <w:r w:rsidRPr="00E656AF">
              <w:rPr>
                <w:rFonts w:ascii="Times New Roman" w:hAnsi="Times New Roman" w:cs="Times New Roman"/>
                <w:sz w:val="16"/>
                <w:szCs w:val="16"/>
              </w:rPr>
              <w:t>04</w:t>
            </w:r>
          </w:p>
        </w:tc>
      </w:tr>
    </w:tbl>
    <w:p w14:paraId="222E2B4A" w14:textId="77777777" w:rsidR="00C1600A" w:rsidRDefault="00C1600A" w:rsidP="00C1600A">
      <w:pPr>
        <w:rPr>
          <w:rFonts w:ascii="Times New Roman" w:hAnsi="Times New Roman" w:cs="Times New Roman"/>
          <w:b/>
          <w:sz w:val="20"/>
          <w:szCs w:val="20"/>
        </w:rPr>
      </w:pPr>
      <w:r>
        <w:rPr>
          <w:rFonts w:ascii="Times New Roman" w:hAnsi="Times New Roman" w:cs="Times New Roman"/>
          <w:sz w:val="20"/>
          <w:szCs w:val="20"/>
        </w:rPr>
        <w:t xml:space="preserve">Notes: </w:t>
      </w:r>
      <w:r w:rsidRPr="00E656AF">
        <w:rPr>
          <w:rFonts w:ascii="Times New Roman" w:hAnsi="Times New Roman" w:cs="Times New Roman"/>
          <w:sz w:val="20"/>
          <w:szCs w:val="20"/>
        </w:rPr>
        <w:t>Time is expressed in years.</w:t>
      </w:r>
    </w:p>
    <w:p w14:paraId="40254B0F" w14:textId="1652056C" w:rsidR="00C1600A" w:rsidRDefault="00C1600A">
      <w:r>
        <w:br w:type="page"/>
      </w:r>
    </w:p>
    <w:p w14:paraId="63A6CFA8" w14:textId="77777777" w:rsidR="00BA6118" w:rsidRDefault="00BA6118"/>
    <w:p w14:paraId="1AD20D3F" w14:textId="3DA35C7C" w:rsidR="00BA6118" w:rsidRPr="00BA6118" w:rsidRDefault="00BA6118" w:rsidP="00BA6118">
      <w:r w:rsidRPr="00BA6118">
        <w:rPr>
          <w:rFonts w:ascii="Times New Roman" w:eastAsia="Times New Roman" w:hAnsi="Times New Roman" w:cs="Times New Roman"/>
          <w:b/>
          <w:iCs/>
          <w:sz w:val="20"/>
          <w:szCs w:val="20"/>
        </w:rPr>
        <w:t xml:space="preserve">Table </w:t>
      </w:r>
      <w:r w:rsidR="00C1600A">
        <w:rPr>
          <w:rFonts w:ascii="Times New Roman" w:eastAsia="Times New Roman" w:hAnsi="Times New Roman" w:cs="Times New Roman"/>
          <w:b/>
          <w:iCs/>
          <w:sz w:val="20"/>
          <w:szCs w:val="20"/>
        </w:rPr>
        <w:t>S4</w:t>
      </w:r>
      <w:r w:rsidRPr="00BA6118">
        <w:rPr>
          <w:rFonts w:ascii="Times New Roman" w:eastAsia="Times New Roman" w:hAnsi="Times New Roman" w:cs="Times New Roman"/>
          <w:b/>
          <w:iCs/>
          <w:sz w:val="20"/>
          <w:szCs w:val="20"/>
        </w:rPr>
        <w:t>. Crude HIV incidence rates</w:t>
      </w:r>
    </w:p>
    <w:tbl>
      <w:tblPr>
        <w:tblStyle w:val="GridTable1Light1"/>
        <w:tblW w:w="0" w:type="auto"/>
        <w:tblLook w:val="04A0" w:firstRow="1" w:lastRow="0" w:firstColumn="1" w:lastColumn="0" w:noHBand="0" w:noVBand="1"/>
      </w:tblPr>
      <w:tblGrid>
        <w:gridCol w:w="883"/>
        <w:gridCol w:w="2069"/>
        <w:gridCol w:w="1452"/>
        <w:gridCol w:w="1752"/>
        <w:gridCol w:w="3194"/>
      </w:tblGrid>
      <w:tr w:rsidR="00BA6118" w:rsidRPr="00BA6118" w14:paraId="2E3E6FC9" w14:textId="77777777" w:rsidTr="00522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752F93D" w14:textId="77777777" w:rsidR="00BA6118" w:rsidRPr="00BA6118" w:rsidRDefault="00BA6118" w:rsidP="00BA6118">
            <w:pPr>
              <w:jc w:val="center"/>
              <w:rPr>
                <w:rFonts w:ascii="Times New Roman" w:eastAsia="Times New Roman" w:hAnsi="Times New Roman"/>
                <w:sz w:val="20"/>
                <w:szCs w:val="20"/>
              </w:rPr>
            </w:pPr>
            <w:r w:rsidRPr="00BA6118">
              <w:rPr>
                <w:rFonts w:ascii="Times New Roman" w:eastAsia="Times New Roman" w:hAnsi="Times New Roman"/>
                <w:sz w:val="20"/>
                <w:szCs w:val="20"/>
              </w:rPr>
              <w:t>Gender</w:t>
            </w:r>
          </w:p>
        </w:tc>
        <w:tc>
          <w:tcPr>
            <w:tcW w:w="2117" w:type="dxa"/>
            <w:vAlign w:val="center"/>
          </w:tcPr>
          <w:p w14:paraId="15305A5A" w14:textId="77777777" w:rsidR="00BA6118" w:rsidRPr="00BA6118" w:rsidRDefault="00BA6118" w:rsidP="00BA61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456" w:type="dxa"/>
            <w:vAlign w:val="center"/>
          </w:tcPr>
          <w:p w14:paraId="7B06E337" w14:textId="77777777" w:rsidR="00BA6118" w:rsidRPr="00BA6118" w:rsidRDefault="00BA6118" w:rsidP="00BA61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Person-years</w:t>
            </w:r>
          </w:p>
        </w:tc>
        <w:tc>
          <w:tcPr>
            <w:tcW w:w="1769" w:type="dxa"/>
            <w:vAlign w:val="center"/>
          </w:tcPr>
          <w:p w14:paraId="5247C1D8" w14:textId="77777777" w:rsidR="00BA6118" w:rsidRPr="00BA6118" w:rsidRDefault="00BA6118" w:rsidP="00BA61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 xml:space="preserve">HIV </w:t>
            </w:r>
            <w:proofErr w:type="spellStart"/>
            <w:r w:rsidRPr="00BA6118">
              <w:rPr>
                <w:rFonts w:ascii="Times New Roman" w:eastAsia="Times New Roman" w:hAnsi="Times New Roman"/>
                <w:sz w:val="20"/>
                <w:szCs w:val="20"/>
              </w:rPr>
              <w:t>sero</w:t>
            </w:r>
            <w:proofErr w:type="spellEnd"/>
            <w:r w:rsidRPr="00BA6118">
              <w:rPr>
                <w:rFonts w:ascii="Times New Roman" w:eastAsia="Times New Roman" w:hAnsi="Times New Roman"/>
                <w:sz w:val="20"/>
                <w:szCs w:val="20"/>
              </w:rPr>
              <w:t>-conversions (#)</w:t>
            </w:r>
          </w:p>
        </w:tc>
        <w:tc>
          <w:tcPr>
            <w:tcW w:w="3258" w:type="dxa"/>
            <w:vAlign w:val="center"/>
          </w:tcPr>
          <w:p w14:paraId="25E467E4" w14:textId="77777777" w:rsidR="00BA6118" w:rsidRPr="00BA6118" w:rsidRDefault="00BA6118" w:rsidP="00BA61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Crude HIV incidence rate per 100 person-years of observation</w:t>
            </w:r>
          </w:p>
          <w:p w14:paraId="4672694C" w14:textId="77777777" w:rsidR="00BA6118" w:rsidRPr="00BA6118" w:rsidRDefault="00BA6118" w:rsidP="00BA61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(95% CI)</w:t>
            </w:r>
          </w:p>
        </w:tc>
      </w:tr>
      <w:tr w:rsidR="00BA6118" w:rsidRPr="00BA6118" w14:paraId="4E27C3F0"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2C53506E" w14:textId="77777777" w:rsidR="00BA6118" w:rsidRPr="00BA6118" w:rsidRDefault="00BA6118" w:rsidP="00BA6118">
            <w:pPr>
              <w:rPr>
                <w:rFonts w:ascii="Times New Roman" w:eastAsia="Times New Roman" w:hAnsi="Times New Roman"/>
                <w:sz w:val="20"/>
                <w:szCs w:val="20"/>
              </w:rPr>
            </w:pPr>
            <w:r w:rsidRPr="00BA6118">
              <w:rPr>
                <w:rFonts w:ascii="Times New Roman" w:eastAsia="Times New Roman" w:hAnsi="Times New Roman"/>
                <w:sz w:val="20"/>
                <w:szCs w:val="20"/>
              </w:rPr>
              <w:t>Men</w:t>
            </w:r>
          </w:p>
        </w:tc>
        <w:tc>
          <w:tcPr>
            <w:tcW w:w="8600" w:type="dxa"/>
            <w:gridSpan w:val="4"/>
          </w:tcPr>
          <w:p w14:paraId="134160B5"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p>
        </w:tc>
      </w:tr>
      <w:tr w:rsidR="00BA6118" w:rsidRPr="00BA6118" w14:paraId="3E14B0F8"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6694B344" w14:textId="77777777" w:rsidR="00BA6118" w:rsidRPr="00BA6118" w:rsidRDefault="00BA6118" w:rsidP="00BA6118">
            <w:pPr>
              <w:rPr>
                <w:rFonts w:ascii="Times New Roman" w:eastAsia="Times New Roman" w:hAnsi="Times New Roman"/>
                <w:sz w:val="20"/>
                <w:szCs w:val="20"/>
              </w:rPr>
            </w:pPr>
          </w:p>
        </w:tc>
        <w:tc>
          <w:tcPr>
            <w:tcW w:w="8600" w:type="dxa"/>
            <w:gridSpan w:val="4"/>
          </w:tcPr>
          <w:p w14:paraId="71AE12D0"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b/>
                <w:sz w:val="20"/>
                <w:szCs w:val="20"/>
              </w:rPr>
              <w:t>Age stratum (years)</w:t>
            </w:r>
          </w:p>
        </w:tc>
      </w:tr>
      <w:tr w:rsidR="00BA6118" w:rsidRPr="00BA6118" w14:paraId="3192417C"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3AD5FA3A" w14:textId="77777777" w:rsidR="00BA6118" w:rsidRPr="00BA6118" w:rsidRDefault="00BA6118" w:rsidP="00BA6118">
            <w:pPr>
              <w:rPr>
                <w:rFonts w:ascii="Times New Roman" w:eastAsia="Times New Roman" w:hAnsi="Times New Roman"/>
                <w:sz w:val="20"/>
                <w:szCs w:val="20"/>
              </w:rPr>
            </w:pPr>
          </w:p>
        </w:tc>
        <w:tc>
          <w:tcPr>
            <w:tcW w:w="2117" w:type="dxa"/>
          </w:tcPr>
          <w:p w14:paraId="3DED5EA2"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15-19</w:t>
            </w:r>
          </w:p>
        </w:tc>
        <w:tc>
          <w:tcPr>
            <w:tcW w:w="1456" w:type="dxa"/>
          </w:tcPr>
          <w:p w14:paraId="5654455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7908</w:t>
            </w:r>
          </w:p>
        </w:tc>
        <w:tc>
          <w:tcPr>
            <w:tcW w:w="1769" w:type="dxa"/>
          </w:tcPr>
          <w:p w14:paraId="79F5084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72</w:t>
            </w:r>
          </w:p>
        </w:tc>
        <w:tc>
          <w:tcPr>
            <w:tcW w:w="3258" w:type="dxa"/>
          </w:tcPr>
          <w:p w14:paraId="484C48D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0.91 (0.70-1.12)</w:t>
            </w:r>
          </w:p>
        </w:tc>
      </w:tr>
      <w:tr w:rsidR="00BA6118" w:rsidRPr="00BA6118" w14:paraId="4FABC8FF"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2E6F76E" w14:textId="77777777" w:rsidR="00BA6118" w:rsidRPr="00BA6118" w:rsidRDefault="00BA6118" w:rsidP="00BA6118">
            <w:pPr>
              <w:rPr>
                <w:rFonts w:ascii="Times New Roman" w:eastAsia="Times New Roman" w:hAnsi="Times New Roman"/>
                <w:sz w:val="20"/>
                <w:szCs w:val="20"/>
              </w:rPr>
            </w:pPr>
          </w:p>
        </w:tc>
        <w:tc>
          <w:tcPr>
            <w:tcW w:w="2117" w:type="dxa"/>
          </w:tcPr>
          <w:p w14:paraId="01AF1872"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20-24</w:t>
            </w:r>
          </w:p>
        </w:tc>
        <w:tc>
          <w:tcPr>
            <w:tcW w:w="1456" w:type="dxa"/>
          </w:tcPr>
          <w:p w14:paraId="35498CF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5504</w:t>
            </w:r>
          </w:p>
        </w:tc>
        <w:tc>
          <w:tcPr>
            <w:tcW w:w="1769" w:type="dxa"/>
          </w:tcPr>
          <w:p w14:paraId="61B147AE"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203</w:t>
            </w:r>
          </w:p>
        </w:tc>
        <w:tc>
          <w:tcPr>
            <w:tcW w:w="3258" w:type="dxa"/>
          </w:tcPr>
          <w:p w14:paraId="6917C349"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3.69 (3.19-4.19)</w:t>
            </w:r>
          </w:p>
        </w:tc>
      </w:tr>
      <w:tr w:rsidR="00BA6118" w:rsidRPr="00BA6118" w14:paraId="615D9BF0"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0C4AB3AF" w14:textId="77777777" w:rsidR="00BA6118" w:rsidRPr="00BA6118" w:rsidRDefault="00BA6118" w:rsidP="00BA6118">
            <w:pPr>
              <w:rPr>
                <w:rFonts w:ascii="Times New Roman" w:eastAsia="Times New Roman" w:hAnsi="Times New Roman"/>
                <w:sz w:val="20"/>
                <w:szCs w:val="20"/>
              </w:rPr>
            </w:pPr>
          </w:p>
        </w:tc>
        <w:tc>
          <w:tcPr>
            <w:tcW w:w="2117" w:type="dxa"/>
          </w:tcPr>
          <w:p w14:paraId="28DBFA45"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25-29</w:t>
            </w:r>
          </w:p>
        </w:tc>
        <w:tc>
          <w:tcPr>
            <w:tcW w:w="1456" w:type="dxa"/>
          </w:tcPr>
          <w:p w14:paraId="1A1CFDA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2088</w:t>
            </w:r>
          </w:p>
        </w:tc>
        <w:tc>
          <w:tcPr>
            <w:tcW w:w="1769" w:type="dxa"/>
          </w:tcPr>
          <w:p w14:paraId="653C190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121</w:t>
            </w:r>
          </w:p>
        </w:tc>
        <w:tc>
          <w:tcPr>
            <w:tcW w:w="3258" w:type="dxa"/>
          </w:tcPr>
          <w:p w14:paraId="4D9828A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5.79 (4.79-6.80)</w:t>
            </w:r>
          </w:p>
        </w:tc>
      </w:tr>
      <w:tr w:rsidR="00BA6118" w:rsidRPr="00BA6118" w14:paraId="3E270092"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F342246" w14:textId="77777777" w:rsidR="00BA6118" w:rsidRPr="00BA6118" w:rsidRDefault="00BA6118" w:rsidP="00BA6118">
            <w:pPr>
              <w:rPr>
                <w:rFonts w:ascii="Times New Roman" w:eastAsia="Times New Roman" w:hAnsi="Times New Roman"/>
                <w:sz w:val="20"/>
                <w:szCs w:val="20"/>
              </w:rPr>
            </w:pPr>
          </w:p>
        </w:tc>
        <w:tc>
          <w:tcPr>
            <w:tcW w:w="2117" w:type="dxa"/>
          </w:tcPr>
          <w:p w14:paraId="6E13BA55"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30-34</w:t>
            </w:r>
          </w:p>
        </w:tc>
        <w:tc>
          <w:tcPr>
            <w:tcW w:w="1456" w:type="dxa"/>
          </w:tcPr>
          <w:p w14:paraId="05E04618"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1142</w:t>
            </w:r>
          </w:p>
        </w:tc>
        <w:tc>
          <w:tcPr>
            <w:tcW w:w="1769" w:type="dxa"/>
          </w:tcPr>
          <w:p w14:paraId="07EDB9E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44</w:t>
            </w:r>
          </w:p>
        </w:tc>
        <w:tc>
          <w:tcPr>
            <w:tcW w:w="3258" w:type="dxa"/>
          </w:tcPr>
          <w:p w14:paraId="4601625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3.85 (2.74-4.97)</w:t>
            </w:r>
          </w:p>
        </w:tc>
      </w:tr>
      <w:tr w:rsidR="00BA6118" w:rsidRPr="00BA6118" w14:paraId="6AE1C6E1"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794DADC3" w14:textId="77777777" w:rsidR="00BA6118" w:rsidRPr="00BA6118" w:rsidRDefault="00BA6118" w:rsidP="00BA6118">
            <w:pPr>
              <w:rPr>
                <w:rFonts w:ascii="Times New Roman" w:eastAsia="Times New Roman" w:hAnsi="Times New Roman"/>
                <w:sz w:val="20"/>
                <w:szCs w:val="20"/>
              </w:rPr>
            </w:pPr>
          </w:p>
        </w:tc>
        <w:tc>
          <w:tcPr>
            <w:tcW w:w="2117" w:type="dxa"/>
          </w:tcPr>
          <w:p w14:paraId="3410120B"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35-39</w:t>
            </w:r>
          </w:p>
        </w:tc>
        <w:tc>
          <w:tcPr>
            <w:tcW w:w="1456" w:type="dxa"/>
          </w:tcPr>
          <w:p w14:paraId="679101BE"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951</w:t>
            </w:r>
          </w:p>
        </w:tc>
        <w:tc>
          <w:tcPr>
            <w:tcW w:w="1769" w:type="dxa"/>
          </w:tcPr>
          <w:p w14:paraId="40FCB662"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34</w:t>
            </w:r>
          </w:p>
        </w:tc>
        <w:tc>
          <w:tcPr>
            <w:tcW w:w="3258" w:type="dxa"/>
          </w:tcPr>
          <w:p w14:paraId="39ED97B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3.57 (2.39-4.75)</w:t>
            </w:r>
          </w:p>
        </w:tc>
      </w:tr>
      <w:tr w:rsidR="00BA6118" w:rsidRPr="00BA6118" w14:paraId="39AC1665"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7297948E" w14:textId="77777777" w:rsidR="00BA6118" w:rsidRPr="00BA6118" w:rsidRDefault="00BA6118" w:rsidP="00BA6118">
            <w:pPr>
              <w:rPr>
                <w:rFonts w:ascii="Times New Roman" w:eastAsia="Times New Roman" w:hAnsi="Times New Roman"/>
                <w:sz w:val="20"/>
                <w:szCs w:val="20"/>
              </w:rPr>
            </w:pPr>
          </w:p>
        </w:tc>
        <w:tc>
          <w:tcPr>
            <w:tcW w:w="2117" w:type="dxa"/>
          </w:tcPr>
          <w:p w14:paraId="3C2AFE4D"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40-44</w:t>
            </w:r>
          </w:p>
        </w:tc>
        <w:tc>
          <w:tcPr>
            <w:tcW w:w="1456" w:type="dxa"/>
          </w:tcPr>
          <w:p w14:paraId="586AAD68"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1100</w:t>
            </w:r>
          </w:p>
        </w:tc>
        <w:tc>
          <w:tcPr>
            <w:tcW w:w="1769" w:type="dxa"/>
          </w:tcPr>
          <w:p w14:paraId="0F8B5C08"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30</w:t>
            </w:r>
          </w:p>
        </w:tc>
        <w:tc>
          <w:tcPr>
            <w:tcW w:w="3258" w:type="dxa"/>
          </w:tcPr>
          <w:p w14:paraId="70564BE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2.72 (1.76-3.69)</w:t>
            </w:r>
          </w:p>
        </w:tc>
      </w:tr>
      <w:tr w:rsidR="00BA6118" w:rsidRPr="00BA6118" w14:paraId="602D160E"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19E4033A" w14:textId="77777777" w:rsidR="00BA6118" w:rsidRPr="00BA6118" w:rsidRDefault="00BA6118" w:rsidP="00BA6118">
            <w:pPr>
              <w:rPr>
                <w:rFonts w:ascii="Times New Roman" w:eastAsia="Times New Roman" w:hAnsi="Times New Roman"/>
                <w:sz w:val="20"/>
                <w:szCs w:val="20"/>
              </w:rPr>
            </w:pPr>
          </w:p>
        </w:tc>
        <w:tc>
          <w:tcPr>
            <w:tcW w:w="2117" w:type="dxa"/>
          </w:tcPr>
          <w:p w14:paraId="5B5C7613"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≥45</w:t>
            </w:r>
          </w:p>
        </w:tc>
        <w:tc>
          <w:tcPr>
            <w:tcW w:w="1456" w:type="dxa"/>
          </w:tcPr>
          <w:p w14:paraId="052AA4F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6589</w:t>
            </w:r>
          </w:p>
        </w:tc>
        <w:tc>
          <w:tcPr>
            <w:tcW w:w="1769" w:type="dxa"/>
          </w:tcPr>
          <w:p w14:paraId="5007B7C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43</w:t>
            </w:r>
          </w:p>
        </w:tc>
        <w:tc>
          <w:tcPr>
            <w:tcW w:w="3258" w:type="dxa"/>
          </w:tcPr>
          <w:p w14:paraId="53222688"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0.65 (0.46-0.85)</w:t>
            </w:r>
          </w:p>
        </w:tc>
      </w:tr>
      <w:tr w:rsidR="00BA6118" w:rsidRPr="00BA6118" w14:paraId="2D2E3481" w14:textId="77777777" w:rsidTr="00522CF4">
        <w:tc>
          <w:tcPr>
            <w:cnfStyle w:val="001000000000" w:firstRow="0" w:lastRow="0" w:firstColumn="1" w:lastColumn="0" w:oddVBand="0" w:evenVBand="0" w:oddHBand="0" w:evenHBand="0" w:firstRowFirstColumn="0" w:firstRowLastColumn="0" w:lastRowFirstColumn="0" w:lastRowLastColumn="0"/>
            <w:tcW w:w="750" w:type="dxa"/>
            <w:vAlign w:val="center"/>
          </w:tcPr>
          <w:p w14:paraId="3CB41172" w14:textId="77777777" w:rsidR="00BA6118" w:rsidRPr="00BA6118" w:rsidRDefault="00BA6118" w:rsidP="00BA6118">
            <w:pPr>
              <w:rPr>
                <w:rFonts w:ascii="Times New Roman" w:eastAsia="Times New Roman" w:hAnsi="Times New Roman"/>
                <w:sz w:val="20"/>
                <w:szCs w:val="20"/>
              </w:rPr>
            </w:pPr>
          </w:p>
        </w:tc>
        <w:tc>
          <w:tcPr>
            <w:tcW w:w="8600" w:type="dxa"/>
            <w:gridSpan w:val="4"/>
            <w:vAlign w:val="center"/>
          </w:tcPr>
          <w:p w14:paraId="630E0DA4"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b/>
                <w:sz w:val="20"/>
                <w:szCs w:val="20"/>
              </w:rPr>
              <w:t>Calendar year</w:t>
            </w:r>
          </w:p>
        </w:tc>
      </w:tr>
      <w:tr w:rsidR="00BA6118" w:rsidRPr="00BA6118" w14:paraId="315FD5E2"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60A1103A" w14:textId="77777777" w:rsidR="00BA6118" w:rsidRPr="00BA6118" w:rsidRDefault="00BA6118" w:rsidP="00BA6118">
            <w:pPr>
              <w:rPr>
                <w:rFonts w:ascii="Times New Roman" w:eastAsia="Times New Roman" w:hAnsi="Times New Roman"/>
                <w:sz w:val="20"/>
                <w:szCs w:val="20"/>
              </w:rPr>
            </w:pPr>
          </w:p>
        </w:tc>
        <w:tc>
          <w:tcPr>
            <w:tcW w:w="2117" w:type="dxa"/>
          </w:tcPr>
          <w:p w14:paraId="1DF87955"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2004</w:t>
            </w:r>
          </w:p>
        </w:tc>
        <w:tc>
          <w:tcPr>
            <w:tcW w:w="1456" w:type="dxa"/>
          </w:tcPr>
          <w:p w14:paraId="605379C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1618</w:t>
            </w:r>
          </w:p>
        </w:tc>
        <w:tc>
          <w:tcPr>
            <w:tcW w:w="1769" w:type="dxa"/>
          </w:tcPr>
          <w:p w14:paraId="7D74E26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35</w:t>
            </w:r>
          </w:p>
        </w:tc>
        <w:tc>
          <w:tcPr>
            <w:tcW w:w="3258" w:type="dxa"/>
          </w:tcPr>
          <w:p w14:paraId="081F3C7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2.16 (1.45-2.87)</w:t>
            </w:r>
          </w:p>
        </w:tc>
      </w:tr>
      <w:tr w:rsidR="00BA6118" w:rsidRPr="00BA6118" w14:paraId="10BC6835"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449D1678" w14:textId="77777777" w:rsidR="00BA6118" w:rsidRPr="00BA6118" w:rsidRDefault="00BA6118" w:rsidP="00BA6118">
            <w:pPr>
              <w:rPr>
                <w:rFonts w:ascii="Times New Roman" w:eastAsia="Times New Roman" w:hAnsi="Times New Roman"/>
                <w:sz w:val="20"/>
                <w:szCs w:val="20"/>
              </w:rPr>
            </w:pPr>
          </w:p>
        </w:tc>
        <w:tc>
          <w:tcPr>
            <w:tcW w:w="2117" w:type="dxa"/>
          </w:tcPr>
          <w:p w14:paraId="5973CB7D"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2005</w:t>
            </w:r>
          </w:p>
        </w:tc>
        <w:tc>
          <w:tcPr>
            <w:tcW w:w="1456" w:type="dxa"/>
          </w:tcPr>
          <w:p w14:paraId="4A5268B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2416</w:t>
            </w:r>
          </w:p>
        </w:tc>
        <w:tc>
          <w:tcPr>
            <w:tcW w:w="1769" w:type="dxa"/>
          </w:tcPr>
          <w:p w14:paraId="5687A99D"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25</w:t>
            </w:r>
          </w:p>
        </w:tc>
        <w:tc>
          <w:tcPr>
            <w:tcW w:w="3258" w:type="dxa"/>
          </w:tcPr>
          <w:p w14:paraId="2D82DF4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1.03 (0.63-1.44)</w:t>
            </w:r>
          </w:p>
        </w:tc>
      </w:tr>
      <w:tr w:rsidR="00BA6118" w:rsidRPr="00BA6118" w14:paraId="267C85B7"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26F682AF" w14:textId="77777777" w:rsidR="00BA6118" w:rsidRPr="00BA6118" w:rsidRDefault="00BA6118" w:rsidP="00BA6118">
            <w:pPr>
              <w:rPr>
                <w:rFonts w:ascii="Times New Roman" w:eastAsia="Times New Roman" w:hAnsi="Times New Roman"/>
                <w:sz w:val="20"/>
                <w:szCs w:val="20"/>
              </w:rPr>
            </w:pPr>
          </w:p>
        </w:tc>
        <w:tc>
          <w:tcPr>
            <w:tcW w:w="2117" w:type="dxa"/>
          </w:tcPr>
          <w:p w14:paraId="5A004DB6"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2006</w:t>
            </w:r>
          </w:p>
        </w:tc>
        <w:tc>
          <w:tcPr>
            <w:tcW w:w="1456" w:type="dxa"/>
          </w:tcPr>
          <w:p w14:paraId="58B22CA9"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2665</w:t>
            </w:r>
          </w:p>
        </w:tc>
        <w:tc>
          <w:tcPr>
            <w:tcW w:w="1769" w:type="dxa"/>
          </w:tcPr>
          <w:p w14:paraId="46683EA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67</w:t>
            </w:r>
          </w:p>
        </w:tc>
        <w:tc>
          <w:tcPr>
            <w:tcW w:w="3258" w:type="dxa"/>
          </w:tcPr>
          <w:p w14:paraId="2838CF7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2.51 (1.92-3.11)</w:t>
            </w:r>
          </w:p>
        </w:tc>
      </w:tr>
      <w:tr w:rsidR="00BA6118" w:rsidRPr="00BA6118" w14:paraId="69FC0D7C"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122283C4" w14:textId="77777777" w:rsidR="00BA6118" w:rsidRPr="00BA6118" w:rsidRDefault="00BA6118" w:rsidP="00BA6118">
            <w:pPr>
              <w:rPr>
                <w:rFonts w:ascii="Times New Roman" w:eastAsia="Times New Roman" w:hAnsi="Times New Roman"/>
                <w:sz w:val="20"/>
                <w:szCs w:val="20"/>
              </w:rPr>
            </w:pPr>
          </w:p>
        </w:tc>
        <w:tc>
          <w:tcPr>
            <w:tcW w:w="2117" w:type="dxa"/>
          </w:tcPr>
          <w:p w14:paraId="5125B837"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2007</w:t>
            </w:r>
          </w:p>
        </w:tc>
        <w:tc>
          <w:tcPr>
            <w:tcW w:w="1456" w:type="dxa"/>
          </w:tcPr>
          <w:p w14:paraId="2F18F0C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2877</w:t>
            </w:r>
          </w:p>
        </w:tc>
        <w:tc>
          <w:tcPr>
            <w:tcW w:w="1769" w:type="dxa"/>
          </w:tcPr>
          <w:p w14:paraId="6ADA7B4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73</w:t>
            </w:r>
          </w:p>
        </w:tc>
        <w:tc>
          <w:tcPr>
            <w:tcW w:w="3258" w:type="dxa"/>
          </w:tcPr>
          <w:p w14:paraId="5AB8435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2.54 (1.96-3.11)</w:t>
            </w:r>
          </w:p>
        </w:tc>
      </w:tr>
      <w:tr w:rsidR="00BA6118" w:rsidRPr="00BA6118" w14:paraId="318900B5"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059E46AF" w14:textId="77777777" w:rsidR="00BA6118" w:rsidRPr="00BA6118" w:rsidRDefault="00BA6118" w:rsidP="00BA6118">
            <w:pPr>
              <w:rPr>
                <w:rFonts w:ascii="Times New Roman" w:eastAsia="Times New Roman" w:hAnsi="Times New Roman"/>
                <w:sz w:val="20"/>
                <w:szCs w:val="20"/>
              </w:rPr>
            </w:pPr>
          </w:p>
        </w:tc>
        <w:tc>
          <w:tcPr>
            <w:tcW w:w="2117" w:type="dxa"/>
          </w:tcPr>
          <w:p w14:paraId="240A6BFC"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2008</w:t>
            </w:r>
          </w:p>
        </w:tc>
        <w:tc>
          <w:tcPr>
            <w:tcW w:w="1456" w:type="dxa"/>
          </w:tcPr>
          <w:p w14:paraId="3EDD762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3114</w:t>
            </w:r>
          </w:p>
        </w:tc>
        <w:tc>
          <w:tcPr>
            <w:tcW w:w="1769" w:type="dxa"/>
          </w:tcPr>
          <w:p w14:paraId="510B1E5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82</w:t>
            </w:r>
          </w:p>
        </w:tc>
        <w:tc>
          <w:tcPr>
            <w:tcW w:w="3258" w:type="dxa"/>
          </w:tcPr>
          <w:p w14:paraId="3298F8AE"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2.63 (2.07-3.20)</w:t>
            </w:r>
          </w:p>
        </w:tc>
      </w:tr>
      <w:tr w:rsidR="00BA6118" w:rsidRPr="00BA6118" w14:paraId="60EF47A6"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6FECDCE5" w14:textId="77777777" w:rsidR="00BA6118" w:rsidRPr="00BA6118" w:rsidRDefault="00BA6118" w:rsidP="00BA6118">
            <w:pPr>
              <w:rPr>
                <w:rFonts w:ascii="Times New Roman" w:eastAsia="Times New Roman" w:hAnsi="Times New Roman"/>
                <w:sz w:val="20"/>
                <w:szCs w:val="20"/>
              </w:rPr>
            </w:pPr>
          </w:p>
        </w:tc>
        <w:tc>
          <w:tcPr>
            <w:tcW w:w="2117" w:type="dxa"/>
          </w:tcPr>
          <w:p w14:paraId="6CE31F6C"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2009</w:t>
            </w:r>
          </w:p>
        </w:tc>
        <w:tc>
          <w:tcPr>
            <w:tcW w:w="1456" w:type="dxa"/>
          </w:tcPr>
          <w:p w14:paraId="6039512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2963</w:t>
            </w:r>
          </w:p>
        </w:tc>
        <w:tc>
          <w:tcPr>
            <w:tcW w:w="1769" w:type="dxa"/>
          </w:tcPr>
          <w:p w14:paraId="11EBBDD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84</w:t>
            </w:r>
          </w:p>
        </w:tc>
        <w:tc>
          <w:tcPr>
            <w:tcW w:w="3258" w:type="dxa"/>
          </w:tcPr>
          <w:p w14:paraId="1BDF4F3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2.83 (2.24-3.43)</w:t>
            </w:r>
          </w:p>
        </w:tc>
      </w:tr>
      <w:tr w:rsidR="00BA6118" w:rsidRPr="00BA6118" w14:paraId="5C13F814"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69C9481" w14:textId="77777777" w:rsidR="00BA6118" w:rsidRPr="00BA6118" w:rsidRDefault="00BA6118" w:rsidP="00BA6118">
            <w:pPr>
              <w:rPr>
                <w:rFonts w:ascii="Times New Roman" w:eastAsia="Times New Roman" w:hAnsi="Times New Roman"/>
                <w:sz w:val="20"/>
                <w:szCs w:val="20"/>
              </w:rPr>
            </w:pPr>
          </w:p>
        </w:tc>
        <w:tc>
          <w:tcPr>
            <w:tcW w:w="2117" w:type="dxa"/>
          </w:tcPr>
          <w:p w14:paraId="4FF9F39A"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2010</w:t>
            </w:r>
          </w:p>
        </w:tc>
        <w:tc>
          <w:tcPr>
            <w:tcW w:w="1456" w:type="dxa"/>
          </w:tcPr>
          <w:p w14:paraId="4303338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2815</w:t>
            </w:r>
          </w:p>
        </w:tc>
        <w:tc>
          <w:tcPr>
            <w:tcW w:w="1769" w:type="dxa"/>
          </w:tcPr>
          <w:p w14:paraId="6CDBF6E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57</w:t>
            </w:r>
          </w:p>
        </w:tc>
        <w:tc>
          <w:tcPr>
            <w:tcW w:w="3258" w:type="dxa"/>
          </w:tcPr>
          <w:p w14:paraId="4D9B5B8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2.02 (1.50-2.54)</w:t>
            </w:r>
          </w:p>
        </w:tc>
      </w:tr>
      <w:tr w:rsidR="00BA6118" w:rsidRPr="00BA6118" w14:paraId="08D0DEE4"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0520F887" w14:textId="77777777" w:rsidR="00BA6118" w:rsidRPr="00BA6118" w:rsidRDefault="00BA6118" w:rsidP="00BA6118">
            <w:pPr>
              <w:rPr>
                <w:rFonts w:ascii="Times New Roman" w:eastAsia="Times New Roman" w:hAnsi="Times New Roman"/>
                <w:sz w:val="20"/>
                <w:szCs w:val="20"/>
              </w:rPr>
            </w:pPr>
          </w:p>
        </w:tc>
        <w:tc>
          <w:tcPr>
            <w:tcW w:w="2117" w:type="dxa"/>
          </w:tcPr>
          <w:p w14:paraId="5CEAFDAD"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2011</w:t>
            </w:r>
          </w:p>
        </w:tc>
        <w:tc>
          <w:tcPr>
            <w:tcW w:w="1456" w:type="dxa"/>
          </w:tcPr>
          <w:p w14:paraId="3E12BD4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2458</w:t>
            </w:r>
          </w:p>
        </w:tc>
        <w:tc>
          <w:tcPr>
            <w:tcW w:w="1769" w:type="dxa"/>
          </w:tcPr>
          <w:p w14:paraId="6FF30D3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53</w:t>
            </w:r>
          </w:p>
        </w:tc>
        <w:tc>
          <w:tcPr>
            <w:tcW w:w="3258" w:type="dxa"/>
          </w:tcPr>
          <w:p w14:paraId="5A4E4C4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2.16 (1.58-2.73)</w:t>
            </w:r>
          </w:p>
        </w:tc>
      </w:tr>
      <w:tr w:rsidR="00BA6118" w:rsidRPr="00BA6118" w14:paraId="66B28FD7"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00392EA" w14:textId="77777777" w:rsidR="00BA6118" w:rsidRPr="00BA6118" w:rsidRDefault="00BA6118" w:rsidP="00BA6118">
            <w:pPr>
              <w:rPr>
                <w:rFonts w:ascii="Times New Roman" w:eastAsia="Times New Roman" w:hAnsi="Times New Roman"/>
                <w:sz w:val="20"/>
                <w:szCs w:val="20"/>
              </w:rPr>
            </w:pPr>
          </w:p>
        </w:tc>
        <w:tc>
          <w:tcPr>
            <w:tcW w:w="2117" w:type="dxa"/>
          </w:tcPr>
          <w:p w14:paraId="3427FCCA"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2012</w:t>
            </w:r>
          </w:p>
        </w:tc>
        <w:tc>
          <w:tcPr>
            <w:tcW w:w="1456" w:type="dxa"/>
          </w:tcPr>
          <w:p w14:paraId="7D19ACC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2121</w:t>
            </w:r>
          </w:p>
        </w:tc>
        <w:tc>
          <w:tcPr>
            <w:tcW w:w="1769" w:type="dxa"/>
          </w:tcPr>
          <w:p w14:paraId="5D06D8A9"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45</w:t>
            </w:r>
          </w:p>
        </w:tc>
        <w:tc>
          <w:tcPr>
            <w:tcW w:w="3258" w:type="dxa"/>
          </w:tcPr>
          <w:p w14:paraId="6AB2C168"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2.12 (1.51-2.73)</w:t>
            </w:r>
          </w:p>
        </w:tc>
      </w:tr>
      <w:tr w:rsidR="00BA6118" w:rsidRPr="00BA6118" w14:paraId="349B3A6A"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6B451BDF" w14:textId="77777777" w:rsidR="00BA6118" w:rsidRPr="00BA6118" w:rsidRDefault="00BA6118" w:rsidP="00BA6118">
            <w:pPr>
              <w:rPr>
                <w:rFonts w:ascii="Times New Roman" w:eastAsia="Times New Roman" w:hAnsi="Times New Roman"/>
                <w:sz w:val="20"/>
                <w:szCs w:val="20"/>
              </w:rPr>
            </w:pPr>
          </w:p>
        </w:tc>
        <w:tc>
          <w:tcPr>
            <w:tcW w:w="2117" w:type="dxa"/>
          </w:tcPr>
          <w:p w14:paraId="554B2203"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2013</w:t>
            </w:r>
          </w:p>
        </w:tc>
        <w:tc>
          <w:tcPr>
            <w:tcW w:w="1456" w:type="dxa"/>
          </w:tcPr>
          <w:p w14:paraId="3E64AB6D"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1603</w:t>
            </w:r>
          </w:p>
        </w:tc>
        <w:tc>
          <w:tcPr>
            <w:tcW w:w="1769" w:type="dxa"/>
          </w:tcPr>
          <w:p w14:paraId="3711426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24</w:t>
            </w:r>
          </w:p>
        </w:tc>
        <w:tc>
          <w:tcPr>
            <w:tcW w:w="3258" w:type="dxa"/>
          </w:tcPr>
          <w:p w14:paraId="2C2C252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1.50 (0.90-2.09)</w:t>
            </w:r>
          </w:p>
        </w:tc>
      </w:tr>
      <w:tr w:rsidR="00BA6118" w:rsidRPr="00BA6118" w14:paraId="2C9F136A"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421CD324" w14:textId="77777777" w:rsidR="00BA6118" w:rsidRPr="00BA6118" w:rsidRDefault="00BA6118" w:rsidP="00BA6118">
            <w:pPr>
              <w:rPr>
                <w:rFonts w:ascii="Times New Roman" w:eastAsia="Times New Roman" w:hAnsi="Times New Roman"/>
                <w:sz w:val="20"/>
                <w:szCs w:val="20"/>
              </w:rPr>
            </w:pPr>
          </w:p>
        </w:tc>
        <w:tc>
          <w:tcPr>
            <w:tcW w:w="2117" w:type="dxa"/>
          </w:tcPr>
          <w:p w14:paraId="66DCF5BA"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2014</w:t>
            </w:r>
          </w:p>
        </w:tc>
        <w:tc>
          <w:tcPr>
            <w:tcW w:w="1456" w:type="dxa"/>
          </w:tcPr>
          <w:p w14:paraId="45CBBEC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629</w:t>
            </w:r>
          </w:p>
        </w:tc>
        <w:tc>
          <w:tcPr>
            <w:tcW w:w="1769" w:type="dxa"/>
          </w:tcPr>
          <w:p w14:paraId="3461D85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w:t>
            </w:r>
          </w:p>
        </w:tc>
        <w:tc>
          <w:tcPr>
            <w:tcW w:w="3258" w:type="dxa"/>
          </w:tcPr>
          <w:p w14:paraId="28B46BF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0.32 (0-0.76)</w:t>
            </w:r>
          </w:p>
        </w:tc>
      </w:tr>
      <w:tr w:rsidR="00BA6118" w:rsidRPr="00BA6118" w14:paraId="0B5BC557"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6DB888D2" w14:textId="77777777" w:rsidR="00BA6118" w:rsidRPr="00BA6118" w:rsidRDefault="00BA6118" w:rsidP="00BA6118">
            <w:pPr>
              <w:rPr>
                <w:rFonts w:ascii="Times New Roman" w:eastAsia="Times New Roman" w:hAnsi="Times New Roman"/>
                <w:sz w:val="20"/>
                <w:szCs w:val="20"/>
              </w:rPr>
            </w:pPr>
            <w:r w:rsidRPr="00BA6118">
              <w:rPr>
                <w:rFonts w:ascii="Times New Roman" w:eastAsia="Times New Roman" w:hAnsi="Times New Roman"/>
                <w:sz w:val="20"/>
                <w:szCs w:val="20"/>
              </w:rPr>
              <w:t>Women</w:t>
            </w:r>
          </w:p>
        </w:tc>
        <w:tc>
          <w:tcPr>
            <w:tcW w:w="2117" w:type="dxa"/>
          </w:tcPr>
          <w:p w14:paraId="5B65CCC9"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456" w:type="dxa"/>
          </w:tcPr>
          <w:p w14:paraId="6B6E157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1769" w:type="dxa"/>
          </w:tcPr>
          <w:p w14:paraId="793A0C8E"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3258" w:type="dxa"/>
          </w:tcPr>
          <w:p w14:paraId="4300A8E2"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r w:rsidR="00BA6118" w:rsidRPr="00BA6118" w14:paraId="2A05D1E8"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AAE48E9" w14:textId="77777777" w:rsidR="00BA6118" w:rsidRPr="00BA6118" w:rsidRDefault="00BA6118" w:rsidP="00BA6118">
            <w:pPr>
              <w:rPr>
                <w:rFonts w:ascii="Times New Roman" w:eastAsia="Times New Roman" w:hAnsi="Times New Roman"/>
                <w:sz w:val="20"/>
                <w:szCs w:val="20"/>
              </w:rPr>
            </w:pPr>
          </w:p>
        </w:tc>
        <w:tc>
          <w:tcPr>
            <w:tcW w:w="8600" w:type="dxa"/>
            <w:gridSpan w:val="4"/>
          </w:tcPr>
          <w:p w14:paraId="6B2FF639"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b/>
                <w:sz w:val="20"/>
                <w:szCs w:val="20"/>
              </w:rPr>
              <w:t>Age stratum (years)</w:t>
            </w:r>
          </w:p>
        </w:tc>
      </w:tr>
      <w:tr w:rsidR="00BA6118" w:rsidRPr="00BA6118" w14:paraId="26CEA795"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3C528C05" w14:textId="77777777" w:rsidR="00BA6118" w:rsidRPr="00BA6118" w:rsidRDefault="00BA6118" w:rsidP="00BA6118">
            <w:pPr>
              <w:rPr>
                <w:rFonts w:ascii="Times New Roman" w:eastAsia="Times New Roman" w:hAnsi="Times New Roman"/>
                <w:sz w:val="20"/>
                <w:szCs w:val="20"/>
              </w:rPr>
            </w:pPr>
          </w:p>
        </w:tc>
        <w:tc>
          <w:tcPr>
            <w:tcW w:w="2117" w:type="dxa"/>
          </w:tcPr>
          <w:p w14:paraId="45D27462"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15-19</w:t>
            </w:r>
          </w:p>
        </w:tc>
        <w:tc>
          <w:tcPr>
            <w:tcW w:w="1456" w:type="dxa"/>
          </w:tcPr>
          <w:p w14:paraId="35C7A1E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7604</w:t>
            </w:r>
          </w:p>
        </w:tc>
        <w:tc>
          <w:tcPr>
            <w:tcW w:w="1769" w:type="dxa"/>
          </w:tcPr>
          <w:p w14:paraId="469AEDA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388</w:t>
            </w:r>
          </w:p>
        </w:tc>
        <w:tc>
          <w:tcPr>
            <w:tcW w:w="3258" w:type="dxa"/>
          </w:tcPr>
          <w:p w14:paraId="409B746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5.10 (4.61-5.60)</w:t>
            </w:r>
          </w:p>
        </w:tc>
      </w:tr>
      <w:tr w:rsidR="00BA6118" w:rsidRPr="00BA6118" w14:paraId="1EFB1BA4"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60FFD020" w14:textId="77777777" w:rsidR="00BA6118" w:rsidRPr="00BA6118" w:rsidRDefault="00BA6118" w:rsidP="00BA6118">
            <w:pPr>
              <w:rPr>
                <w:rFonts w:ascii="Times New Roman" w:eastAsia="Times New Roman" w:hAnsi="Times New Roman"/>
                <w:sz w:val="20"/>
                <w:szCs w:val="20"/>
              </w:rPr>
            </w:pPr>
          </w:p>
        </w:tc>
        <w:tc>
          <w:tcPr>
            <w:tcW w:w="2117" w:type="dxa"/>
          </w:tcPr>
          <w:p w14:paraId="50E04306"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20-24</w:t>
            </w:r>
          </w:p>
        </w:tc>
        <w:tc>
          <w:tcPr>
            <w:tcW w:w="1456" w:type="dxa"/>
          </w:tcPr>
          <w:p w14:paraId="4678307F"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6257</w:t>
            </w:r>
          </w:p>
        </w:tc>
        <w:tc>
          <w:tcPr>
            <w:tcW w:w="1769" w:type="dxa"/>
          </w:tcPr>
          <w:p w14:paraId="0BE9408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570</w:t>
            </w:r>
          </w:p>
        </w:tc>
        <w:tc>
          <w:tcPr>
            <w:tcW w:w="3258" w:type="dxa"/>
          </w:tcPr>
          <w:p w14:paraId="0E5CF3A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9.11 (8.40-9.82)</w:t>
            </w:r>
          </w:p>
        </w:tc>
      </w:tr>
      <w:tr w:rsidR="00BA6118" w:rsidRPr="00BA6118" w14:paraId="624F1BC1"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2260263E" w14:textId="77777777" w:rsidR="00BA6118" w:rsidRPr="00BA6118" w:rsidRDefault="00BA6118" w:rsidP="00BA6118">
            <w:pPr>
              <w:rPr>
                <w:rFonts w:ascii="Times New Roman" w:eastAsia="Times New Roman" w:hAnsi="Times New Roman"/>
                <w:sz w:val="20"/>
                <w:szCs w:val="20"/>
              </w:rPr>
            </w:pPr>
          </w:p>
        </w:tc>
        <w:tc>
          <w:tcPr>
            <w:tcW w:w="2117" w:type="dxa"/>
          </w:tcPr>
          <w:p w14:paraId="5DA7CCD2"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25-29</w:t>
            </w:r>
          </w:p>
        </w:tc>
        <w:tc>
          <w:tcPr>
            <w:tcW w:w="1456" w:type="dxa"/>
          </w:tcPr>
          <w:p w14:paraId="09698C4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ab/>
              <w:t>2732</w:t>
            </w:r>
          </w:p>
        </w:tc>
        <w:tc>
          <w:tcPr>
            <w:tcW w:w="1769" w:type="dxa"/>
          </w:tcPr>
          <w:p w14:paraId="313645A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192</w:t>
            </w:r>
          </w:p>
        </w:tc>
        <w:tc>
          <w:tcPr>
            <w:tcW w:w="3258" w:type="dxa"/>
          </w:tcPr>
          <w:p w14:paraId="0A1BA9D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7.03 (6.07-7.99)</w:t>
            </w:r>
          </w:p>
        </w:tc>
      </w:tr>
      <w:tr w:rsidR="00BA6118" w:rsidRPr="00BA6118" w14:paraId="4A9533CB"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0FE8B0FB" w14:textId="77777777" w:rsidR="00BA6118" w:rsidRPr="00BA6118" w:rsidRDefault="00BA6118" w:rsidP="00BA6118">
            <w:pPr>
              <w:rPr>
                <w:rFonts w:ascii="Times New Roman" w:eastAsia="Times New Roman" w:hAnsi="Times New Roman"/>
                <w:sz w:val="20"/>
                <w:szCs w:val="20"/>
              </w:rPr>
            </w:pPr>
          </w:p>
        </w:tc>
        <w:tc>
          <w:tcPr>
            <w:tcW w:w="2117" w:type="dxa"/>
          </w:tcPr>
          <w:p w14:paraId="6CDA35F1"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30-34</w:t>
            </w:r>
          </w:p>
        </w:tc>
        <w:tc>
          <w:tcPr>
            <w:tcW w:w="1456" w:type="dxa"/>
          </w:tcPr>
          <w:p w14:paraId="0A54579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2106</w:t>
            </w:r>
          </w:p>
        </w:tc>
        <w:tc>
          <w:tcPr>
            <w:tcW w:w="1769" w:type="dxa"/>
          </w:tcPr>
          <w:p w14:paraId="60AFF04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91</w:t>
            </w:r>
          </w:p>
        </w:tc>
        <w:tc>
          <w:tcPr>
            <w:tcW w:w="3258" w:type="dxa"/>
          </w:tcPr>
          <w:p w14:paraId="58A199C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4.32 (3.45-5.19)</w:t>
            </w:r>
          </w:p>
        </w:tc>
      </w:tr>
      <w:tr w:rsidR="00BA6118" w:rsidRPr="00BA6118" w14:paraId="138E6913"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8F0DE0B" w14:textId="77777777" w:rsidR="00BA6118" w:rsidRPr="00BA6118" w:rsidRDefault="00BA6118" w:rsidP="00BA6118">
            <w:pPr>
              <w:rPr>
                <w:rFonts w:ascii="Times New Roman" w:eastAsia="Times New Roman" w:hAnsi="Times New Roman"/>
                <w:sz w:val="20"/>
                <w:szCs w:val="20"/>
              </w:rPr>
            </w:pPr>
          </w:p>
        </w:tc>
        <w:tc>
          <w:tcPr>
            <w:tcW w:w="2117" w:type="dxa"/>
          </w:tcPr>
          <w:p w14:paraId="2B832A08"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35-39</w:t>
            </w:r>
          </w:p>
        </w:tc>
        <w:tc>
          <w:tcPr>
            <w:tcW w:w="1456" w:type="dxa"/>
          </w:tcPr>
          <w:p w14:paraId="61F04D2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2634</w:t>
            </w:r>
          </w:p>
        </w:tc>
        <w:tc>
          <w:tcPr>
            <w:tcW w:w="1769" w:type="dxa"/>
          </w:tcPr>
          <w:p w14:paraId="5ACD69C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56</w:t>
            </w:r>
          </w:p>
        </w:tc>
        <w:tc>
          <w:tcPr>
            <w:tcW w:w="3258" w:type="dxa"/>
          </w:tcPr>
          <w:p w14:paraId="155FB42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2.13 (1.57-2.68)</w:t>
            </w:r>
          </w:p>
        </w:tc>
      </w:tr>
      <w:tr w:rsidR="00BA6118" w:rsidRPr="00BA6118" w14:paraId="36A3756B"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961C6E2" w14:textId="77777777" w:rsidR="00BA6118" w:rsidRPr="00BA6118" w:rsidRDefault="00BA6118" w:rsidP="00BA6118">
            <w:pPr>
              <w:rPr>
                <w:rFonts w:ascii="Times New Roman" w:eastAsia="Times New Roman" w:hAnsi="Times New Roman"/>
                <w:sz w:val="20"/>
                <w:szCs w:val="20"/>
              </w:rPr>
            </w:pPr>
          </w:p>
        </w:tc>
        <w:tc>
          <w:tcPr>
            <w:tcW w:w="2117" w:type="dxa"/>
          </w:tcPr>
          <w:p w14:paraId="1717A2CC"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40-44</w:t>
            </w:r>
          </w:p>
        </w:tc>
        <w:tc>
          <w:tcPr>
            <w:tcW w:w="1456" w:type="dxa"/>
          </w:tcPr>
          <w:p w14:paraId="00CD25A9"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3407</w:t>
            </w:r>
          </w:p>
        </w:tc>
        <w:tc>
          <w:tcPr>
            <w:tcW w:w="1769" w:type="dxa"/>
          </w:tcPr>
          <w:p w14:paraId="592A64B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62</w:t>
            </w:r>
          </w:p>
        </w:tc>
        <w:tc>
          <w:tcPr>
            <w:tcW w:w="3258" w:type="dxa"/>
          </w:tcPr>
          <w:p w14:paraId="4A6598C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1.82 (1.37-2.27)</w:t>
            </w:r>
          </w:p>
        </w:tc>
      </w:tr>
      <w:tr w:rsidR="00BA6118" w:rsidRPr="00BA6118" w14:paraId="36EC5B0F"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37DC6343" w14:textId="77777777" w:rsidR="00BA6118" w:rsidRPr="00BA6118" w:rsidRDefault="00BA6118" w:rsidP="00BA6118">
            <w:pPr>
              <w:rPr>
                <w:rFonts w:ascii="Times New Roman" w:eastAsia="Times New Roman" w:hAnsi="Times New Roman"/>
                <w:sz w:val="20"/>
                <w:szCs w:val="20"/>
              </w:rPr>
            </w:pPr>
          </w:p>
        </w:tc>
        <w:tc>
          <w:tcPr>
            <w:tcW w:w="2117" w:type="dxa"/>
          </w:tcPr>
          <w:p w14:paraId="1CD8CF91"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≥45</w:t>
            </w:r>
          </w:p>
        </w:tc>
        <w:tc>
          <w:tcPr>
            <w:tcW w:w="1456" w:type="dxa"/>
          </w:tcPr>
          <w:p w14:paraId="449FB96E"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20367</w:t>
            </w:r>
          </w:p>
        </w:tc>
        <w:tc>
          <w:tcPr>
            <w:tcW w:w="1769" w:type="dxa"/>
          </w:tcPr>
          <w:p w14:paraId="3E997CF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117</w:t>
            </w:r>
          </w:p>
        </w:tc>
        <w:tc>
          <w:tcPr>
            <w:tcW w:w="3258" w:type="dxa"/>
          </w:tcPr>
          <w:p w14:paraId="215AE412"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0.57 (0.47-0.68)</w:t>
            </w:r>
          </w:p>
        </w:tc>
      </w:tr>
      <w:tr w:rsidR="00BA6118" w:rsidRPr="00BA6118" w14:paraId="25DFA71A" w14:textId="77777777" w:rsidTr="00522CF4">
        <w:tc>
          <w:tcPr>
            <w:cnfStyle w:val="001000000000" w:firstRow="0" w:lastRow="0" w:firstColumn="1" w:lastColumn="0" w:oddVBand="0" w:evenVBand="0" w:oddHBand="0" w:evenHBand="0" w:firstRowFirstColumn="0" w:firstRowLastColumn="0" w:lastRowFirstColumn="0" w:lastRowLastColumn="0"/>
            <w:tcW w:w="750" w:type="dxa"/>
            <w:vAlign w:val="center"/>
          </w:tcPr>
          <w:p w14:paraId="246E2418" w14:textId="77777777" w:rsidR="00BA6118" w:rsidRPr="00BA6118" w:rsidRDefault="00BA6118" w:rsidP="00BA6118">
            <w:pPr>
              <w:rPr>
                <w:rFonts w:ascii="Times New Roman" w:eastAsia="Times New Roman" w:hAnsi="Times New Roman"/>
                <w:sz w:val="20"/>
                <w:szCs w:val="20"/>
              </w:rPr>
            </w:pPr>
          </w:p>
        </w:tc>
        <w:tc>
          <w:tcPr>
            <w:tcW w:w="8600" w:type="dxa"/>
            <w:gridSpan w:val="4"/>
            <w:vAlign w:val="center"/>
          </w:tcPr>
          <w:p w14:paraId="306B77CC"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b/>
                <w:sz w:val="20"/>
                <w:szCs w:val="20"/>
              </w:rPr>
              <w:t>Calendar year</w:t>
            </w:r>
          </w:p>
        </w:tc>
      </w:tr>
      <w:tr w:rsidR="00BA6118" w:rsidRPr="00BA6118" w14:paraId="6CB84648"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101A49B2" w14:textId="77777777" w:rsidR="00BA6118" w:rsidRPr="00BA6118" w:rsidRDefault="00BA6118" w:rsidP="00BA6118">
            <w:pPr>
              <w:rPr>
                <w:rFonts w:ascii="Times New Roman" w:eastAsia="Times New Roman" w:hAnsi="Times New Roman"/>
                <w:sz w:val="20"/>
                <w:szCs w:val="20"/>
              </w:rPr>
            </w:pPr>
          </w:p>
        </w:tc>
        <w:tc>
          <w:tcPr>
            <w:tcW w:w="2117" w:type="dxa"/>
          </w:tcPr>
          <w:p w14:paraId="5B89DC72"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BA6118">
              <w:rPr>
                <w:rFonts w:ascii="Times New Roman" w:eastAsia="Times New Roman" w:hAnsi="Times New Roman"/>
                <w:sz w:val="20"/>
                <w:szCs w:val="20"/>
              </w:rPr>
              <w:t>2004</w:t>
            </w:r>
          </w:p>
        </w:tc>
        <w:tc>
          <w:tcPr>
            <w:tcW w:w="1456" w:type="dxa"/>
          </w:tcPr>
          <w:p w14:paraId="52DAF6C0"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2194</w:t>
            </w:r>
          </w:p>
        </w:tc>
        <w:tc>
          <w:tcPr>
            <w:tcW w:w="1769" w:type="dxa"/>
          </w:tcPr>
          <w:p w14:paraId="35390ED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81</w:t>
            </w:r>
          </w:p>
        </w:tc>
        <w:tc>
          <w:tcPr>
            <w:tcW w:w="3258" w:type="dxa"/>
          </w:tcPr>
          <w:p w14:paraId="68FA7DC8"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3.69 (2.90-4.48)</w:t>
            </w:r>
          </w:p>
        </w:tc>
      </w:tr>
      <w:tr w:rsidR="00BA6118" w:rsidRPr="00BA6118" w14:paraId="635D1CD4"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746D362F" w14:textId="77777777" w:rsidR="00BA6118" w:rsidRPr="00BA6118" w:rsidRDefault="00BA6118" w:rsidP="00BA6118">
            <w:pPr>
              <w:rPr>
                <w:rFonts w:ascii="Times New Roman" w:eastAsia="Times New Roman" w:hAnsi="Times New Roman"/>
                <w:sz w:val="20"/>
                <w:szCs w:val="20"/>
              </w:rPr>
            </w:pPr>
          </w:p>
        </w:tc>
        <w:tc>
          <w:tcPr>
            <w:tcW w:w="2117" w:type="dxa"/>
          </w:tcPr>
          <w:p w14:paraId="1CC496FF"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2005</w:t>
            </w:r>
          </w:p>
        </w:tc>
        <w:tc>
          <w:tcPr>
            <w:tcW w:w="1456" w:type="dxa"/>
          </w:tcPr>
          <w:p w14:paraId="3CE17A19"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3267</w:t>
            </w:r>
          </w:p>
        </w:tc>
        <w:tc>
          <w:tcPr>
            <w:tcW w:w="1769" w:type="dxa"/>
          </w:tcPr>
          <w:p w14:paraId="3115D32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135</w:t>
            </w:r>
          </w:p>
        </w:tc>
        <w:tc>
          <w:tcPr>
            <w:tcW w:w="3258" w:type="dxa"/>
          </w:tcPr>
          <w:p w14:paraId="2D52FA6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4.13 (3.45-4.81)</w:t>
            </w:r>
          </w:p>
        </w:tc>
      </w:tr>
      <w:tr w:rsidR="00BA6118" w:rsidRPr="00BA6118" w14:paraId="600E1502"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0627E1F0" w14:textId="77777777" w:rsidR="00BA6118" w:rsidRPr="00BA6118" w:rsidRDefault="00BA6118" w:rsidP="00BA6118">
            <w:pPr>
              <w:rPr>
                <w:rFonts w:ascii="Times New Roman" w:eastAsia="Times New Roman" w:hAnsi="Times New Roman"/>
                <w:sz w:val="20"/>
                <w:szCs w:val="20"/>
              </w:rPr>
            </w:pPr>
          </w:p>
        </w:tc>
        <w:tc>
          <w:tcPr>
            <w:tcW w:w="2117" w:type="dxa"/>
          </w:tcPr>
          <w:p w14:paraId="43135D66"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2006</w:t>
            </w:r>
          </w:p>
        </w:tc>
        <w:tc>
          <w:tcPr>
            <w:tcW w:w="1456" w:type="dxa"/>
          </w:tcPr>
          <w:p w14:paraId="58F2E82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3664</w:t>
            </w:r>
          </w:p>
        </w:tc>
        <w:tc>
          <w:tcPr>
            <w:tcW w:w="1769" w:type="dxa"/>
          </w:tcPr>
          <w:p w14:paraId="79C0C85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166</w:t>
            </w:r>
          </w:p>
        </w:tc>
        <w:tc>
          <w:tcPr>
            <w:tcW w:w="3258" w:type="dxa"/>
          </w:tcPr>
          <w:p w14:paraId="73D2262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4.53 (3.86-5.20)</w:t>
            </w:r>
          </w:p>
        </w:tc>
      </w:tr>
      <w:tr w:rsidR="00BA6118" w:rsidRPr="00BA6118" w14:paraId="26EF8EC9"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1748D727" w14:textId="77777777" w:rsidR="00BA6118" w:rsidRPr="00BA6118" w:rsidRDefault="00BA6118" w:rsidP="00BA6118">
            <w:pPr>
              <w:rPr>
                <w:rFonts w:ascii="Times New Roman" w:eastAsia="Times New Roman" w:hAnsi="Times New Roman"/>
                <w:sz w:val="20"/>
                <w:szCs w:val="20"/>
              </w:rPr>
            </w:pPr>
          </w:p>
        </w:tc>
        <w:tc>
          <w:tcPr>
            <w:tcW w:w="2117" w:type="dxa"/>
          </w:tcPr>
          <w:p w14:paraId="6072BC72"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2007</w:t>
            </w:r>
          </w:p>
        </w:tc>
        <w:tc>
          <w:tcPr>
            <w:tcW w:w="1456" w:type="dxa"/>
          </w:tcPr>
          <w:p w14:paraId="2CB453FB"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4412</w:t>
            </w:r>
          </w:p>
        </w:tc>
        <w:tc>
          <w:tcPr>
            <w:tcW w:w="1769" w:type="dxa"/>
          </w:tcPr>
          <w:p w14:paraId="1D06939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181</w:t>
            </w:r>
          </w:p>
        </w:tc>
        <w:tc>
          <w:tcPr>
            <w:tcW w:w="3258" w:type="dxa"/>
          </w:tcPr>
          <w:p w14:paraId="20598FD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4.10 (3.52-4.69)</w:t>
            </w:r>
          </w:p>
        </w:tc>
      </w:tr>
      <w:tr w:rsidR="00BA6118" w:rsidRPr="00BA6118" w14:paraId="342E7060"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4F457588" w14:textId="77777777" w:rsidR="00BA6118" w:rsidRPr="00BA6118" w:rsidRDefault="00BA6118" w:rsidP="00BA6118">
            <w:pPr>
              <w:rPr>
                <w:rFonts w:ascii="Times New Roman" w:eastAsia="Times New Roman" w:hAnsi="Times New Roman"/>
                <w:sz w:val="20"/>
                <w:szCs w:val="20"/>
              </w:rPr>
            </w:pPr>
          </w:p>
        </w:tc>
        <w:tc>
          <w:tcPr>
            <w:tcW w:w="2117" w:type="dxa"/>
          </w:tcPr>
          <w:p w14:paraId="36BACB4F"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2008</w:t>
            </w:r>
          </w:p>
        </w:tc>
        <w:tc>
          <w:tcPr>
            <w:tcW w:w="1456" w:type="dxa"/>
          </w:tcPr>
          <w:p w14:paraId="3716549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5309</w:t>
            </w:r>
          </w:p>
        </w:tc>
        <w:tc>
          <w:tcPr>
            <w:tcW w:w="1769" w:type="dxa"/>
          </w:tcPr>
          <w:p w14:paraId="6EB7015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209</w:t>
            </w:r>
          </w:p>
        </w:tc>
        <w:tc>
          <w:tcPr>
            <w:tcW w:w="3258" w:type="dxa"/>
          </w:tcPr>
          <w:p w14:paraId="7DBC199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3.94 (3.41-4.46)</w:t>
            </w:r>
          </w:p>
        </w:tc>
      </w:tr>
      <w:tr w:rsidR="00BA6118" w:rsidRPr="00BA6118" w14:paraId="691E32F8"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7499E777" w14:textId="77777777" w:rsidR="00BA6118" w:rsidRPr="00BA6118" w:rsidRDefault="00BA6118" w:rsidP="00BA6118">
            <w:pPr>
              <w:rPr>
                <w:rFonts w:ascii="Times New Roman" w:eastAsia="Times New Roman" w:hAnsi="Times New Roman"/>
                <w:sz w:val="20"/>
                <w:szCs w:val="20"/>
              </w:rPr>
            </w:pPr>
          </w:p>
        </w:tc>
        <w:tc>
          <w:tcPr>
            <w:tcW w:w="2117" w:type="dxa"/>
          </w:tcPr>
          <w:p w14:paraId="4F51C334"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2009</w:t>
            </w:r>
          </w:p>
        </w:tc>
        <w:tc>
          <w:tcPr>
            <w:tcW w:w="1456" w:type="dxa"/>
          </w:tcPr>
          <w:p w14:paraId="0EBA8F3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5393</w:t>
            </w:r>
          </w:p>
        </w:tc>
        <w:tc>
          <w:tcPr>
            <w:tcW w:w="1769" w:type="dxa"/>
          </w:tcPr>
          <w:p w14:paraId="2614E4FC"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164</w:t>
            </w:r>
          </w:p>
        </w:tc>
        <w:tc>
          <w:tcPr>
            <w:tcW w:w="3258" w:type="dxa"/>
          </w:tcPr>
          <w:p w14:paraId="0AA14D4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3.04 (2.58-3.50)</w:t>
            </w:r>
          </w:p>
        </w:tc>
      </w:tr>
      <w:tr w:rsidR="00BA6118" w:rsidRPr="00BA6118" w14:paraId="44287297"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46964B4E" w14:textId="77777777" w:rsidR="00BA6118" w:rsidRPr="00BA6118" w:rsidRDefault="00BA6118" w:rsidP="00BA6118">
            <w:pPr>
              <w:rPr>
                <w:rFonts w:ascii="Times New Roman" w:eastAsia="Times New Roman" w:hAnsi="Times New Roman"/>
                <w:sz w:val="20"/>
                <w:szCs w:val="20"/>
              </w:rPr>
            </w:pPr>
          </w:p>
        </w:tc>
        <w:tc>
          <w:tcPr>
            <w:tcW w:w="2117" w:type="dxa"/>
          </w:tcPr>
          <w:p w14:paraId="0ED3C8CE"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2010</w:t>
            </w:r>
          </w:p>
        </w:tc>
        <w:tc>
          <w:tcPr>
            <w:tcW w:w="1456" w:type="dxa"/>
          </w:tcPr>
          <w:p w14:paraId="6DCB35AA"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5372</w:t>
            </w:r>
          </w:p>
        </w:tc>
        <w:tc>
          <w:tcPr>
            <w:tcW w:w="1769" w:type="dxa"/>
          </w:tcPr>
          <w:p w14:paraId="27D6A8C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154</w:t>
            </w:r>
          </w:p>
        </w:tc>
        <w:tc>
          <w:tcPr>
            <w:tcW w:w="3258" w:type="dxa"/>
          </w:tcPr>
          <w:p w14:paraId="7114C076"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2.87 (2.42-3.31)</w:t>
            </w:r>
          </w:p>
        </w:tc>
      </w:tr>
      <w:tr w:rsidR="00BA6118" w:rsidRPr="00BA6118" w14:paraId="63FA4E13"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5EC0F148" w14:textId="77777777" w:rsidR="00BA6118" w:rsidRPr="00BA6118" w:rsidRDefault="00BA6118" w:rsidP="00BA6118">
            <w:pPr>
              <w:rPr>
                <w:rFonts w:ascii="Times New Roman" w:eastAsia="Times New Roman" w:hAnsi="Times New Roman"/>
                <w:sz w:val="20"/>
                <w:szCs w:val="20"/>
              </w:rPr>
            </w:pPr>
          </w:p>
        </w:tc>
        <w:tc>
          <w:tcPr>
            <w:tcW w:w="2117" w:type="dxa"/>
          </w:tcPr>
          <w:p w14:paraId="2AF53C9C"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2011</w:t>
            </w:r>
          </w:p>
        </w:tc>
        <w:tc>
          <w:tcPr>
            <w:tcW w:w="1456" w:type="dxa"/>
          </w:tcPr>
          <w:p w14:paraId="1D23044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5127</w:t>
            </w:r>
          </w:p>
        </w:tc>
        <w:tc>
          <w:tcPr>
            <w:tcW w:w="1769" w:type="dxa"/>
          </w:tcPr>
          <w:p w14:paraId="6367652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150</w:t>
            </w:r>
          </w:p>
        </w:tc>
        <w:tc>
          <w:tcPr>
            <w:tcW w:w="3258" w:type="dxa"/>
          </w:tcPr>
          <w:p w14:paraId="109FF803"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2.93 (2.46-3.39)</w:t>
            </w:r>
          </w:p>
        </w:tc>
      </w:tr>
      <w:tr w:rsidR="00BA6118" w:rsidRPr="00BA6118" w14:paraId="55355474"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14921795" w14:textId="77777777" w:rsidR="00BA6118" w:rsidRPr="00BA6118" w:rsidRDefault="00BA6118" w:rsidP="00BA6118">
            <w:pPr>
              <w:rPr>
                <w:rFonts w:ascii="Times New Roman" w:eastAsia="Times New Roman" w:hAnsi="Times New Roman"/>
                <w:sz w:val="20"/>
                <w:szCs w:val="20"/>
              </w:rPr>
            </w:pPr>
          </w:p>
        </w:tc>
        <w:tc>
          <w:tcPr>
            <w:tcW w:w="2117" w:type="dxa"/>
          </w:tcPr>
          <w:p w14:paraId="439F5917"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2012</w:t>
            </w:r>
          </w:p>
        </w:tc>
        <w:tc>
          <w:tcPr>
            <w:tcW w:w="1456" w:type="dxa"/>
          </w:tcPr>
          <w:p w14:paraId="5329966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4770</w:t>
            </w:r>
          </w:p>
        </w:tc>
        <w:tc>
          <w:tcPr>
            <w:tcW w:w="1769" w:type="dxa"/>
          </w:tcPr>
          <w:p w14:paraId="7D7BDF75"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144</w:t>
            </w:r>
          </w:p>
        </w:tc>
        <w:tc>
          <w:tcPr>
            <w:tcW w:w="3258" w:type="dxa"/>
          </w:tcPr>
          <w:p w14:paraId="143876E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3.02 (2.53-3.50)</w:t>
            </w:r>
          </w:p>
        </w:tc>
      </w:tr>
      <w:tr w:rsidR="00BA6118" w:rsidRPr="00BA6118" w14:paraId="489185CE"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79F5C140" w14:textId="77777777" w:rsidR="00BA6118" w:rsidRPr="00BA6118" w:rsidRDefault="00BA6118" w:rsidP="00BA6118">
            <w:pPr>
              <w:rPr>
                <w:rFonts w:ascii="Times New Roman" w:eastAsia="Times New Roman" w:hAnsi="Times New Roman"/>
                <w:sz w:val="20"/>
                <w:szCs w:val="20"/>
              </w:rPr>
            </w:pPr>
          </w:p>
        </w:tc>
        <w:tc>
          <w:tcPr>
            <w:tcW w:w="2117" w:type="dxa"/>
          </w:tcPr>
          <w:p w14:paraId="6403AFA8"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2013</w:t>
            </w:r>
          </w:p>
        </w:tc>
        <w:tc>
          <w:tcPr>
            <w:tcW w:w="1456" w:type="dxa"/>
          </w:tcPr>
          <w:p w14:paraId="7C76A029"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3931</w:t>
            </w:r>
          </w:p>
        </w:tc>
        <w:tc>
          <w:tcPr>
            <w:tcW w:w="1769" w:type="dxa"/>
          </w:tcPr>
          <w:p w14:paraId="6DEB46D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67</w:t>
            </w:r>
          </w:p>
        </w:tc>
        <w:tc>
          <w:tcPr>
            <w:tcW w:w="3258" w:type="dxa"/>
          </w:tcPr>
          <w:p w14:paraId="7608BEED"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1.70 (1.30-2.11)</w:t>
            </w:r>
          </w:p>
        </w:tc>
      </w:tr>
      <w:tr w:rsidR="00BA6118" w:rsidRPr="00BA6118" w14:paraId="27F25368" w14:textId="77777777" w:rsidTr="00522CF4">
        <w:tc>
          <w:tcPr>
            <w:cnfStyle w:val="001000000000" w:firstRow="0" w:lastRow="0" w:firstColumn="1" w:lastColumn="0" w:oddVBand="0" w:evenVBand="0" w:oddHBand="0" w:evenHBand="0" w:firstRowFirstColumn="0" w:firstRowLastColumn="0" w:lastRowFirstColumn="0" w:lastRowLastColumn="0"/>
            <w:tcW w:w="750" w:type="dxa"/>
          </w:tcPr>
          <w:p w14:paraId="11C7057B" w14:textId="77777777" w:rsidR="00BA6118" w:rsidRPr="00BA6118" w:rsidRDefault="00BA6118" w:rsidP="00BA6118">
            <w:pPr>
              <w:rPr>
                <w:rFonts w:ascii="Times New Roman" w:eastAsia="Times New Roman" w:hAnsi="Times New Roman"/>
                <w:sz w:val="20"/>
                <w:szCs w:val="20"/>
              </w:rPr>
            </w:pPr>
          </w:p>
        </w:tc>
        <w:tc>
          <w:tcPr>
            <w:tcW w:w="2117" w:type="dxa"/>
          </w:tcPr>
          <w:p w14:paraId="1B2A0AC4" w14:textId="77777777" w:rsidR="00BA6118" w:rsidRPr="00BA6118" w:rsidRDefault="00BA6118" w:rsidP="00BA61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2014</w:t>
            </w:r>
          </w:p>
        </w:tc>
        <w:tc>
          <w:tcPr>
            <w:tcW w:w="1456" w:type="dxa"/>
          </w:tcPr>
          <w:p w14:paraId="36EBB4D4"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1667</w:t>
            </w:r>
          </w:p>
        </w:tc>
        <w:tc>
          <w:tcPr>
            <w:tcW w:w="1769" w:type="dxa"/>
          </w:tcPr>
          <w:p w14:paraId="0B8508A1"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25</w:t>
            </w:r>
          </w:p>
        </w:tc>
        <w:tc>
          <w:tcPr>
            <w:tcW w:w="3258" w:type="dxa"/>
          </w:tcPr>
          <w:p w14:paraId="09A8B347" w14:textId="77777777" w:rsidR="00BA6118" w:rsidRPr="00BA6118" w:rsidRDefault="00BA6118" w:rsidP="00BA611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BA6118">
              <w:rPr>
                <w:rFonts w:ascii="Times New Roman" w:eastAsia="Times New Roman" w:hAnsi="Times New Roman"/>
                <w:sz w:val="20"/>
                <w:szCs w:val="20"/>
              </w:rPr>
              <w:t>1.50 (0.92-2.08)</w:t>
            </w:r>
          </w:p>
        </w:tc>
      </w:tr>
    </w:tbl>
    <w:p w14:paraId="062792F8" w14:textId="66D584CA" w:rsidR="00522CF4" w:rsidRDefault="00BA6118" w:rsidP="00522CF4">
      <w:pPr>
        <w:spacing w:before="120" w:after="200" w:line="240" w:lineRule="auto"/>
        <w:jc w:val="left"/>
        <w:rPr>
          <w:rFonts w:ascii="Times New Roman" w:hAnsi="Times New Roman" w:cs="Times New Roman"/>
          <w:b/>
          <w:sz w:val="20"/>
          <w:szCs w:val="20"/>
        </w:rPr>
      </w:pPr>
      <w:r>
        <w:rPr>
          <w:rFonts w:ascii="Times New Roman" w:eastAsia="Times New Roman" w:hAnsi="Times New Roman" w:cs="Times New Roman"/>
          <w:iCs/>
          <w:sz w:val="20"/>
          <w:szCs w:val="20"/>
        </w:rPr>
        <w:t xml:space="preserve">Notes: </w:t>
      </w:r>
      <w:r w:rsidRPr="00BA6118">
        <w:rPr>
          <w:rFonts w:ascii="Times New Roman" w:eastAsia="Times New Roman" w:hAnsi="Times New Roman" w:cs="Times New Roman"/>
          <w:iCs/>
          <w:sz w:val="20"/>
          <w:szCs w:val="20"/>
        </w:rPr>
        <w:t xml:space="preserve">In men (N=6,995, upper panel) and women (N=10,748, lower panel), by age stratum and calendar year, 2004 </w:t>
      </w:r>
      <w:r w:rsidRPr="00BA6118">
        <w:rPr>
          <w:rFonts w:ascii="Times New Roman" w:eastAsia="Times New Roman" w:hAnsi="Times New Roman" w:cs="Times New Roman"/>
          <w:iCs/>
          <w:color w:val="6E747A"/>
          <w:sz w:val="20"/>
          <w:szCs w:val="20"/>
        </w:rPr>
        <w:t>–</w:t>
      </w:r>
      <w:r w:rsidRPr="00BA6118">
        <w:rPr>
          <w:rFonts w:ascii="Times New Roman" w:eastAsia="Times New Roman" w:hAnsi="Times New Roman" w:cs="Times New Roman"/>
          <w:i/>
          <w:iCs/>
          <w:color w:val="6E747A"/>
          <w:sz w:val="20"/>
          <w:szCs w:val="20"/>
        </w:rPr>
        <w:t xml:space="preserve"> </w:t>
      </w:r>
      <w:r w:rsidRPr="00BA6118">
        <w:rPr>
          <w:rFonts w:ascii="Times New Roman" w:eastAsia="Times New Roman" w:hAnsi="Times New Roman" w:cs="Times New Roman"/>
          <w:iCs/>
          <w:sz w:val="20"/>
          <w:szCs w:val="20"/>
        </w:rPr>
        <w:t xml:space="preserve">2014. Person-years are based on midpoint imputation of the seroconversion date between the date of the last negative and first positive test for HIV </w:t>
      </w:r>
      <w:proofErr w:type="spellStart"/>
      <w:r w:rsidRPr="00BA6118">
        <w:rPr>
          <w:rFonts w:ascii="Times New Roman" w:eastAsia="Times New Roman" w:hAnsi="Times New Roman" w:cs="Times New Roman"/>
          <w:iCs/>
          <w:sz w:val="20"/>
          <w:szCs w:val="20"/>
        </w:rPr>
        <w:t>sero</w:t>
      </w:r>
      <w:proofErr w:type="spellEnd"/>
      <w:r w:rsidRPr="00BA6118">
        <w:rPr>
          <w:rFonts w:ascii="Times New Roman" w:eastAsia="Times New Roman" w:hAnsi="Times New Roman" w:cs="Times New Roman"/>
          <w:iCs/>
          <w:sz w:val="20"/>
          <w:szCs w:val="20"/>
        </w:rPr>
        <w:t>-converters, and on the date of the last negative test for those who are censored. CI = confidence interval.</w:t>
      </w:r>
      <w:r w:rsidR="00522CF4">
        <w:rPr>
          <w:rFonts w:ascii="Times New Roman" w:hAnsi="Times New Roman" w:cs="Times New Roman"/>
          <w:b/>
          <w:sz w:val="20"/>
          <w:szCs w:val="20"/>
        </w:rPr>
        <w:br w:type="page"/>
      </w:r>
    </w:p>
    <w:p w14:paraId="44061726" w14:textId="55CBCA95" w:rsidR="004157EA" w:rsidRPr="00C1600A" w:rsidRDefault="00CD69C2" w:rsidP="00522CF4">
      <w:pPr>
        <w:spacing w:before="120" w:after="200" w:line="240" w:lineRule="auto"/>
        <w:jc w:val="left"/>
        <w:rPr>
          <w:rFonts w:ascii="Times New Roman" w:hAnsi="Times New Roman" w:cs="Times New Roman"/>
          <w:sz w:val="20"/>
          <w:szCs w:val="20"/>
        </w:rPr>
      </w:pPr>
      <w:r w:rsidRPr="00CD69C2">
        <w:rPr>
          <w:rFonts w:ascii="Times New Roman" w:eastAsia="Times New Roman" w:hAnsi="Times New Roman" w:cs="Times New Roman"/>
          <w:b/>
          <w:iCs/>
          <w:sz w:val="20"/>
          <w:szCs w:val="20"/>
        </w:rPr>
        <w:lastRenderedPageBreak/>
        <w:t>Figure</w:t>
      </w:r>
      <w:r>
        <w:rPr>
          <w:rFonts w:ascii="Times New Roman" w:eastAsia="Times New Roman" w:hAnsi="Times New Roman" w:cs="Times New Roman"/>
          <w:b/>
          <w:iCs/>
          <w:sz w:val="20"/>
          <w:szCs w:val="20"/>
        </w:rPr>
        <w:t xml:space="preserve"> S1</w:t>
      </w:r>
      <w:r w:rsidRPr="00CD69C2">
        <w:rPr>
          <w:rFonts w:ascii="Times New Roman" w:eastAsia="Times New Roman" w:hAnsi="Times New Roman" w:cs="Times New Roman"/>
          <w:b/>
          <w:iCs/>
          <w:sz w:val="20"/>
          <w:szCs w:val="20"/>
        </w:rPr>
        <w:t>. Relationship between the duration (expressed in years) of periods of residence outside the rural study community and distances (expressed in km) migrated in men</w:t>
      </w:r>
    </w:p>
    <w:p w14:paraId="3AAA1F80" w14:textId="77777777" w:rsidR="00CD69C2" w:rsidRPr="00CD69C2" w:rsidRDefault="00CD69C2" w:rsidP="00CD69C2">
      <w:pPr>
        <w:spacing w:after="200" w:line="240" w:lineRule="auto"/>
        <w:jc w:val="left"/>
        <w:rPr>
          <w:rFonts w:ascii="Times New Roman" w:eastAsia="Times New Roman" w:hAnsi="Times New Roman" w:cs="Times New Roman"/>
          <w:i/>
          <w:iCs/>
          <w:color w:val="6E747A"/>
          <w:sz w:val="18"/>
          <w:szCs w:val="18"/>
        </w:rPr>
      </w:pPr>
      <w:r w:rsidRPr="00CD69C2">
        <w:rPr>
          <w:rFonts w:ascii="Times New Roman" w:eastAsia="Times New Roman" w:hAnsi="Times New Roman" w:cs="Times New Roman"/>
          <w:i/>
          <w:iCs/>
          <w:noProof/>
          <w:color w:val="6E747A"/>
          <w:sz w:val="18"/>
          <w:szCs w:val="18"/>
        </w:rPr>
        <w:drawing>
          <wp:inline distT="0" distB="0" distL="0" distR="0" wp14:anchorId="2105BD1D" wp14:editId="7434BA1B">
            <wp:extent cx="5943600" cy="5943600"/>
            <wp:effectExtent l="0" t="0" r="0" b="0"/>
            <wp:docPr id="1" name="Picture 1" descr="\\Mac\Dropbox\Projects\MigrationFlows\R\MigrationPaper\Demography\durationDistanceM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Dropbox\Projects\MigrationFlows\R\MigrationPaper\Demography\durationDistanceMal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208A745" w14:textId="5A00BACC" w:rsidR="00CD69C2" w:rsidRDefault="00CD69C2" w:rsidP="00CD69C2">
      <w:pPr>
        <w:spacing w:after="200" w:line="240" w:lineRule="auto"/>
        <w:jc w:val="lef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Notes: </w:t>
      </w:r>
      <w:r w:rsidRPr="00CD69C2">
        <w:rPr>
          <w:rFonts w:ascii="Times New Roman" w:eastAsia="Times New Roman" w:hAnsi="Times New Roman" w:cs="Times New Roman"/>
          <w:iCs/>
          <w:sz w:val="20"/>
          <w:szCs w:val="20"/>
        </w:rPr>
        <w:t>For each man, we determined his periods of residence outside the rural study community and calculated the sum of the distances between the locations of consecutive residences he occupied. Colors closer to red indicate higher densities of (duration, distance) points, while colors closer to blue indicate smaller densities. The plot shows two well defined clusters of migrations outside the rural study community that last up to approximately one year, and involve travel to destinations in the KwaZulu-Natal province, most often to two cities, Richards Bay and Durban. There are also two smaller clusters, one that involves travel to more distant destinations in Johannesburg and Pretoria in the Gauteng province, and another cluster that involves travel to destinations in the KwaZulu-Natal province with much longer durations of residence outside the rural study community between two and three years. The horizontal lines show the length of round trips to Richards Bay, Durban, Johannesburg/Pretoria. These trips represent the equivalent of an individual who moves from the rural study community to one of these cities, then moves back to the rural study community.</w:t>
      </w:r>
    </w:p>
    <w:p w14:paraId="690B0896" w14:textId="41E3B34C" w:rsidR="00F573A2" w:rsidRPr="00CD69C2" w:rsidRDefault="00F573A2" w:rsidP="00CD69C2">
      <w:pPr>
        <w:spacing w:after="200" w:line="240" w:lineRule="auto"/>
        <w:jc w:val="left"/>
        <w:rPr>
          <w:rFonts w:ascii="Times New Roman" w:eastAsia="Times New Roman" w:hAnsi="Times New Roman" w:cs="Times New Roman"/>
          <w:i/>
          <w:iCs/>
          <w:color w:val="6E747A"/>
          <w:sz w:val="18"/>
          <w:szCs w:val="18"/>
        </w:rPr>
      </w:pPr>
      <w:r w:rsidRPr="00F46DF8">
        <w:rPr>
          <w:rFonts w:ascii="Times New Roman" w:eastAsia="Times New Roman" w:hAnsi="Times New Roman" w:cs="Times New Roman"/>
          <w:b/>
          <w:iCs/>
          <w:sz w:val="20"/>
          <w:szCs w:val="20"/>
        </w:rPr>
        <w:lastRenderedPageBreak/>
        <w:t xml:space="preserve">Figure </w:t>
      </w:r>
      <w:r>
        <w:rPr>
          <w:rFonts w:ascii="Times New Roman" w:eastAsia="Times New Roman" w:hAnsi="Times New Roman" w:cs="Times New Roman"/>
          <w:b/>
          <w:iCs/>
          <w:sz w:val="20"/>
          <w:szCs w:val="20"/>
        </w:rPr>
        <w:t>S2</w:t>
      </w:r>
      <w:r w:rsidRPr="00F46DF8">
        <w:rPr>
          <w:rFonts w:ascii="Times New Roman" w:eastAsia="Times New Roman" w:hAnsi="Times New Roman" w:cs="Times New Roman"/>
          <w:b/>
          <w:iCs/>
          <w:sz w:val="20"/>
          <w:szCs w:val="20"/>
        </w:rPr>
        <w:t>. Relationship between the duration (expressed in years) of periods of residence outside the rural study community and distances (expressed in km) migrated in women</w:t>
      </w:r>
    </w:p>
    <w:p w14:paraId="615AA45F" w14:textId="0AF6B153" w:rsidR="00F46DF8" w:rsidRPr="00F46DF8" w:rsidRDefault="00F46DF8" w:rsidP="00F46DF8">
      <w:pPr>
        <w:spacing w:after="200" w:line="240" w:lineRule="auto"/>
        <w:jc w:val="left"/>
        <w:rPr>
          <w:rFonts w:ascii="Times New Roman" w:eastAsia="Times New Roman" w:hAnsi="Times New Roman" w:cs="Times New Roman"/>
          <w:b/>
          <w:iCs/>
          <w:sz w:val="20"/>
          <w:szCs w:val="20"/>
        </w:rPr>
      </w:pPr>
      <w:r w:rsidRPr="00F46DF8">
        <w:rPr>
          <w:rFonts w:ascii="Times New Roman" w:eastAsia="Times New Roman" w:hAnsi="Times New Roman" w:cs="Times New Roman"/>
          <w:b/>
          <w:iCs/>
          <w:noProof/>
          <w:sz w:val="20"/>
          <w:szCs w:val="20"/>
        </w:rPr>
        <w:drawing>
          <wp:inline distT="0" distB="0" distL="0" distR="0" wp14:anchorId="3556781D" wp14:editId="514AAE0D">
            <wp:extent cx="5943600" cy="5943600"/>
            <wp:effectExtent l="0" t="0" r="0" b="0"/>
            <wp:docPr id="2" name="Picture 2" descr="\\Mac\Dropbox\Projects\MigrationFlows\R\MigrationPaper\Demography\durationDistanceFem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Dropbox\Projects\MigrationFlows\R\MigrationPaper\Demography\durationDistanceFemal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D60CAF1" w14:textId="4286A6DF" w:rsidR="00F46DF8" w:rsidRPr="00F46DF8" w:rsidRDefault="00F46DF8" w:rsidP="00F46DF8">
      <w:pPr>
        <w:spacing w:after="200" w:line="240" w:lineRule="auto"/>
        <w:jc w:val="lef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Notes: </w:t>
      </w:r>
      <w:r w:rsidRPr="00F46DF8">
        <w:rPr>
          <w:rFonts w:ascii="Times New Roman" w:eastAsia="Times New Roman" w:hAnsi="Times New Roman" w:cs="Times New Roman"/>
          <w:iCs/>
          <w:sz w:val="20"/>
          <w:szCs w:val="20"/>
        </w:rPr>
        <w:t>For each woman, we determined her periods of residence outside the rural study community and calculated the sum of the distances between the locations of consecutive residences she occupied. Colors closer to red indicate higher densities of (duration, distance) points, while colors closer to blue indicate smaller densities. The clusters of outside the rural study community migrations of women that are visible in this plot are quite similar to the clusters of outside the rural study community m</w:t>
      </w:r>
      <w:r>
        <w:rPr>
          <w:rFonts w:ascii="Times New Roman" w:eastAsia="Times New Roman" w:hAnsi="Times New Roman" w:cs="Times New Roman"/>
          <w:iCs/>
          <w:sz w:val="20"/>
          <w:szCs w:val="20"/>
        </w:rPr>
        <w:t>igrations for men – see Figure S1</w:t>
      </w:r>
      <w:r w:rsidRPr="00F46DF8">
        <w:rPr>
          <w:rFonts w:ascii="Times New Roman" w:eastAsia="Times New Roman" w:hAnsi="Times New Roman" w:cs="Times New Roman"/>
          <w:iCs/>
          <w:sz w:val="20"/>
          <w:szCs w:val="20"/>
        </w:rPr>
        <w:t>. The horizontal lines show the length of round trips to Richards Bay, Durban, Johannesburg/Pretoria. These trips represent the equivalent of an individual who moves from the rural study community to one of these cities, then moves back to the rural study community.</w:t>
      </w:r>
    </w:p>
    <w:p w14:paraId="0DA84B28" w14:textId="77777777" w:rsidR="00CD69C2" w:rsidRDefault="00CD69C2">
      <w:pPr>
        <w:rPr>
          <w:rFonts w:ascii="Times New Roman" w:hAnsi="Times New Roman" w:cs="Times New Roman"/>
          <w:b/>
          <w:sz w:val="20"/>
          <w:szCs w:val="20"/>
        </w:rPr>
      </w:pPr>
    </w:p>
    <w:p w14:paraId="36595B1F" w14:textId="77777777" w:rsidR="00CD69C2" w:rsidRDefault="00CD69C2">
      <w:pPr>
        <w:rPr>
          <w:rFonts w:ascii="Times New Roman" w:hAnsi="Times New Roman" w:cs="Times New Roman"/>
          <w:b/>
          <w:sz w:val="20"/>
          <w:szCs w:val="20"/>
        </w:rPr>
      </w:pPr>
    </w:p>
    <w:p w14:paraId="59F49EBC" w14:textId="1F9D2512" w:rsidR="00E96532" w:rsidRDefault="004157EA">
      <w:pPr>
        <w:rPr>
          <w:rFonts w:ascii="Times New Roman" w:hAnsi="Times New Roman" w:cs="Times New Roman"/>
          <w:b/>
          <w:sz w:val="20"/>
          <w:szCs w:val="20"/>
        </w:rPr>
      </w:pPr>
      <w:r w:rsidRPr="004157EA">
        <w:rPr>
          <w:rFonts w:ascii="Times New Roman" w:hAnsi="Times New Roman" w:cs="Times New Roman"/>
          <w:b/>
          <w:sz w:val="20"/>
          <w:szCs w:val="20"/>
        </w:rPr>
        <w:lastRenderedPageBreak/>
        <w:t>Table S</w:t>
      </w:r>
      <w:r w:rsidR="00ED2A28">
        <w:rPr>
          <w:rFonts w:ascii="Times New Roman" w:hAnsi="Times New Roman" w:cs="Times New Roman"/>
          <w:b/>
          <w:sz w:val="20"/>
          <w:szCs w:val="20"/>
        </w:rPr>
        <w:t>5</w:t>
      </w:r>
      <w:r w:rsidRPr="004157EA">
        <w:rPr>
          <w:rFonts w:ascii="Times New Roman" w:hAnsi="Times New Roman" w:cs="Times New Roman"/>
          <w:b/>
          <w:sz w:val="20"/>
          <w:szCs w:val="20"/>
        </w:rPr>
        <w:t>. Full output from Cox proportional hazards models for men and women that estimate repeat-testers’ hazard of HIV seroconversion conditional on time outside, and on sexual and sociodemographic factors</w:t>
      </w:r>
    </w:p>
    <w:tbl>
      <w:tblPr>
        <w:tblStyle w:val="GridTable2"/>
        <w:tblW w:w="0" w:type="auto"/>
        <w:tblLayout w:type="fixed"/>
        <w:tblLook w:val="04A0" w:firstRow="1" w:lastRow="0" w:firstColumn="1" w:lastColumn="0" w:noHBand="0" w:noVBand="1"/>
      </w:tblPr>
      <w:tblGrid>
        <w:gridCol w:w="265"/>
        <w:gridCol w:w="2885"/>
        <w:gridCol w:w="2065"/>
        <w:gridCol w:w="1080"/>
        <w:gridCol w:w="1985"/>
        <w:gridCol w:w="1070"/>
      </w:tblGrid>
      <w:tr w:rsidR="00E96532" w:rsidRPr="00E656AF" w14:paraId="0D6C3409" w14:textId="77777777" w:rsidTr="00942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7664A987" w14:textId="6B40BA48" w:rsidR="00E96532" w:rsidRDefault="00412B59" w:rsidP="0094207F">
            <w:pPr>
              <w:keepNext/>
              <w:rPr>
                <w:rFonts w:ascii="Times New Roman" w:hAnsi="Times New Roman" w:cs="Times New Roman"/>
                <w:sz w:val="20"/>
                <w:szCs w:val="20"/>
              </w:rPr>
            </w:pPr>
            <w:r w:rsidRPr="00D81644">
              <w:rPr>
                <w:rFonts w:ascii="Times New Roman" w:hAnsi="Times New Roman" w:cs="Times New Roman"/>
                <w:sz w:val="20"/>
                <w:szCs w:val="20"/>
              </w:rPr>
              <w:t xml:space="preserve"> </w:t>
            </w:r>
          </w:p>
        </w:tc>
        <w:tc>
          <w:tcPr>
            <w:tcW w:w="3145" w:type="dxa"/>
            <w:gridSpan w:val="2"/>
          </w:tcPr>
          <w:p w14:paraId="0EC889D8" w14:textId="77777777" w:rsidR="00E96532" w:rsidRPr="00E656AF" w:rsidRDefault="00E96532" w:rsidP="0094207F">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56AF">
              <w:rPr>
                <w:rFonts w:ascii="Times New Roman" w:hAnsi="Times New Roman" w:cs="Times New Roman"/>
                <w:sz w:val="20"/>
                <w:szCs w:val="20"/>
              </w:rPr>
              <w:t>Men</w:t>
            </w:r>
          </w:p>
        </w:tc>
        <w:tc>
          <w:tcPr>
            <w:tcW w:w="3055" w:type="dxa"/>
            <w:gridSpan w:val="2"/>
          </w:tcPr>
          <w:p w14:paraId="3E5CE93A" w14:textId="77777777" w:rsidR="00E96532" w:rsidRPr="00E656AF" w:rsidRDefault="00E96532" w:rsidP="0094207F">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56AF">
              <w:rPr>
                <w:rFonts w:ascii="Times New Roman" w:hAnsi="Times New Roman" w:cs="Times New Roman"/>
                <w:sz w:val="20"/>
                <w:szCs w:val="20"/>
              </w:rPr>
              <w:t>Women</w:t>
            </w:r>
          </w:p>
        </w:tc>
      </w:tr>
      <w:tr w:rsidR="00E96532" w:rsidRPr="00E656AF" w14:paraId="63D34E7E"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0B14E835" w14:textId="736D9704" w:rsidR="00E96532" w:rsidRPr="00E656AF" w:rsidRDefault="007A4652" w:rsidP="0094207F">
            <w:pPr>
              <w:keepNext/>
              <w:rPr>
                <w:rFonts w:ascii="Times New Roman" w:hAnsi="Times New Roman" w:cs="Times New Roman"/>
                <w:sz w:val="16"/>
                <w:szCs w:val="16"/>
              </w:rPr>
            </w:pPr>
            <w:r w:rsidRPr="00E656AF">
              <w:rPr>
                <w:rFonts w:ascii="Times New Roman" w:hAnsi="Times New Roman" w:cs="Times New Roman"/>
                <w:sz w:val="16"/>
                <w:szCs w:val="16"/>
              </w:rPr>
              <w:t>Risk Factor</w:t>
            </w:r>
          </w:p>
        </w:tc>
        <w:tc>
          <w:tcPr>
            <w:tcW w:w="2065" w:type="dxa"/>
          </w:tcPr>
          <w:p w14:paraId="3C1CEFCD"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Adjusted hazard ratio (95% CI)</w:t>
            </w:r>
          </w:p>
        </w:tc>
        <w:tc>
          <w:tcPr>
            <w:tcW w:w="1080" w:type="dxa"/>
          </w:tcPr>
          <w:p w14:paraId="3D286E4E"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p value</w:t>
            </w:r>
          </w:p>
        </w:tc>
        <w:tc>
          <w:tcPr>
            <w:tcW w:w="1985" w:type="dxa"/>
          </w:tcPr>
          <w:p w14:paraId="531C7037"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Adjusted hazard ratio (95% CI)</w:t>
            </w:r>
          </w:p>
        </w:tc>
        <w:tc>
          <w:tcPr>
            <w:tcW w:w="1070" w:type="dxa"/>
          </w:tcPr>
          <w:p w14:paraId="0509CB92"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p value</w:t>
            </w:r>
          </w:p>
        </w:tc>
      </w:tr>
      <w:tr w:rsidR="00E96532" w:rsidRPr="00E656AF" w14:paraId="7C7725DC" w14:textId="77777777" w:rsidTr="0094207F">
        <w:tc>
          <w:tcPr>
            <w:cnfStyle w:val="001000000000" w:firstRow="0" w:lastRow="0" w:firstColumn="1" w:lastColumn="0" w:oddVBand="0" w:evenVBand="0" w:oddHBand="0" w:evenHBand="0" w:firstRowFirstColumn="0" w:firstRowLastColumn="0" w:lastRowFirstColumn="0" w:lastRowLastColumn="0"/>
            <w:tcW w:w="3150" w:type="dxa"/>
            <w:gridSpan w:val="2"/>
          </w:tcPr>
          <w:p w14:paraId="3C77294A" w14:textId="7EE9B09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Time Outside</w:t>
            </w:r>
          </w:p>
        </w:tc>
        <w:tc>
          <w:tcPr>
            <w:tcW w:w="2065" w:type="dxa"/>
          </w:tcPr>
          <w:p w14:paraId="4277DCD7" w14:textId="3333FA05" w:rsidR="00E96532" w:rsidRPr="00E656AF" w:rsidRDefault="003C7179"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2</w:t>
            </w:r>
            <w:r w:rsidR="00452C0D">
              <w:rPr>
                <w:rFonts w:ascii="Times New Roman" w:hAnsi="Times New Roman" w:cs="Times New Roman"/>
                <w:sz w:val="16"/>
                <w:szCs w:val="16"/>
              </w:rPr>
              <w:t>.</w:t>
            </w:r>
            <w:r w:rsidRPr="00E656AF">
              <w:rPr>
                <w:rFonts w:ascii="Times New Roman" w:hAnsi="Times New Roman" w:cs="Times New Roman"/>
                <w:sz w:val="16"/>
                <w:szCs w:val="16"/>
              </w:rPr>
              <w:t>54</w:t>
            </w:r>
            <w:r w:rsidR="00BF1537">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67-3</w:t>
            </w:r>
            <w:r w:rsidR="00452C0D">
              <w:rPr>
                <w:rFonts w:ascii="Times New Roman" w:hAnsi="Times New Roman" w:cs="Times New Roman"/>
                <w:sz w:val="16"/>
                <w:szCs w:val="16"/>
              </w:rPr>
              <w:t>.</w:t>
            </w:r>
            <w:r w:rsidRPr="00E656AF">
              <w:rPr>
                <w:rFonts w:ascii="Times New Roman" w:hAnsi="Times New Roman" w:cs="Times New Roman"/>
                <w:sz w:val="16"/>
                <w:szCs w:val="16"/>
              </w:rPr>
              <w:t>85</w:t>
            </w:r>
            <w:r w:rsidR="00E96532" w:rsidRPr="00E656AF">
              <w:rPr>
                <w:rFonts w:ascii="Times New Roman" w:hAnsi="Times New Roman" w:cs="Times New Roman"/>
                <w:sz w:val="16"/>
                <w:szCs w:val="16"/>
              </w:rPr>
              <w:t>)</w:t>
            </w:r>
          </w:p>
        </w:tc>
        <w:tc>
          <w:tcPr>
            <w:tcW w:w="1080" w:type="dxa"/>
          </w:tcPr>
          <w:p w14:paraId="0B5FFF99" w14:textId="0C000B49" w:rsidR="00E96532" w:rsidRPr="00E656AF" w:rsidRDefault="00DA56F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5" w:type="dxa"/>
          </w:tcPr>
          <w:p w14:paraId="7CDD3BBD" w14:textId="7811303D" w:rsidR="00E96532" w:rsidRPr="00E656AF" w:rsidRDefault="007A01BB"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57</w:t>
            </w:r>
            <w:r w:rsidR="00757431">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14-2</w:t>
            </w:r>
            <w:r w:rsidR="00452C0D">
              <w:rPr>
                <w:rFonts w:ascii="Times New Roman" w:hAnsi="Times New Roman" w:cs="Times New Roman"/>
                <w:sz w:val="16"/>
                <w:szCs w:val="16"/>
              </w:rPr>
              <w:t>.</w:t>
            </w:r>
            <w:r w:rsidRPr="00E656AF">
              <w:rPr>
                <w:rFonts w:ascii="Times New Roman" w:hAnsi="Times New Roman" w:cs="Times New Roman"/>
                <w:sz w:val="16"/>
                <w:szCs w:val="16"/>
              </w:rPr>
              <w:t>17)</w:t>
            </w:r>
          </w:p>
        </w:tc>
        <w:tc>
          <w:tcPr>
            <w:tcW w:w="1070" w:type="dxa"/>
          </w:tcPr>
          <w:p w14:paraId="4E49B37A" w14:textId="0204DE9B" w:rsidR="00E96532" w:rsidRPr="00E656AF" w:rsidRDefault="007A01BB"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00602</w:t>
            </w:r>
          </w:p>
        </w:tc>
      </w:tr>
      <w:tr w:rsidR="00E96532" w:rsidRPr="00E656AF" w14:paraId="575601B3"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01F46143"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Sexual Partners</w:t>
            </w:r>
          </w:p>
        </w:tc>
        <w:tc>
          <w:tcPr>
            <w:tcW w:w="2065" w:type="dxa"/>
          </w:tcPr>
          <w:p w14:paraId="1743F007"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Pr>
          <w:p w14:paraId="245C083A"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5" w:type="dxa"/>
          </w:tcPr>
          <w:p w14:paraId="79B44EB7"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70" w:type="dxa"/>
          </w:tcPr>
          <w:p w14:paraId="153CC4C9"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96532" w:rsidRPr="00E656AF" w14:paraId="6294ABD1" w14:textId="77777777" w:rsidTr="0094207F">
        <w:tc>
          <w:tcPr>
            <w:cnfStyle w:val="001000000000" w:firstRow="0" w:lastRow="0" w:firstColumn="1" w:lastColumn="0" w:oddVBand="0" w:evenVBand="0" w:oddHBand="0" w:evenHBand="0" w:firstRowFirstColumn="0" w:firstRowLastColumn="0" w:lastRowFirstColumn="0" w:lastRowLastColumn="0"/>
            <w:tcW w:w="265" w:type="dxa"/>
          </w:tcPr>
          <w:p w14:paraId="198C1017" w14:textId="77777777" w:rsidR="00E96532" w:rsidRPr="00E656AF" w:rsidRDefault="00E96532" w:rsidP="0094207F">
            <w:pPr>
              <w:keepNext/>
              <w:rPr>
                <w:rFonts w:ascii="Times New Roman" w:hAnsi="Times New Roman" w:cs="Times New Roman"/>
                <w:b w:val="0"/>
                <w:sz w:val="16"/>
                <w:szCs w:val="16"/>
              </w:rPr>
            </w:pPr>
          </w:p>
        </w:tc>
        <w:tc>
          <w:tcPr>
            <w:tcW w:w="2885" w:type="dxa"/>
          </w:tcPr>
          <w:p w14:paraId="2D51F096" w14:textId="77777777" w:rsidR="00E96532" w:rsidRPr="00E656AF" w:rsidRDefault="00E96532"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One or less (baseline)</w:t>
            </w:r>
          </w:p>
        </w:tc>
        <w:tc>
          <w:tcPr>
            <w:tcW w:w="2065" w:type="dxa"/>
          </w:tcPr>
          <w:p w14:paraId="3B87871B" w14:textId="1DD0642B"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0" w:type="dxa"/>
          </w:tcPr>
          <w:p w14:paraId="5956DDC4"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74868290" w14:textId="2911ED71" w:rsidR="00E96532" w:rsidRPr="00E656AF" w:rsidRDefault="003B6DDB"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674BD0C3"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96532" w:rsidRPr="00E656AF" w14:paraId="4F6E77AB"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7C906F1A" w14:textId="77777777" w:rsidR="00E96532" w:rsidRPr="00E656AF" w:rsidRDefault="00E96532" w:rsidP="0094207F">
            <w:pPr>
              <w:keepNext/>
              <w:rPr>
                <w:rFonts w:ascii="Times New Roman" w:hAnsi="Times New Roman" w:cs="Times New Roman"/>
                <w:b w:val="0"/>
                <w:sz w:val="16"/>
                <w:szCs w:val="16"/>
              </w:rPr>
            </w:pPr>
          </w:p>
        </w:tc>
        <w:tc>
          <w:tcPr>
            <w:tcW w:w="2885" w:type="dxa"/>
          </w:tcPr>
          <w:p w14:paraId="4C033427" w14:textId="77777777" w:rsidR="00E96532" w:rsidRPr="00E656AF" w:rsidRDefault="00E96532"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Two or more</w:t>
            </w:r>
          </w:p>
        </w:tc>
        <w:tc>
          <w:tcPr>
            <w:tcW w:w="2065" w:type="dxa"/>
          </w:tcPr>
          <w:p w14:paraId="31F491D0" w14:textId="006C90BF" w:rsidR="00E96532" w:rsidRPr="00E656AF" w:rsidRDefault="0073141A"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BF1537">
              <w:rPr>
                <w:rFonts w:ascii="Times New Roman" w:hAnsi="Times New Roman" w:cs="Times New Roman"/>
                <w:sz w:val="16"/>
                <w:szCs w:val="16"/>
              </w:rPr>
              <w:t>62</w:t>
            </w:r>
            <w:r w:rsidR="00BF1537">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35-1</w:t>
            </w:r>
            <w:r w:rsidR="00452C0D">
              <w:rPr>
                <w:rFonts w:ascii="Times New Roman" w:hAnsi="Times New Roman" w:cs="Times New Roman"/>
                <w:sz w:val="16"/>
                <w:szCs w:val="16"/>
              </w:rPr>
              <w:t>.</w:t>
            </w:r>
            <w:r w:rsidRPr="00E656AF">
              <w:rPr>
                <w:rFonts w:ascii="Times New Roman" w:hAnsi="Times New Roman" w:cs="Times New Roman"/>
                <w:sz w:val="16"/>
                <w:szCs w:val="16"/>
              </w:rPr>
              <w:t>93</w:t>
            </w:r>
            <w:r w:rsidR="00E96532" w:rsidRPr="00E656AF">
              <w:rPr>
                <w:rFonts w:ascii="Times New Roman" w:hAnsi="Times New Roman" w:cs="Times New Roman"/>
                <w:sz w:val="16"/>
                <w:szCs w:val="16"/>
              </w:rPr>
              <w:t>)</w:t>
            </w:r>
          </w:p>
        </w:tc>
        <w:tc>
          <w:tcPr>
            <w:tcW w:w="1080" w:type="dxa"/>
          </w:tcPr>
          <w:p w14:paraId="0E8AA3A5" w14:textId="05B917AC"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5" w:type="dxa"/>
          </w:tcPr>
          <w:p w14:paraId="77B4A490" w14:textId="2359F328" w:rsidR="00E96532" w:rsidRPr="00E656AF" w:rsidRDefault="004940D0"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91</w:t>
            </w:r>
            <w:r w:rsidR="00757431">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51-2</w:t>
            </w:r>
            <w:r w:rsidR="00452C0D">
              <w:rPr>
                <w:rFonts w:ascii="Times New Roman" w:hAnsi="Times New Roman" w:cs="Times New Roman"/>
                <w:sz w:val="16"/>
                <w:szCs w:val="16"/>
              </w:rPr>
              <w:t>.</w:t>
            </w:r>
            <w:r w:rsidRPr="00E656AF">
              <w:rPr>
                <w:rFonts w:ascii="Times New Roman" w:hAnsi="Times New Roman" w:cs="Times New Roman"/>
                <w:sz w:val="16"/>
                <w:szCs w:val="16"/>
              </w:rPr>
              <w:t>42)</w:t>
            </w:r>
          </w:p>
        </w:tc>
        <w:tc>
          <w:tcPr>
            <w:tcW w:w="1070" w:type="dxa"/>
          </w:tcPr>
          <w:p w14:paraId="681A2E48" w14:textId="13EC7FBD" w:rsidR="00E96532" w:rsidRPr="00E656AF" w:rsidRDefault="00A35178"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E96532" w:rsidRPr="00E656AF" w14:paraId="704D3F4F" w14:textId="77777777" w:rsidTr="0094207F">
        <w:tc>
          <w:tcPr>
            <w:cnfStyle w:val="001000000000" w:firstRow="0" w:lastRow="0" w:firstColumn="1" w:lastColumn="0" w:oddVBand="0" w:evenVBand="0" w:oddHBand="0" w:evenHBand="0" w:firstRowFirstColumn="0" w:firstRowLastColumn="0" w:lastRowFirstColumn="0" w:lastRowLastColumn="0"/>
            <w:tcW w:w="3150" w:type="dxa"/>
            <w:gridSpan w:val="2"/>
          </w:tcPr>
          <w:p w14:paraId="5BF1AA18"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Marital Status</w:t>
            </w:r>
          </w:p>
        </w:tc>
        <w:tc>
          <w:tcPr>
            <w:tcW w:w="2065" w:type="dxa"/>
          </w:tcPr>
          <w:p w14:paraId="611745CA"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0" w:type="dxa"/>
          </w:tcPr>
          <w:p w14:paraId="54DD45E0"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47CE8701"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70" w:type="dxa"/>
          </w:tcPr>
          <w:p w14:paraId="591E0907"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96532" w:rsidRPr="00E656AF" w14:paraId="41F1A7FE"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5E82BDDF" w14:textId="77777777" w:rsidR="00E96532" w:rsidRPr="00E656AF" w:rsidRDefault="00E96532" w:rsidP="0094207F">
            <w:pPr>
              <w:keepNext/>
              <w:rPr>
                <w:rFonts w:ascii="Times New Roman" w:hAnsi="Times New Roman" w:cs="Times New Roman"/>
                <w:b w:val="0"/>
                <w:sz w:val="16"/>
                <w:szCs w:val="16"/>
              </w:rPr>
            </w:pPr>
          </w:p>
        </w:tc>
        <w:tc>
          <w:tcPr>
            <w:tcW w:w="2885" w:type="dxa"/>
          </w:tcPr>
          <w:p w14:paraId="58BAFDBC" w14:textId="77777777" w:rsidR="00E96532" w:rsidRPr="00E656AF" w:rsidRDefault="00E96532"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Single (baseline)</w:t>
            </w:r>
          </w:p>
        </w:tc>
        <w:tc>
          <w:tcPr>
            <w:tcW w:w="2065" w:type="dxa"/>
          </w:tcPr>
          <w:p w14:paraId="18A4FA74" w14:textId="2E92702B"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0" w:type="dxa"/>
          </w:tcPr>
          <w:p w14:paraId="0C28EFDD"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5" w:type="dxa"/>
          </w:tcPr>
          <w:p w14:paraId="19869BD9" w14:textId="07EA7DB6" w:rsidR="00E96532" w:rsidRPr="00E656AF" w:rsidRDefault="003B6DDB"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5C158DE6"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96532" w:rsidRPr="00E656AF" w14:paraId="7D258350" w14:textId="77777777" w:rsidTr="0094207F">
        <w:tc>
          <w:tcPr>
            <w:cnfStyle w:val="001000000000" w:firstRow="0" w:lastRow="0" w:firstColumn="1" w:lastColumn="0" w:oddVBand="0" w:evenVBand="0" w:oddHBand="0" w:evenHBand="0" w:firstRowFirstColumn="0" w:firstRowLastColumn="0" w:lastRowFirstColumn="0" w:lastRowLastColumn="0"/>
            <w:tcW w:w="265" w:type="dxa"/>
          </w:tcPr>
          <w:p w14:paraId="6EC68347" w14:textId="77777777" w:rsidR="00E96532" w:rsidRPr="00E656AF" w:rsidRDefault="00E96532" w:rsidP="0094207F">
            <w:pPr>
              <w:keepNext/>
              <w:rPr>
                <w:rFonts w:ascii="Times New Roman" w:hAnsi="Times New Roman" w:cs="Times New Roman"/>
                <w:b w:val="0"/>
                <w:sz w:val="16"/>
                <w:szCs w:val="16"/>
              </w:rPr>
            </w:pPr>
          </w:p>
        </w:tc>
        <w:tc>
          <w:tcPr>
            <w:tcW w:w="2885" w:type="dxa"/>
          </w:tcPr>
          <w:p w14:paraId="50A729FC" w14:textId="77777777" w:rsidR="00E96532" w:rsidRPr="00E656AF" w:rsidRDefault="00E96532"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Married, monogamous</w:t>
            </w:r>
          </w:p>
        </w:tc>
        <w:tc>
          <w:tcPr>
            <w:tcW w:w="2065" w:type="dxa"/>
          </w:tcPr>
          <w:p w14:paraId="380297AB" w14:textId="46FD8AD6" w:rsidR="00E96532" w:rsidRPr="00E656AF" w:rsidRDefault="009940EE"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39</w:t>
            </w:r>
            <w:r w:rsidR="00BF1537">
              <w:rPr>
                <w:rFonts w:ascii="Times New Roman" w:hAnsi="Times New Roman" w:cs="Times New Roman"/>
                <w:sz w:val="16"/>
                <w:szCs w:val="16"/>
              </w:rPr>
              <w:br/>
            </w:r>
            <w:r w:rsidR="008F2E05" w:rsidRPr="00E656AF">
              <w:rPr>
                <w:rFonts w:ascii="Times New Roman" w:hAnsi="Times New Roman" w:cs="Times New Roman"/>
                <w:sz w:val="16"/>
                <w:szCs w:val="16"/>
              </w:rPr>
              <w:t>(0</w:t>
            </w:r>
            <w:r w:rsidR="00452C0D">
              <w:rPr>
                <w:rFonts w:ascii="Times New Roman" w:hAnsi="Times New Roman" w:cs="Times New Roman"/>
                <w:sz w:val="16"/>
                <w:szCs w:val="16"/>
              </w:rPr>
              <w:t>.</w:t>
            </w:r>
            <w:r w:rsidR="008F2E05" w:rsidRPr="00E656AF">
              <w:rPr>
                <w:rFonts w:ascii="Times New Roman" w:hAnsi="Times New Roman" w:cs="Times New Roman"/>
                <w:sz w:val="16"/>
                <w:szCs w:val="16"/>
              </w:rPr>
              <w:t>24</w:t>
            </w:r>
            <w:r w:rsidR="00E96532" w:rsidRPr="00E656AF">
              <w:rPr>
                <w:rFonts w:ascii="Times New Roman" w:hAnsi="Times New Roman" w:cs="Times New Roman"/>
                <w:sz w:val="16"/>
                <w:szCs w:val="16"/>
              </w:rPr>
              <w:t>-0</w:t>
            </w:r>
            <w:r w:rsidR="00452C0D">
              <w:rPr>
                <w:rFonts w:ascii="Times New Roman" w:hAnsi="Times New Roman" w:cs="Times New Roman"/>
                <w:sz w:val="16"/>
                <w:szCs w:val="16"/>
              </w:rPr>
              <w:t>.</w:t>
            </w:r>
            <w:r w:rsidR="00E96532" w:rsidRPr="00E656AF">
              <w:rPr>
                <w:rFonts w:ascii="Times New Roman" w:hAnsi="Times New Roman" w:cs="Times New Roman"/>
                <w:sz w:val="16"/>
                <w:szCs w:val="16"/>
              </w:rPr>
              <w:t>6</w:t>
            </w:r>
            <w:r w:rsidRPr="00E656AF">
              <w:rPr>
                <w:rFonts w:ascii="Times New Roman" w:hAnsi="Times New Roman" w:cs="Times New Roman"/>
                <w:sz w:val="16"/>
                <w:szCs w:val="16"/>
              </w:rPr>
              <w:t>2</w:t>
            </w:r>
            <w:r w:rsidR="00E96532" w:rsidRPr="00E656AF">
              <w:rPr>
                <w:rFonts w:ascii="Times New Roman" w:hAnsi="Times New Roman" w:cs="Times New Roman"/>
                <w:sz w:val="16"/>
                <w:szCs w:val="16"/>
              </w:rPr>
              <w:t>)</w:t>
            </w:r>
          </w:p>
        </w:tc>
        <w:tc>
          <w:tcPr>
            <w:tcW w:w="1080" w:type="dxa"/>
          </w:tcPr>
          <w:p w14:paraId="56813CE8" w14:textId="054A35D3" w:rsidR="00E96532" w:rsidRPr="00E656AF" w:rsidRDefault="009940EE"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5" w:type="dxa"/>
          </w:tcPr>
          <w:p w14:paraId="370A7C8E" w14:textId="73D00950" w:rsidR="00E96532" w:rsidRPr="00E656AF" w:rsidRDefault="00A35178"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57431">
              <w:rPr>
                <w:rFonts w:ascii="Times New Roman" w:hAnsi="Times New Roman" w:cs="Times New Roman"/>
                <w:sz w:val="16"/>
                <w:szCs w:val="16"/>
              </w:rPr>
              <w:t>51</w:t>
            </w:r>
            <w:r w:rsidR="00757431">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41-0</w:t>
            </w:r>
            <w:r w:rsidR="00452C0D">
              <w:rPr>
                <w:rFonts w:ascii="Times New Roman" w:hAnsi="Times New Roman" w:cs="Times New Roman"/>
                <w:sz w:val="16"/>
                <w:szCs w:val="16"/>
              </w:rPr>
              <w:t>.</w:t>
            </w:r>
            <w:r w:rsidRPr="00E656AF">
              <w:rPr>
                <w:rFonts w:ascii="Times New Roman" w:hAnsi="Times New Roman" w:cs="Times New Roman"/>
                <w:sz w:val="16"/>
                <w:szCs w:val="16"/>
              </w:rPr>
              <w:t>63)</w:t>
            </w:r>
          </w:p>
        </w:tc>
        <w:tc>
          <w:tcPr>
            <w:tcW w:w="1070" w:type="dxa"/>
          </w:tcPr>
          <w:p w14:paraId="2859191F" w14:textId="548B05F1" w:rsidR="00E96532" w:rsidRPr="00E656AF" w:rsidRDefault="00A35178"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E96532" w:rsidRPr="00E656AF" w14:paraId="50CE9093"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232B9817" w14:textId="77777777" w:rsidR="00E96532" w:rsidRPr="00E656AF" w:rsidRDefault="00E96532" w:rsidP="0094207F">
            <w:pPr>
              <w:keepNext/>
              <w:rPr>
                <w:rFonts w:ascii="Times New Roman" w:hAnsi="Times New Roman" w:cs="Times New Roman"/>
                <w:b w:val="0"/>
                <w:sz w:val="16"/>
                <w:szCs w:val="16"/>
              </w:rPr>
            </w:pPr>
          </w:p>
        </w:tc>
        <w:tc>
          <w:tcPr>
            <w:tcW w:w="2885" w:type="dxa"/>
          </w:tcPr>
          <w:p w14:paraId="5A765FEE" w14:textId="77777777" w:rsidR="00E96532" w:rsidRPr="00E656AF" w:rsidRDefault="00E96532"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Married, polygamous</w:t>
            </w:r>
          </w:p>
        </w:tc>
        <w:tc>
          <w:tcPr>
            <w:tcW w:w="2065" w:type="dxa"/>
          </w:tcPr>
          <w:p w14:paraId="0A4B026F" w14:textId="6FFBA111"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4</w:t>
            </w:r>
            <w:r w:rsidR="00BF1537">
              <w:rPr>
                <w:rFonts w:ascii="Times New Roman" w:hAnsi="Times New Roman" w:cs="Times New Roman"/>
                <w:sz w:val="16"/>
                <w:szCs w:val="16"/>
              </w:rPr>
              <w:t>0</w:t>
            </w:r>
            <w:r w:rsidR="00BF1537">
              <w:rPr>
                <w:rFonts w:ascii="Times New Roman" w:hAnsi="Times New Roman" w:cs="Times New Roman"/>
                <w:sz w:val="16"/>
                <w:szCs w:val="16"/>
              </w:rPr>
              <w:br/>
            </w:r>
            <w:r w:rsidR="007D3B03" w:rsidRPr="00E656AF">
              <w:rPr>
                <w:rFonts w:ascii="Times New Roman" w:hAnsi="Times New Roman" w:cs="Times New Roman"/>
                <w:sz w:val="16"/>
                <w:szCs w:val="16"/>
              </w:rPr>
              <w:t>(0</w:t>
            </w:r>
            <w:r w:rsidR="00452C0D">
              <w:rPr>
                <w:rFonts w:ascii="Times New Roman" w:hAnsi="Times New Roman" w:cs="Times New Roman"/>
                <w:sz w:val="16"/>
                <w:szCs w:val="16"/>
              </w:rPr>
              <w:t>.</w:t>
            </w:r>
            <w:r w:rsidR="007D3B03" w:rsidRPr="00E656AF">
              <w:rPr>
                <w:rFonts w:ascii="Times New Roman" w:hAnsi="Times New Roman" w:cs="Times New Roman"/>
                <w:sz w:val="16"/>
                <w:szCs w:val="16"/>
              </w:rPr>
              <w:t>44</w:t>
            </w:r>
            <w:r w:rsidRPr="00E656AF">
              <w:rPr>
                <w:rFonts w:ascii="Times New Roman" w:hAnsi="Times New Roman" w:cs="Times New Roman"/>
                <w:sz w:val="16"/>
                <w:szCs w:val="16"/>
              </w:rPr>
              <w:t>-4</w:t>
            </w:r>
            <w:r w:rsidR="00452C0D">
              <w:rPr>
                <w:rFonts w:ascii="Times New Roman" w:hAnsi="Times New Roman" w:cs="Times New Roman"/>
                <w:sz w:val="16"/>
                <w:szCs w:val="16"/>
              </w:rPr>
              <w:t>.</w:t>
            </w:r>
            <w:r w:rsidR="007D3B03" w:rsidRPr="00E656AF">
              <w:rPr>
                <w:rFonts w:ascii="Times New Roman" w:hAnsi="Times New Roman" w:cs="Times New Roman"/>
                <w:sz w:val="16"/>
                <w:szCs w:val="16"/>
              </w:rPr>
              <w:t>47</w:t>
            </w:r>
            <w:r w:rsidRPr="00E656AF">
              <w:rPr>
                <w:rFonts w:ascii="Times New Roman" w:hAnsi="Times New Roman" w:cs="Times New Roman"/>
                <w:sz w:val="16"/>
                <w:szCs w:val="16"/>
              </w:rPr>
              <w:t>)</w:t>
            </w:r>
          </w:p>
        </w:tc>
        <w:tc>
          <w:tcPr>
            <w:tcW w:w="1080" w:type="dxa"/>
          </w:tcPr>
          <w:p w14:paraId="7AA90F0C" w14:textId="0E34545E" w:rsidR="00E96532" w:rsidRPr="00E656AF" w:rsidRDefault="007D3B03"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56464</w:t>
            </w:r>
          </w:p>
        </w:tc>
        <w:tc>
          <w:tcPr>
            <w:tcW w:w="1985" w:type="dxa"/>
          </w:tcPr>
          <w:p w14:paraId="42B33E70" w14:textId="3BAD54BF" w:rsidR="00E96532" w:rsidRPr="00E656AF" w:rsidRDefault="00A35178"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57431">
              <w:rPr>
                <w:rFonts w:ascii="Times New Roman" w:hAnsi="Times New Roman" w:cs="Times New Roman"/>
                <w:sz w:val="16"/>
                <w:szCs w:val="16"/>
              </w:rPr>
              <w:t>51</w:t>
            </w:r>
            <w:r w:rsidR="00757431">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41-0</w:t>
            </w:r>
            <w:r w:rsidR="00452C0D">
              <w:rPr>
                <w:rFonts w:ascii="Times New Roman" w:hAnsi="Times New Roman" w:cs="Times New Roman"/>
                <w:sz w:val="16"/>
                <w:szCs w:val="16"/>
              </w:rPr>
              <w:t>.</w:t>
            </w:r>
            <w:r w:rsidRPr="00E656AF">
              <w:rPr>
                <w:rFonts w:ascii="Times New Roman" w:hAnsi="Times New Roman" w:cs="Times New Roman"/>
                <w:sz w:val="16"/>
                <w:szCs w:val="16"/>
              </w:rPr>
              <w:t>63)</w:t>
            </w:r>
          </w:p>
        </w:tc>
        <w:tc>
          <w:tcPr>
            <w:tcW w:w="1070" w:type="dxa"/>
          </w:tcPr>
          <w:p w14:paraId="716F2AEC" w14:textId="31330466" w:rsidR="00E96532" w:rsidRPr="00E656AF" w:rsidRDefault="00A35178"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0.01161</w:t>
            </w:r>
          </w:p>
        </w:tc>
      </w:tr>
      <w:tr w:rsidR="00E96532" w:rsidRPr="00E656AF" w14:paraId="4AD24CD5" w14:textId="77777777" w:rsidTr="0094207F">
        <w:tc>
          <w:tcPr>
            <w:cnfStyle w:val="001000000000" w:firstRow="0" w:lastRow="0" w:firstColumn="1" w:lastColumn="0" w:oddVBand="0" w:evenVBand="0" w:oddHBand="0" w:evenHBand="0" w:firstRowFirstColumn="0" w:firstRowLastColumn="0" w:lastRowFirstColumn="0" w:lastRowLastColumn="0"/>
            <w:tcW w:w="3150" w:type="dxa"/>
            <w:gridSpan w:val="2"/>
          </w:tcPr>
          <w:p w14:paraId="1F8D4686"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Years of education</w:t>
            </w:r>
          </w:p>
        </w:tc>
        <w:tc>
          <w:tcPr>
            <w:tcW w:w="2065" w:type="dxa"/>
          </w:tcPr>
          <w:p w14:paraId="09D74478" w14:textId="7A49EDB0"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BF1537">
              <w:rPr>
                <w:rFonts w:ascii="Times New Roman" w:hAnsi="Times New Roman" w:cs="Times New Roman"/>
                <w:sz w:val="16"/>
                <w:szCs w:val="16"/>
              </w:rPr>
              <w:t>00</w:t>
            </w:r>
            <w:r w:rsidR="00BF1537">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97</w:t>
            </w:r>
            <w:r w:rsidR="00414428" w:rsidRPr="00E656AF">
              <w:rPr>
                <w:rFonts w:ascii="Times New Roman" w:hAnsi="Times New Roman" w:cs="Times New Roman"/>
                <w:sz w:val="16"/>
                <w:szCs w:val="16"/>
              </w:rPr>
              <w:t>-1</w:t>
            </w:r>
            <w:r w:rsidR="00452C0D">
              <w:rPr>
                <w:rFonts w:ascii="Times New Roman" w:hAnsi="Times New Roman" w:cs="Times New Roman"/>
                <w:sz w:val="16"/>
                <w:szCs w:val="16"/>
              </w:rPr>
              <w:t>.</w:t>
            </w:r>
            <w:r w:rsidR="00414428" w:rsidRPr="00E656AF">
              <w:rPr>
                <w:rFonts w:ascii="Times New Roman" w:hAnsi="Times New Roman" w:cs="Times New Roman"/>
                <w:sz w:val="16"/>
                <w:szCs w:val="16"/>
              </w:rPr>
              <w:t>03</w:t>
            </w:r>
            <w:r w:rsidRPr="00E656AF">
              <w:rPr>
                <w:rFonts w:ascii="Times New Roman" w:hAnsi="Times New Roman" w:cs="Times New Roman"/>
                <w:sz w:val="16"/>
                <w:szCs w:val="16"/>
              </w:rPr>
              <w:t>)</w:t>
            </w:r>
          </w:p>
        </w:tc>
        <w:tc>
          <w:tcPr>
            <w:tcW w:w="1080" w:type="dxa"/>
          </w:tcPr>
          <w:p w14:paraId="226A7581" w14:textId="3D33B9ED" w:rsidR="00E96532" w:rsidRPr="00E656AF" w:rsidRDefault="00FC6B8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85978</w:t>
            </w:r>
          </w:p>
        </w:tc>
        <w:tc>
          <w:tcPr>
            <w:tcW w:w="1985" w:type="dxa"/>
          </w:tcPr>
          <w:p w14:paraId="692A9B65" w14:textId="6C19556F" w:rsidR="00E96532" w:rsidRPr="00E656AF" w:rsidRDefault="00A4313B"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00</w:t>
            </w:r>
            <w:r w:rsidR="00757431">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98-1</w:t>
            </w:r>
            <w:r w:rsidR="00452C0D">
              <w:rPr>
                <w:rFonts w:ascii="Times New Roman" w:hAnsi="Times New Roman" w:cs="Times New Roman"/>
                <w:sz w:val="16"/>
                <w:szCs w:val="16"/>
              </w:rPr>
              <w:t>.</w:t>
            </w:r>
            <w:r w:rsidRPr="00E656AF">
              <w:rPr>
                <w:rFonts w:ascii="Times New Roman" w:hAnsi="Times New Roman" w:cs="Times New Roman"/>
                <w:sz w:val="16"/>
                <w:szCs w:val="16"/>
              </w:rPr>
              <w:t>02)</w:t>
            </w:r>
          </w:p>
        </w:tc>
        <w:tc>
          <w:tcPr>
            <w:tcW w:w="1070" w:type="dxa"/>
          </w:tcPr>
          <w:p w14:paraId="2298611D" w14:textId="56BB84A3" w:rsidR="00E96532" w:rsidRPr="00E656AF" w:rsidRDefault="00A4313B"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72179</w:t>
            </w:r>
          </w:p>
        </w:tc>
      </w:tr>
      <w:tr w:rsidR="00E96532" w:rsidRPr="00E656AF" w14:paraId="15752AB1"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00DA632C"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Perceived financial status</w:t>
            </w:r>
          </w:p>
        </w:tc>
        <w:tc>
          <w:tcPr>
            <w:tcW w:w="2065" w:type="dxa"/>
          </w:tcPr>
          <w:p w14:paraId="551B2FA7"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0" w:type="dxa"/>
          </w:tcPr>
          <w:p w14:paraId="0EFFFB01"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5" w:type="dxa"/>
          </w:tcPr>
          <w:p w14:paraId="0D4D126F"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70" w:type="dxa"/>
          </w:tcPr>
          <w:p w14:paraId="60C8E139" w14:textId="77777777"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E96532" w:rsidRPr="00E656AF" w14:paraId="3FF72AEA" w14:textId="77777777" w:rsidTr="0094207F">
        <w:tc>
          <w:tcPr>
            <w:cnfStyle w:val="001000000000" w:firstRow="0" w:lastRow="0" w:firstColumn="1" w:lastColumn="0" w:oddVBand="0" w:evenVBand="0" w:oddHBand="0" w:evenHBand="0" w:firstRowFirstColumn="0" w:firstRowLastColumn="0" w:lastRowFirstColumn="0" w:lastRowLastColumn="0"/>
            <w:tcW w:w="265" w:type="dxa"/>
          </w:tcPr>
          <w:p w14:paraId="4AF379C1" w14:textId="77777777" w:rsidR="00E96532" w:rsidRPr="00E656AF" w:rsidRDefault="00E96532" w:rsidP="0094207F">
            <w:pPr>
              <w:keepNext/>
              <w:rPr>
                <w:rFonts w:ascii="Times New Roman" w:hAnsi="Times New Roman" w:cs="Times New Roman"/>
                <w:b w:val="0"/>
                <w:sz w:val="16"/>
                <w:szCs w:val="16"/>
              </w:rPr>
            </w:pPr>
          </w:p>
        </w:tc>
        <w:tc>
          <w:tcPr>
            <w:tcW w:w="2885" w:type="dxa"/>
          </w:tcPr>
          <w:p w14:paraId="7992B674" w14:textId="77777777" w:rsidR="00E96532" w:rsidRPr="00E656AF" w:rsidRDefault="00E96532"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Unknown (baseline)</w:t>
            </w:r>
          </w:p>
        </w:tc>
        <w:tc>
          <w:tcPr>
            <w:tcW w:w="2065" w:type="dxa"/>
          </w:tcPr>
          <w:p w14:paraId="0C6E7C13" w14:textId="08701BA1"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0" w:type="dxa"/>
          </w:tcPr>
          <w:p w14:paraId="059AA92A"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195875F2" w14:textId="779F31FC" w:rsidR="00E96532" w:rsidRPr="00E656AF" w:rsidRDefault="003B6DDB"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71B1758A" w14:textId="77777777"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96532" w:rsidRPr="00E656AF" w14:paraId="05389EF2"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08362F8C" w14:textId="77777777" w:rsidR="00E96532" w:rsidRPr="00E656AF" w:rsidRDefault="00E96532" w:rsidP="0094207F">
            <w:pPr>
              <w:keepNext/>
              <w:rPr>
                <w:rFonts w:ascii="Times New Roman" w:hAnsi="Times New Roman" w:cs="Times New Roman"/>
                <w:b w:val="0"/>
                <w:sz w:val="16"/>
                <w:szCs w:val="16"/>
              </w:rPr>
            </w:pPr>
          </w:p>
        </w:tc>
        <w:tc>
          <w:tcPr>
            <w:tcW w:w="2885" w:type="dxa"/>
          </w:tcPr>
          <w:p w14:paraId="21CACDDA" w14:textId="77777777" w:rsidR="00E96532" w:rsidRPr="00E656AF" w:rsidRDefault="00E96532"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Comfortable or just getting by</w:t>
            </w:r>
          </w:p>
        </w:tc>
        <w:tc>
          <w:tcPr>
            <w:tcW w:w="2065" w:type="dxa"/>
          </w:tcPr>
          <w:p w14:paraId="7C47DC50" w14:textId="6D8F1992" w:rsidR="00E96532" w:rsidRPr="00E656AF" w:rsidRDefault="00D025B0"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BF1537">
              <w:rPr>
                <w:rFonts w:ascii="Times New Roman" w:hAnsi="Times New Roman" w:cs="Times New Roman"/>
                <w:sz w:val="16"/>
                <w:szCs w:val="16"/>
              </w:rPr>
              <w:t>79</w:t>
            </w:r>
            <w:r w:rsidR="00BF1537">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15-2</w:t>
            </w:r>
            <w:r w:rsidR="00452C0D">
              <w:rPr>
                <w:rFonts w:ascii="Times New Roman" w:hAnsi="Times New Roman" w:cs="Times New Roman"/>
                <w:sz w:val="16"/>
                <w:szCs w:val="16"/>
              </w:rPr>
              <w:t>.</w:t>
            </w:r>
            <w:r w:rsidRPr="00E656AF">
              <w:rPr>
                <w:rFonts w:ascii="Times New Roman" w:hAnsi="Times New Roman" w:cs="Times New Roman"/>
                <w:sz w:val="16"/>
                <w:szCs w:val="16"/>
              </w:rPr>
              <w:t>78</w:t>
            </w:r>
            <w:r w:rsidR="00E96532" w:rsidRPr="00E656AF">
              <w:rPr>
                <w:rFonts w:ascii="Times New Roman" w:hAnsi="Times New Roman" w:cs="Times New Roman"/>
                <w:sz w:val="16"/>
                <w:szCs w:val="16"/>
              </w:rPr>
              <w:t>)</w:t>
            </w:r>
          </w:p>
        </w:tc>
        <w:tc>
          <w:tcPr>
            <w:tcW w:w="1080" w:type="dxa"/>
          </w:tcPr>
          <w:p w14:paraId="6BDBEB23" w14:textId="765655ED" w:rsidR="00E96532" w:rsidRPr="00E656AF" w:rsidRDefault="00C85A0C"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00964</w:t>
            </w:r>
          </w:p>
        </w:tc>
        <w:tc>
          <w:tcPr>
            <w:tcW w:w="1985" w:type="dxa"/>
          </w:tcPr>
          <w:p w14:paraId="6ED88424" w14:textId="73AC7BB0" w:rsidR="00E96532" w:rsidRPr="00E656AF" w:rsidRDefault="003C2B65"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79</w:t>
            </w:r>
            <w:r w:rsidR="00757431">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37-2</w:t>
            </w:r>
            <w:r w:rsidR="00452C0D">
              <w:rPr>
                <w:rFonts w:ascii="Times New Roman" w:hAnsi="Times New Roman" w:cs="Times New Roman"/>
                <w:sz w:val="16"/>
                <w:szCs w:val="16"/>
              </w:rPr>
              <w:t>.</w:t>
            </w:r>
            <w:r w:rsidRPr="00E656AF">
              <w:rPr>
                <w:rFonts w:ascii="Times New Roman" w:hAnsi="Times New Roman" w:cs="Times New Roman"/>
                <w:sz w:val="16"/>
                <w:szCs w:val="16"/>
              </w:rPr>
              <w:t>36)</w:t>
            </w:r>
          </w:p>
        </w:tc>
        <w:tc>
          <w:tcPr>
            <w:tcW w:w="1070" w:type="dxa"/>
          </w:tcPr>
          <w:p w14:paraId="03523E9C" w14:textId="2013AD7D" w:rsidR="00E96532" w:rsidRPr="00E656AF" w:rsidRDefault="003C2B65"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E96532" w:rsidRPr="00E656AF" w14:paraId="332AEAC1" w14:textId="77777777" w:rsidTr="0094207F">
        <w:tc>
          <w:tcPr>
            <w:cnfStyle w:val="001000000000" w:firstRow="0" w:lastRow="0" w:firstColumn="1" w:lastColumn="0" w:oddVBand="0" w:evenVBand="0" w:oddHBand="0" w:evenHBand="0" w:firstRowFirstColumn="0" w:firstRowLastColumn="0" w:lastRowFirstColumn="0" w:lastRowLastColumn="0"/>
            <w:tcW w:w="265" w:type="dxa"/>
          </w:tcPr>
          <w:p w14:paraId="68366D33" w14:textId="77777777" w:rsidR="00E96532" w:rsidRPr="00E656AF" w:rsidRDefault="00E96532" w:rsidP="0094207F">
            <w:pPr>
              <w:keepNext/>
              <w:rPr>
                <w:rFonts w:ascii="Times New Roman" w:hAnsi="Times New Roman" w:cs="Times New Roman"/>
                <w:b w:val="0"/>
                <w:sz w:val="16"/>
                <w:szCs w:val="16"/>
              </w:rPr>
            </w:pPr>
          </w:p>
        </w:tc>
        <w:tc>
          <w:tcPr>
            <w:tcW w:w="2885" w:type="dxa"/>
          </w:tcPr>
          <w:p w14:paraId="0B0832B6" w14:textId="77777777" w:rsidR="00E96532" w:rsidRPr="00E656AF" w:rsidRDefault="00E96532"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Poor</w:t>
            </w:r>
          </w:p>
        </w:tc>
        <w:tc>
          <w:tcPr>
            <w:tcW w:w="2065" w:type="dxa"/>
          </w:tcPr>
          <w:p w14:paraId="548E179A" w14:textId="4B77F7CF" w:rsidR="00E96532" w:rsidRPr="00E656AF" w:rsidRDefault="001C57C5"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BF1537">
              <w:rPr>
                <w:rFonts w:ascii="Times New Roman" w:hAnsi="Times New Roman" w:cs="Times New Roman"/>
                <w:sz w:val="16"/>
                <w:szCs w:val="16"/>
              </w:rPr>
              <w:t>96</w:t>
            </w:r>
            <w:r w:rsidR="00BF1537">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36-2</w:t>
            </w:r>
            <w:r w:rsidR="00452C0D">
              <w:rPr>
                <w:rFonts w:ascii="Times New Roman" w:hAnsi="Times New Roman" w:cs="Times New Roman"/>
                <w:sz w:val="16"/>
                <w:szCs w:val="16"/>
              </w:rPr>
              <w:t>.</w:t>
            </w:r>
            <w:r w:rsidRPr="00E656AF">
              <w:rPr>
                <w:rFonts w:ascii="Times New Roman" w:hAnsi="Times New Roman" w:cs="Times New Roman"/>
                <w:sz w:val="16"/>
                <w:szCs w:val="16"/>
              </w:rPr>
              <w:t>82</w:t>
            </w:r>
            <w:r w:rsidR="00E96532" w:rsidRPr="00E656AF">
              <w:rPr>
                <w:rFonts w:ascii="Times New Roman" w:hAnsi="Times New Roman" w:cs="Times New Roman"/>
                <w:sz w:val="16"/>
                <w:szCs w:val="16"/>
              </w:rPr>
              <w:t>)</w:t>
            </w:r>
          </w:p>
        </w:tc>
        <w:tc>
          <w:tcPr>
            <w:tcW w:w="1080" w:type="dxa"/>
          </w:tcPr>
          <w:p w14:paraId="6A2C6495" w14:textId="1850E70F" w:rsidR="00E96532" w:rsidRPr="00E656AF" w:rsidRDefault="00916769"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00028</w:t>
            </w:r>
          </w:p>
        </w:tc>
        <w:tc>
          <w:tcPr>
            <w:tcW w:w="1985" w:type="dxa"/>
          </w:tcPr>
          <w:p w14:paraId="441B88B6" w14:textId="4DBD9FA9" w:rsidR="00E96532" w:rsidRPr="00E656AF" w:rsidRDefault="003C2B65"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76</w:t>
            </w:r>
            <w:r w:rsidR="00757431">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38-2</w:t>
            </w:r>
            <w:r w:rsidR="00452C0D">
              <w:rPr>
                <w:rFonts w:ascii="Times New Roman" w:hAnsi="Times New Roman" w:cs="Times New Roman"/>
                <w:sz w:val="16"/>
                <w:szCs w:val="16"/>
              </w:rPr>
              <w:t>.</w:t>
            </w:r>
            <w:r w:rsidRPr="00E656AF">
              <w:rPr>
                <w:rFonts w:ascii="Times New Roman" w:hAnsi="Times New Roman" w:cs="Times New Roman"/>
                <w:sz w:val="16"/>
                <w:szCs w:val="16"/>
              </w:rPr>
              <w:t>24)</w:t>
            </w:r>
          </w:p>
        </w:tc>
        <w:tc>
          <w:tcPr>
            <w:tcW w:w="1070" w:type="dxa"/>
          </w:tcPr>
          <w:p w14:paraId="6F588D20" w14:textId="5CA46382" w:rsidR="00E96532" w:rsidRPr="00E656AF" w:rsidRDefault="003C2B65"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E96532" w:rsidRPr="00E656AF" w14:paraId="0947CE1C"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107CB7C5"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Age</w:t>
            </w:r>
          </w:p>
        </w:tc>
        <w:tc>
          <w:tcPr>
            <w:tcW w:w="2065" w:type="dxa"/>
          </w:tcPr>
          <w:p w14:paraId="1BA2C940" w14:textId="6C7E304C" w:rsidR="00E96532" w:rsidRPr="00E656AF" w:rsidRDefault="00576AC5"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BF1537">
              <w:rPr>
                <w:rFonts w:ascii="Times New Roman" w:hAnsi="Times New Roman" w:cs="Times New Roman"/>
                <w:sz w:val="16"/>
                <w:szCs w:val="16"/>
              </w:rPr>
              <w:t>97</w:t>
            </w:r>
            <w:r w:rsidR="00BF1537">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95-0</w:t>
            </w:r>
            <w:r w:rsidR="00452C0D">
              <w:rPr>
                <w:rFonts w:ascii="Times New Roman" w:hAnsi="Times New Roman" w:cs="Times New Roman"/>
                <w:sz w:val="16"/>
                <w:szCs w:val="16"/>
              </w:rPr>
              <w:t>.</w:t>
            </w:r>
            <w:r w:rsidRPr="00E656AF">
              <w:rPr>
                <w:rFonts w:ascii="Times New Roman" w:hAnsi="Times New Roman" w:cs="Times New Roman"/>
                <w:sz w:val="16"/>
                <w:szCs w:val="16"/>
              </w:rPr>
              <w:t>98</w:t>
            </w:r>
            <w:r w:rsidR="00E96532" w:rsidRPr="00E656AF">
              <w:rPr>
                <w:rFonts w:ascii="Times New Roman" w:hAnsi="Times New Roman" w:cs="Times New Roman"/>
                <w:sz w:val="16"/>
                <w:szCs w:val="16"/>
              </w:rPr>
              <w:t>)</w:t>
            </w:r>
          </w:p>
        </w:tc>
        <w:tc>
          <w:tcPr>
            <w:tcW w:w="1080" w:type="dxa"/>
          </w:tcPr>
          <w:p w14:paraId="4F0F5711" w14:textId="3A3224D4"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5" w:type="dxa"/>
          </w:tcPr>
          <w:p w14:paraId="1A8C1792" w14:textId="046FCA16" w:rsidR="00E96532" w:rsidRPr="00E656AF" w:rsidRDefault="0054414A"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57431">
              <w:rPr>
                <w:rFonts w:ascii="Times New Roman" w:hAnsi="Times New Roman" w:cs="Times New Roman"/>
                <w:sz w:val="16"/>
                <w:szCs w:val="16"/>
              </w:rPr>
              <w:t>92</w:t>
            </w:r>
            <w:r w:rsidR="00757431">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91-0</w:t>
            </w:r>
            <w:r w:rsidR="00452C0D">
              <w:rPr>
                <w:rFonts w:ascii="Times New Roman" w:hAnsi="Times New Roman" w:cs="Times New Roman"/>
                <w:sz w:val="16"/>
                <w:szCs w:val="16"/>
              </w:rPr>
              <w:t>.</w:t>
            </w:r>
            <w:r w:rsidRPr="00E656AF">
              <w:rPr>
                <w:rFonts w:ascii="Times New Roman" w:hAnsi="Times New Roman" w:cs="Times New Roman"/>
                <w:sz w:val="16"/>
                <w:szCs w:val="16"/>
              </w:rPr>
              <w:t>93)</w:t>
            </w:r>
          </w:p>
        </w:tc>
        <w:tc>
          <w:tcPr>
            <w:tcW w:w="1070" w:type="dxa"/>
          </w:tcPr>
          <w:p w14:paraId="0B710134" w14:textId="0709A8CA" w:rsidR="00E96532" w:rsidRPr="00E656AF" w:rsidRDefault="00F871D3"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r w:rsidR="00E96532" w:rsidRPr="00E656AF" w14:paraId="2AD76321" w14:textId="77777777" w:rsidTr="0094207F">
        <w:tc>
          <w:tcPr>
            <w:cnfStyle w:val="001000000000" w:firstRow="0" w:lastRow="0" w:firstColumn="1" w:lastColumn="0" w:oddVBand="0" w:evenVBand="0" w:oddHBand="0" w:evenHBand="0" w:firstRowFirstColumn="0" w:firstRowLastColumn="0" w:lastRowFirstColumn="0" w:lastRowLastColumn="0"/>
            <w:tcW w:w="3150" w:type="dxa"/>
            <w:gridSpan w:val="2"/>
          </w:tcPr>
          <w:p w14:paraId="22BAADB7"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Age</w:t>
            </w:r>
            <w:r w:rsidRPr="00E656AF">
              <w:rPr>
                <w:rFonts w:ascii="Times New Roman" w:hAnsi="Times New Roman" w:cs="Times New Roman"/>
                <w:b w:val="0"/>
                <w:sz w:val="16"/>
                <w:szCs w:val="16"/>
                <w:vertAlign w:val="superscript"/>
              </w:rPr>
              <w:t>2</w:t>
            </w:r>
          </w:p>
        </w:tc>
        <w:tc>
          <w:tcPr>
            <w:tcW w:w="2065" w:type="dxa"/>
          </w:tcPr>
          <w:p w14:paraId="6EA6F907" w14:textId="1A668A24"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BF1537">
              <w:rPr>
                <w:rFonts w:ascii="Times New Roman" w:hAnsi="Times New Roman" w:cs="Times New Roman"/>
                <w:sz w:val="16"/>
                <w:szCs w:val="16"/>
              </w:rPr>
              <w:t>00</w:t>
            </w:r>
            <w:r w:rsidR="00BF1537">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99-1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0" w:type="dxa"/>
          </w:tcPr>
          <w:p w14:paraId="16AC808D" w14:textId="07554C7B" w:rsidR="00E96532" w:rsidRPr="00E656AF" w:rsidRDefault="00E96532"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5" w:type="dxa"/>
          </w:tcPr>
          <w:p w14:paraId="72CC5033" w14:textId="15183129" w:rsidR="00E96532" w:rsidRPr="00E656AF" w:rsidRDefault="00200736"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00</w:t>
            </w:r>
            <w:r w:rsidR="00757431">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232DB076" w14:textId="3B53DAF9" w:rsidR="00E96532" w:rsidRPr="00E656AF" w:rsidRDefault="00F871D3" w:rsidP="00BF1537">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r w:rsidR="00E96532" w:rsidRPr="00E656AF" w14:paraId="67A1B570" w14:textId="77777777" w:rsidTr="00942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2402AEAC" w14:textId="77777777" w:rsidR="00E96532" w:rsidRPr="00E656AF" w:rsidRDefault="00E96532"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Age</w:t>
            </w:r>
            <w:r w:rsidRPr="00E656AF">
              <w:rPr>
                <w:rFonts w:ascii="Times New Roman" w:hAnsi="Times New Roman" w:cs="Times New Roman"/>
                <w:b w:val="0"/>
                <w:sz w:val="16"/>
                <w:szCs w:val="16"/>
                <w:vertAlign w:val="superscript"/>
              </w:rPr>
              <w:t>3</w:t>
            </w:r>
          </w:p>
        </w:tc>
        <w:tc>
          <w:tcPr>
            <w:tcW w:w="2065" w:type="dxa"/>
          </w:tcPr>
          <w:p w14:paraId="15F3D37B" w14:textId="197531AC"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BF1537">
              <w:rPr>
                <w:rFonts w:ascii="Times New Roman" w:hAnsi="Times New Roman" w:cs="Times New Roman"/>
                <w:sz w:val="16"/>
                <w:szCs w:val="16"/>
              </w:rPr>
              <w:t>00</w:t>
            </w:r>
            <w:r w:rsidR="00BF1537">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0" w:type="dxa"/>
          </w:tcPr>
          <w:p w14:paraId="4604C4BD" w14:textId="3EF6212E" w:rsidR="00E96532" w:rsidRPr="00E656AF" w:rsidRDefault="00E96532"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5" w:type="dxa"/>
          </w:tcPr>
          <w:p w14:paraId="3FFC6332" w14:textId="5FD14C0B" w:rsidR="00E96532" w:rsidRPr="00E656AF" w:rsidRDefault="00200736"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57431">
              <w:rPr>
                <w:rFonts w:ascii="Times New Roman" w:hAnsi="Times New Roman" w:cs="Times New Roman"/>
                <w:sz w:val="16"/>
                <w:szCs w:val="16"/>
              </w:rPr>
              <w:t>00</w:t>
            </w:r>
            <w:r w:rsidR="00757431">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50765B84" w14:textId="0F7E7B95" w:rsidR="00E96532" w:rsidRPr="00E656AF" w:rsidRDefault="00F871D3" w:rsidP="00BF153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bl>
    <w:p w14:paraId="41BA6566" w14:textId="23F99889" w:rsidR="00E96532" w:rsidRPr="00E656AF" w:rsidRDefault="00CC084B" w:rsidP="00E96532">
      <w:pPr>
        <w:pStyle w:val="Caption"/>
        <w:rPr>
          <w:rFonts w:ascii="Times New Roman" w:hAnsi="Times New Roman" w:cs="Times New Roman"/>
          <w:sz w:val="20"/>
          <w:szCs w:val="20"/>
        </w:rPr>
      </w:pPr>
      <w:r>
        <w:rPr>
          <w:rFonts w:ascii="Times New Roman" w:hAnsi="Times New Roman" w:cs="Times New Roman"/>
          <w:b w:val="0"/>
          <w:sz w:val="20"/>
          <w:szCs w:val="20"/>
        </w:rPr>
        <w:t xml:space="preserve">Notes: </w:t>
      </w:r>
      <w:r w:rsidR="00E96532" w:rsidRPr="00E656AF">
        <w:rPr>
          <w:rFonts w:ascii="Times New Roman" w:hAnsi="Times New Roman" w:cs="Times New Roman"/>
          <w:b w:val="0"/>
          <w:sz w:val="20"/>
          <w:szCs w:val="20"/>
        </w:rPr>
        <w:t xml:space="preserve">All the risk factors with the exception of sexual partners are time dependent. </w:t>
      </w:r>
      <w:r w:rsidR="00E96532" w:rsidRPr="00E656AF">
        <w:rPr>
          <w:rFonts w:ascii="Times New Roman" w:hAnsi="Times New Roman" w:cs="Times New Roman"/>
          <w:sz w:val="20"/>
          <w:szCs w:val="20"/>
        </w:rPr>
        <w:t xml:space="preserve"> </w:t>
      </w:r>
    </w:p>
    <w:p w14:paraId="7A573A6A" w14:textId="3614A4B9" w:rsidR="004157EA" w:rsidRDefault="004157EA">
      <w:r>
        <w:br w:type="page"/>
      </w:r>
    </w:p>
    <w:p w14:paraId="51001EE1" w14:textId="77777777" w:rsidR="00E96532" w:rsidRPr="00E656AF" w:rsidRDefault="00E96532" w:rsidP="00E96532"/>
    <w:p w14:paraId="6E725DB4" w14:textId="79ECDD5B" w:rsidR="00E96532" w:rsidRPr="00E656AF" w:rsidRDefault="004157EA" w:rsidP="004157EA">
      <w:pPr>
        <w:pStyle w:val="Caption"/>
      </w:pPr>
      <w:r w:rsidRPr="00E656AF">
        <w:rPr>
          <w:rFonts w:ascii="Times New Roman" w:hAnsi="Times New Roman" w:cs="Times New Roman"/>
          <w:sz w:val="20"/>
          <w:szCs w:val="20"/>
        </w:rPr>
        <w:t>Table S</w:t>
      </w:r>
      <w:r w:rsidR="00ED2A28">
        <w:rPr>
          <w:rFonts w:ascii="Times New Roman" w:hAnsi="Times New Roman" w:cs="Times New Roman"/>
          <w:sz w:val="20"/>
          <w:szCs w:val="20"/>
        </w:rPr>
        <w:t>6</w:t>
      </w:r>
      <w:r w:rsidRPr="00E656AF">
        <w:rPr>
          <w:rFonts w:ascii="Times New Roman" w:hAnsi="Times New Roman" w:cs="Times New Roman"/>
          <w:sz w:val="20"/>
          <w:szCs w:val="20"/>
        </w:rPr>
        <w:t xml:space="preserve">. </w:t>
      </w:r>
      <w:r w:rsidRPr="005B4A08">
        <w:rPr>
          <w:rFonts w:ascii="Times New Roman" w:hAnsi="Times New Roman" w:cs="Times New Roman"/>
          <w:sz w:val="20"/>
          <w:szCs w:val="20"/>
        </w:rPr>
        <w:t>Full output from Cox proportional hazards models for men and women that estimate repeat-testers’ hazard of HIV seroconversion conditional on migration distance, and on sexual and sociodemographic factors</w:t>
      </w:r>
    </w:p>
    <w:tbl>
      <w:tblPr>
        <w:tblStyle w:val="GridTable2"/>
        <w:tblW w:w="0" w:type="auto"/>
        <w:tblLayout w:type="fixed"/>
        <w:tblLook w:val="04A0" w:firstRow="1" w:lastRow="0" w:firstColumn="1" w:lastColumn="0" w:noHBand="0" w:noVBand="1"/>
      </w:tblPr>
      <w:tblGrid>
        <w:gridCol w:w="265"/>
        <w:gridCol w:w="2885"/>
        <w:gridCol w:w="2065"/>
        <w:gridCol w:w="1085"/>
        <w:gridCol w:w="1980"/>
        <w:gridCol w:w="1070"/>
      </w:tblGrid>
      <w:tr w:rsidR="00643D56" w:rsidRPr="00E656AF" w14:paraId="0D456C26" w14:textId="77777777" w:rsidTr="00C45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1DEB02DD" w14:textId="414F5876" w:rsidR="00643D56" w:rsidRPr="00E656AF" w:rsidRDefault="00643D56" w:rsidP="0094207F">
            <w:pPr>
              <w:keepNext/>
              <w:rPr>
                <w:rFonts w:ascii="Times New Roman" w:hAnsi="Times New Roman" w:cs="Times New Roman"/>
                <w:sz w:val="20"/>
                <w:szCs w:val="20"/>
              </w:rPr>
            </w:pPr>
            <w:r w:rsidRPr="00E656AF">
              <w:br w:type="page"/>
            </w:r>
          </w:p>
        </w:tc>
        <w:tc>
          <w:tcPr>
            <w:tcW w:w="3150" w:type="dxa"/>
            <w:gridSpan w:val="2"/>
          </w:tcPr>
          <w:p w14:paraId="5BD99C18" w14:textId="77777777" w:rsidR="00643D56" w:rsidRPr="00E656AF" w:rsidRDefault="00643D56" w:rsidP="0094207F">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56AF">
              <w:rPr>
                <w:rFonts w:ascii="Times New Roman" w:hAnsi="Times New Roman" w:cs="Times New Roman"/>
                <w:sz w:val="20"/>
                <w:szCs w:val="20"/>
              </w:rPr>
              <w:t>Men</w:t>
            </w:r>
          </w:p>
        </w:tc>
        <w:tc>
          <w:tcPr>
            <w:tcW w:w="3050" w:type="dxa"/>
            <w:gridSpan w:val="2"/>
          </w:tcPr>
          <w:p w14:paraId="46462D52" w14:textId="77777777" w:rsidR="00643D56" w:rsidRPr="00E656AF" w:rsidRDefault="00643D56" w:rsidP="0094207F">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56AF">
              <w:rPr>
                <w:rFonts w:ascii="Times New Roman" w:hAnsi="Times New Roman" w:cs="Times New Roman"/>
                <w:sz w:val="20"/>
                <w:szCs w:val="20"/>
              </w:rPr>
              <w:t>Women</w:t>
            </w:r>
          </w:p>
        </w:tc>
      </w:tr>
      <w:tr w:rsidR="00643D56" w:rsidRPr="00E656AF" w14:paraId="32AEE1FD"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3B529A9D" w14:textId="20BAB43E" w:rsidR="00643D56" w:rsidRPr="00E656AF" w:rsidRDefault="00945E15" w:rsidP="0094207F">
            <w:pPr>
              <w:keepNext/>
              <w:rPr>
                <w:rFonts w:ascii="Times New Roman" w:hAnsi="Times New Roman" w:cs="Times New Roman"/>
                <w:sz w:val="16"/>
                <w:szCs w:val="16"/>
              </w:rPr>
            </w:pPr>
            <w:r w:rsidRPr="00E656AF">
              <w:rPr>
                <w:rFonts w:ascii="Times New Roman" w:hAnsi="Times New Roman" w:cs="Times New Roman"/>
                <w:sz w:val="16"/>
                <w:szCs w:val="16"/>
              </w:rPr>
              <w:t>Risk factor</w:t>
            </w:r>
          </w:p>
        </w:tc>
        <w:tc>
          <w:tcPr>
            <w:tcW w:w="2065" w:type="dxa"/>
          </w:tcPr>
          <w:p w14:paraId="6B024456"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Adjusted hazard ratio (95% CI)</w:t>
            </w:r>
          </w:p>
        </w:tc>
        <w:tc>
          <w:tcPr>
            <w:tcW w:w="1085" w:type="dxa"/>
          </w:tcPr>
          <w:p w14:paraId="51048623"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p value</w:t>
            </w:r>
          </w:p>
        </w:tc>
        <w:tc>
          <w:tcPr>
            <w:tcW w:w="1980" w:type="dxa"/>
          </w:tcPr>
          <w:p w14:paraId="359ABFF6"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Adjusted hazard ratio (95% CI)</w:t>
            </w:r>
          </w:p>
        </w:tc>
        <w:tc>
          <w:tcPr>
            <w:tcW w:w="1070" w:type="dxa"/>
          </w:tcPr>
          <w:p w14:paraId="0CC312A4"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E656AF">
              <w:rPr>
                <w:rFonts w:ascii="Times New Roman" w:hAnsi="Times New Roman" w:cs="Times New Roman"/>
                <w:b/>
                <w:sz w:val="16"/>
                <w:szCs w:val="16"/>
              </w:rPr>
              <w:t>p value</w:t>
            </w:r>
          </w:p>
        </w:tc>
      </w:tr>
      <w:tr w:rsidR="00643D56" w:rsidRPr="00E656AF" w14:paraId="18A4C5BA" w14:textId="77777777" w:rsidTr="00C45916">
        <w:tc>
          <w:tcPr>
            <w:cnfStyle w:val="001000000000" w:firstRow="0" w:lastRow="0" w:firstColumn="1" w:lastColumn="0" w:oddVBand="0" w:evenVBand="0" w:oddHBand="0" w:evenHBand="0" w:firstRowFirstColumn="0" w:firstRowLastColumn="0" w:lastRowFirstColumn="0" w:lastRowLastColumn="0"/>
            <w:tcW w:w="3150" w:type="dxa"/>
            <w:gridSpan w:val="2"/>
          </w:tcPr>
          <w:p w14:paraId="7A207A87" w14:textId="57A5D5CC" w:rsidR="00643D56" w:rsidRPr="00E656AF" w:rsidRDefault="0094207F"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l</w:t>
            </w:r>
            <w:r w:rsidR="00643D56" w:rsidRPr="00E656AF">
              <w:rPr>
                <w:rFonts w:ascii="Times New Roman" w:hAnsi="Times New Roman" w:cs="Times New Roman"/>
                <w:b w:val="0"/>
                <w:sz w:val="16"/>
                <w:szCs w:val="16"/>
              </w:rPr>
              <w:t>og(</w:t>
            </w:r>
            <w:r w:rsidR="0044421F" w:rsidRPr="00E656AF">
              <w:rPr>
                <w:rFonts w:ascii="Times New Roman" w:hAnsi="Times New Roman" w:cs="Times New Roman"/>
                <w:b w:val="0"/>
                <w:sz w:val="16"/>
                <w:szCs w:val="16"/>
              </w:rPr>
              <w:t>1+Migration Distance</w:t>
            </w:r>
            <w:r w:rsidR="00643D56" w:rsidRPr="00E656AF">
              <w:rPr>
                <w:rFonts w:ascii="Times New Roman" w:hAnsi="Times New Roman" w:cs="Times New Roman"/>
                <w:b w:val="0"/>
                <w:sz w:val="16"/>
                <w:szCs w:val="16"/>
              </w:rPr>
              <w:t>)</w:t>
            </w:r>
          </w:p>
        </w:tc>
        <w:tc>
          <w:tcPr>
            <w:tcW w:w="2065" w:type="dxa"/>
          </w:tcPr>
          <w:p w14:paraId="4B098228" w14:textId="2488699B" w:rsidR="00643D56" w:rsidRPr="00E656AF" w:rsidRDefault="007A4D2D"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12</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06</w:t>
            </w:r>
            <w:r w:rsidR="003E7A2D" w:rsidRPr="00E656AF">
              <w:rPr>
                <w:rFonts w:ascii="Times New Roman" w:hAnsi="Times New Roman" w:cs="Times New Roman"/>
                <w:sz w:val="16"/>
                <w:szCs w:val="16"/>
              </w:rPr>
              <w:t>-1</w:t>
            </w:r>
            <w:r w:rsidR="00452C0D">
              <w:rPr>
                <w:rFonts w:ascii="Times New Roman" w:hAnsi="Times New Roman" w:cs="Times New Roman"/>
                <w:sz w:val="16"/>
                <w:szCs w:val="16"/>
              </w:rPr>
              <w:t>.</w:t>
            </w:r>
            <w:r w:rsidR="003E7A2D" w:rsidRPr="00E656AF">
              <w:rPr>
                <w:rFonts w:ascii="Times New Roman" w:hAnsi="Times New Roman" w:cs="Times New Roman"/>
                <w:sz w:val="16"/>
                <w:szCs w:val="16"/>
              </w:rPr>
              <w:t>17</w:t>
            </w:r>
            <w:r w:rsidR="00643D56" w:rsidRPr="00E656AF">
              <w:rPr>
                <w:rFonts w:ascii="Times New Roman" w:hAnsi="Times New Roman" w:cs="Times New Roman"/>
                <w:sz w:val="16"/>
                <w:szCs w:val="16"/>
              </w:rPr>
              <w:t>)</w:t>
            </w:r>
          </w:p>
        </w:tc>
        <w:tc>
          <w:tcPr>
            <w:tcW w:w="1085" w:type="dxa"/>
          </w:tcPr>
          <w:p w14:paraId="46D30EC6" w14:textId="09D445E0" w:rsidR="00643D56" w:rsidRPr="00E656AF" w:rsidRDefault="00C63601"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0" w:type="dxa"/>
          </w:tcPr>
          <w:p w14:paraId="29EA9E65" w14:textId="08017F84" w:rsidR="00643D56" w:rsidRPr="00E656AF" w:rsidRDefault="00B30A5D"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09</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05-1</w:t>
            </w:r>
            <w:r w:rsidR="00452C0D">
              <w:rPr>
                <w:rFonts w:ascii="Times New Roman" w:hAnsi="Times New Roman" w:cs="Times New Roman"/>
                <w:sz w:val="16"/>
                <w:szCs w:val="16"/>
              </w:rPr>
              <w:t>.</w:t>
            </w:r>
            <w:r w:rsidRPr="00E656AF">
              <w:rPr>
                <w:rFonts w:ascii="Times New Roman" w:hAnsi="Times New Roman" w:cs="Times New Roman"/>
                <w:sz w:val="16"/>
                <w:szCs w:val="16"/>
              </w:rPr>
              <w:t>13)</w:t>
            </w:r>
          </w:p>
        </w:tc>
        <w:tc>
          <w:tcPr>
            <w:tcW w:w="1070" w:type="dxa"/>
          </w:tcPr>
          <w:p w14:paraId="28CB41B7" w14:textId="7015715C" w:rsidR="00643D56" w:rsidRPr="00E656AF" w:rsidRDefault="00B30A5D"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r w:rsidR="00643D56" w:rsidRPr="00E656AF" w14:paraId="037BC823"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0442258C" w14:textId="77777777" w:rsidR="00643D56" w:rsidRPr="00E656AF" w:rsidRDefault="00643D56"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Sexual Partners</w:t>
            </w:r>
          </w:p>
        </w:tc>
        <w:tc>
          <w:tcPr>
            <w:tcW w:w="2065" w:type="dxa"/>
          </w:tcPr>
          <w:p w14:paraId="78A72F71"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5" w:type="dxa"/>
          </w:tcPr>
          <w:p w14:paraId="40D3FC1C"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0" w:type="dxa"/>
          </w:tcPr>
          <w:p w14:paraId="1F7B93F8"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70" w:type="dxa"/>
          </w:tcPr>
          <w:p w14:paraId="62E843BE"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43D56" w:rsidRPr="00E656AF" w14:paraId="14BD3479" w14:textId="77777777" w:rsidTr="00C45916">
        <w:tc>
          <w:tcPr>
            <w:cnfStyle w:val="001000000000" w:firstRow="0" w:lastRow="0" w:firstColumn="1" w:lastColumn="0" w:oddVBand="0" w:evenVBand="0" w:oddHBand="0" w:evenHBand="0" w:firstRowFirstColumn="0" w:firstRowLastColumn="0" w:lastRowFirstColumn="0" w:lastRowLastColumn="0"/>
            <w:tcW w:w="265" w:type="dxa"/>
          </w:tcPr>
          <w:p w14:paraId="3EB9A0B6" w14:textId="77777777" w:rsidR="00643D56" w:rsidRPr="00E656AF" w:rsidRDefault="00643D56" w:rsidP="0094207F">
            <w:pPr>
              <w:keepNext/>
              <w:rPr>
                <w:rFonts w:ascii="Times New Roman" w:hAnsi="Times New Roman" w:cs="Times New Roman"/>
                <w:b w:val="0"/>
                <w:sz w:val="16"/>
                <w:szCs w:val="16"/>
              </w:rPr>
            </w:pPr>
          </w:p>
        </w:tc>
        <w:tc>
          <w:tcPr>
            <w:tcW w:w="2885" w:type="dxa"/>
          </w:tcPr>
          <w:p w14:paraId="72573038" w14:textId="77777777" w:rsidR="00643D56" w:rsidRPr="00E656AF" w:rsidRDefault="00643D56"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One or less (baseline)</w:t>
            </w:r>
          </w:p>
        </w:tc>
        <w:tc>
          <w:tcPr>
            <w:tcW w:w="2065" w:type="dxa"/>
          </w:tcPr>
          <w:p w14:paraId="15E1C6D6" w14:textId="0F3849A3"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5" w:type="dxa"/>
          </w:tcPr>
          <w:p w14:paraId="1195C833"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0" w:type="dxa"/>
          </w:tcPr>
          <w:p w14:paraId="3A2E18CE" w14:textId="709495D4" w:rsidR="00643D56" w:rsidRPr="00E656AF" w:rsidRDefault="00DE6EB7"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157A6D3B"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43D56" w:rsidRPr="00E656AF" w14:paraId="7D914E86"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3992B6BC" w14:textId="77777777" w:rsidR="00643D56" w:rsidRPr="00E656AF" w:rsidRDefault="00643D56" w:rsidP="0094207F">
            <w:pPr>
              <w:keepNext/>
              <w:rPr>
                <w:rFonts w:ascii="Times New Roman" w:hAnsi="Times New Roman" w:cs="Times New Roman"/>
                <w:b w:val="0"/>
                <w:sz w:val="16"/>
                <w:szCs w:val="16"/>
              </w:rPr>
            </w:pPr>
          </w:p>
        </w:tc>
        <w:tc>
          <w:tcPr>
            <w:tcW w:w="2885" w:type="dxa"/>
          </w:tcPr>
          <w:p w14:paraId="4C792DA7" w14:textId="77777777" w:rsidR="00643D56" w:rsidRPr="00E656AF" w:rsidRDefault="00643D56"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Two or more</w:t>
            </w:r>
          </w:p>
        </w:tc>
        <w:tc>
          <w:tcPr>
            <w:tcW w:w="2065" w:type="dxa"/>
          </w:tcPr>
          <w:p w14:paraId="5FD933F6" w14:textId="3EBA82B5" w:rsidR="00643D56" w:rsidRPr="00E656AF" w:rsidRDefault="00582848"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60</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34-1</w:t>
            </w:r>
            <w:r w:rsidR="00452C0D">
              <w:rPr>
                <w:rFonts w:ascii="Times New Roman" w:hAnsi="Times New Roman" w:cs="Times New Roman"/>
                <w:sz w:val="16"/>
                <w:szCs w:val="16"/>
              </w:rPr>
              <w:t>.</w:t>
            </w:r>
            <w:r w:rsidRPr="00E656AF">
              <w:rPr>
                <w:rFonts w:ascii="Times New Roman" w:hAnsi="Times New Roman" w:cs="Times New Roman"/>
                <w:sz w:val="16"/>
                <w:szCs w:val="16"/>
              </w:rPr>
              <w:t>92</w:t>
            </w:r>
            <w:r w:rsidR="00643D56" w:rsidRPr="00E656AF">
              <w:rPr>
                <w:rFonts w:ascii="Times New Roman" w:hAnsi="Times New Roman" w:cs="Times New Roman"/>
                <w:sz w:val="16"/>
                <w:szCs w:val="16"/>
              </w:rPr>
              <w:t>)</w:t>
            </w:r>
          </w:p>
        </w:tc>
        <w:tc>
          <w:tcPr>
            <w:tcW w:w="1085" w:type="dxa"/>
          </w:tcPr>
          <w:p w14:paraId="2AAB4B78" w14:textId="59C6ABD8" w:rsidR="00643D56" w:rsidRPr="00E656AF" w:rsidRDefault="00A25CE9"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0" w:type="dxa"/>
          </w:tcPr>
          <w:p w14:paraId="087B120A" w14:textId="6043D7BC" w:rsidR="00643D56" w:rsidRPr="00E656AF" w:rsidRDefault="00DE6EB7"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89</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50-2</w:t>
            </w:r>
            <w:r w:rsidR="00452C0D">
              <w:rPr>
                <w:rFonts w:ascii="Times New Roman" w:hAnsi="Times New Roman" w:cs="Times New Roman"/>
                <w:sz w:val="16"/>
                <w:szCs w:val="16"/>
              </w:rPr>
              <w:t>.</w:t>
            </w:r>
            <w:r w:rsidRPr="00E656AF">
              <w:rPr>
                <w:rFonts w:ascii="Times New Roman" w:hAnsi="Times New Roman" w:cs="Times New Roman"/>
                <w:sz w:val="16"/>
                <w:szCs w:val="16"/>
              </w:rPr>
              <w:t>40)</w:t>
            </w:r>
          </w:p>
        </w:tc>
        <w:tc>
          <w:tcPr>
            <w:tcW w:w="1070" w:type="dxa"/>
          </w:tcPr>
          <w:p w14:paraId="746FBC22" w14:textId="47E2CE91" w:rsidR="00643D56" w:rsidRPr="00E656AF" w:rsidRDefault="00920863"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643D56" w:rsidRPr="00E656AF" w14:paraId="6BB1A6FA" w14:textId="77777777" w:rsidTr="00C45916">
        <w:tc>
          <w:tcPr>
            <w:cnfStyle w:val="001000000000" w:firstRow="0" w:lastRow="0" w:firstColumn="1" w:lastColumn="0" w:oddVBand="0" w:evenVBand="0" w:oddHBand="0" w:evenHBand="0" w:firstRowFirstColumn="0" w:firstRowLastColumn="0" w:lastRowFirstColumn="0" w:lastRowLastColumn="0"/>
            <w:tcW w:w="3150" w:type="dxa"/>
            <w:gridSpan w:val="2"/>
          </w:tcPr>
          <w:p w14:paraId="4A7E535B" w14:textId="77777777" w:rsidR="00643D56" w:rsidRPr="00E656AF" w:rsidRDefault="00643D56"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Marital Status</w:t>
            </w:r>
          </w:p>
        </w:tc>
        <w:tc>
          <w:tcPr>
            <w:tcW w:w="2065" w:type="dxa"/>
          </w:tcPr>
          <w:p w14:paraId="6B509A74"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5" w:type="dxa"/>
          </w:tcPr>
          <w:p w14:paraId="0E425086"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0" w:type="dxa"/>
          </w:tcPr>
          <w:p w14:paraId="2117EC3D"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70" w:type="dxa"/>
          </w:tcPr>
          <w:p w14:paraId="2DCEA58C"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43D56" w:rsidRPr="00E656AF" w14:paraId="58ECAFB1"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195FAABA" w14:textId="77777777" w:rsidR="00643D56" w:rsidRPr="00E656AF" w:rsidRDefault="00643D56" w:rsidP="0094207F">
            <w:pPr>
              <w:keepNext/>
              <w:rPr>
                <w:rFonts w:ascii="Times New Roman" w:hAnsi="Times New Roman" w:cs="Times New Roman"/>
                <w:b w:val="0"/>
                <w:sz w:val="16"/>
                <w:szCs w:val="16"/>
              </w:rPr>
            </w:pPr>
          </w:p>
        </w:tc>
        <w:tc>
          <w:tcPr>
            <w:tcW w:w="2885" w:type="dxa"/>
          </w:tcPr>
          <w:p w14:paraId="06255640" w14:textId="77777777" w:rsidR="00643D56" w:rsidRPr="00E656AF" w:rsidRDefault="00643D56"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Single (baseline)</w:t>
            </w:r>
          </w:p>
        </w:tc>
        <w:tc>
          <w:tcPr>
            <w:tcW w:w="2065" w:type="dxa"/>
          </w:tcPr>
          <w:p w14:paraId="616A7CF6" w14:textId="27994253"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5" w:type="dxa"/>
          </w:tcPr>
          <w:p w14:paraId="4D48CD8C"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0" w:type="dxa"/>
          </w:tcPr>
          <w:p w14:paraId="7D024813" w14:textId="2AC68CCE" w:rsidR="00643D56" w:rsidRPr="00E656AF" w:rsidRDefault="00FA3308"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5B940766"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43D56" w:rsidRPr="00E656AF" w14:paraId="57FC5258" w14:textId="77777777" w:rsidTr="00C45916">
        <w:tc>
          <w:tcPr>
            <w:cnfStyle w:val="001000000000" w:firstRow="0" w:lastRow="0" w:firstColumn="1" w:lastColumn="0" w:oddVBand="0" w:evenVBand="0" w:oddHBand="0" w:evenHBand="0" w:firstRowFirstColumn="0" w:firstRowLastColumn="0" w:lastRowFirstColumn="0" w:lastRowLastColumn="0"/>
            <w:tcW w:w="265" w:type="dxa"/>
          </w:tcPr>
          <w:p w14:paraId="0B1CF8C3" w14:textId="77777777" w:rsidR="00643D56" w:rsidRPr="00E656AF" w:rsidRDefault="00643D56" w:rsidP="0094207F">
            <w:pPr>
              <w:keepNext/>
              <w:rPr>
                <w:rFonts w:ascii="Times New Roman" w:hAnsi="Times New Roman" w:cs="Times New Roman"/>
                <w:b w:val="0"/>
                <w:sz w:val="16"/>
                <w:szCs w:val="16"/>
              </w:rPr>
            </w:pPr>
          </w:p>
        </w:tc>
        <w:tc>
          <w:tcPr>
            <w:tcW w:w="2885" w:type="dxa"/>
          </w:tcPr>
          <w:p w14:paraId="7180140C" w14:textId="77777777" w:rsidR="00643D56" w:rsidRPr="00E656AF" w:rsidRDefault="00643D56"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Married, monogamous</w:t>
            </w:r>
          </w:p>
        </w:tc>
        <w:tc>
          <w:tcPr>
            <w:tcW w:w="2065" w:type="dxa"/>
          </w:tcPr>
          <w:p w14:paraId="598E0DF0" w14:textId="235D4514" w:rsidR="00643D56" w:rsidRPr="00E656AF" w:rsidRDefault="00C30955"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39</w:t>
            </w:r>
            <w:r w:rsidR="007A0009">
              <w:rPr>
                <w:rFonts w:ascii="Times New Roman" w:hAnsi="Times New Roman" w:cs="Times New Roman"/>
                <w:sz w:val="16"/>
                <w:szCs w:val="16"/>
              </w:rPr>
              <w:br/>
            </w:r>
            <w:r w:rsidR="005850DF" w:rsidRPr="00E656AF">
              <w:rPr>
                <w:rFonts w:ascii="Times New Roman" w:hAnsi="Times New Roman" w:cs="Times New Roman"/>
                <w:sz w:val="16"/>
                <w:szCs w:val="16"/>
              </w:rPr>
              <w:t>(0</w:t>
            </w:r>
            <w:r w:rsidR="00452C0D">
              <w:rPr>
                <w:rFonts w:ascii="Times New Roman" w:hAnsi="Times New Roman" w:cs="Times New Roman"/>
                <w:sz w:val="16"/>
                <w:szCs w:val="16"/>
              </w:rPr>
              <w:t>.</w:t>
            </w:r>
            <w:r w:rsidR="005850DF" w:rsidRPr="00E656AF">
              <w:rPr>
                <w:rFonts w:ascii="Times New Roman" w:hAnsi="Times New Roman" w:cs="Times New Roman"/>
                <w:sz w:val="16"/>
                <w:szCs w:val="16"/>
              </w:rPr>
              <w:t>25-0</w:t>
            </w:r>
            <w:r w:rsidR="00452C0D">
              <w:rPr>
                <w:rFonts w:ascii="Times New Roman" w:hAnsi="Times New Roman" w:cs="Times New Roman"/>
                <w:sz w:val="16"/>
                <w:szCs w:val="16"/>
              </w:rPr>
              <w:t>.</w:t>
            </w:r>
            <w:r w:rsidR="005850DF" w:rsidRPr="00E656AF">
              <w:rPr>
                <w:rFonts w:ascii="Times New Roman" w:hAnsi="Times New Roman" w:cs="Times New Roman"/>
                <w:sz w:val="16"/>
                <w:szCs w:val="16"/>
              </w:rPr>
              <w:t>6</w:t>
            </w:r>
            <w:r w:rsidRPr="00E656AF">
              <w:rPr>
                <w:rFonts w:ascii="Times New Roman" w:hAnsi="Times New Roman" w:cs="Times New Roman"/>
                <w:sz w:val="16"/>
                <w:szCs w:val="16"/>
              </w:rPr>
              <w:t>2</w:t>
            </w:r>
            <w:r w:rsidR="00643D56" w:rsidRPr="00E656AF">
              <w:rPr>
                <w:rFonts w:ascii="Times New Roman" w:hAnsi="Times New Roman" w:cs="Times New Roman"/>
                <w:sz w:val="16"/>
                <w:szCs w:val="16"/>
              </w:rPr>
              <w:t>)</w:t>
            </w:r>
          </w:p>
        </w:tc>
        <w:tc>
          <w:tcPr>
            <w:tcW w:w="1085" w:type="dxa"/>
          </w:tcPr>
          <w:p w14:paraId="39B99A83" w14:textId="6409ECEE" w:rsidR="00643D56" w:rsidRPr="00E656AF" w:rsidRDefault="0007408D"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0" w:type="dxa"/>
          </w:tcPr>
          <w:p w14:paraId="206963C4" w14:textId="453E769E" w:rsidR="00643D56" w:rsidRPr="00E656AF" w:rsidRDefault="00FA3308"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A0009">
              <w:rPr>
                <w:rFonts w:ascii="Times New Roman" w:hAnsi="Times New Roman" w:cs="Times New Roman"/>
                <w:sz w:val="16"/>
                <w:szCs w:val="16"/>
              </w:rPr>
              <w:t>51</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41-0</w:t>
            </w:r>
            <w:r w:rsidR="00452C0D">
              <w:rPr>
                <w:rFonts w:ascii="Times New Roman" w:hAnsi="Times New Roman" w:cs="Times New Roman"/>
                <w:sz w:val="16"/>
                <w:szCs w:val="16"/>
              </w:rPr>
              <w:t>.</w:t>
            </w:r>
            <w:r w:rsidRPr="00E656AF">
              <w:rPr>
                <w:rFonts w:ascii="Times New Roman" w:hAnsi="Times New Roman" w:cs="Times New Roman"/>
                <w:sz w:val="16"/>
                <w:szCs w:val="16"/>
              </w:rPr>
              <w:t>64)</w:t>
            </w:r>
          </w:p>
        </w:tc>
        <w:tc>
          <w:tcPr>
            <w:tcW w:w="1070" w:type="dxa"/>
          </w:tcPr>
          <w:p w14:paraId="06251752" w14:textId="4CD915ED" w:rsidR="00643D56" w:rsidRPr="00E656AF" w:rsidRDefault="00FA3308"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643D56" w:rsidRPr="00E656AF" w14:paraId="4D0CE9EE"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05EFE498" w14:textId="77777777" w:rsidR="00643D56" w:rsidRPr="00E656AF" w:rsidRDefault="00643D56" w:rsidP="0094207F">
            <w:pPr>
              <w:keepNext/>
              <w:rPr>
                <w:rFonts w:ascii="Times New Roman" w:hAnsi="Times New Roman" w:cs="Times New Roman"/>
                <w:b w:val="0"/>
                <w:sz w:val="16"/>
                <w:szCs w:val="16"/>
              </w:rPr>
            </w:pPr>
          </w:p>
        </w:tc>
        <w:tc>
          <w:tcPr>
            <w:tcW w:w="2885" w:type="dxa"/>
          </w:tcPr>
          <w:p w14:paraId="5F2160E7" w14:textId="77777777" w:rsidR="00643D56" w:rsidRPr="00E656AF" w:rsidRDefault="00643D56"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Married, polygamous</w:t>
            </w:r>
          </w:p>
        </w:tc>
        <w:tc>
          <w:tcPr>
            <w:tcW w:w="2065" w:type="dxa"/>
          </w:tcPr>
          <w:p w14:paraId="1E8F54E9" w14:textId="3146917F" w:rsidR="00643D56" w:rsidRPr="00E656AF" w:rsidRDefault="00C63CC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34</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42-4</w:t>
            </w:r>
            <w:r w:rsidR="00452C0D">
              <w:rPr>
                <w:rFonts w:ascii="Times New Roman" w:hAnsi="Times New Roman" w:cs="Times New Roman"/>
                <w:sz w:val="16"/>
                <w:szCs w:val="16"/>
              </w:rPr>
              <w:t>.</w:t>
            </w:r>
            <w:r w:rsidRPr="00E656AF">
              <w:rPr>
                <w:rFonts w:ascii="Times New Roman" w:hAnsi="Times New Roman" w:cs="Times New Roman"/>
                <w:sz w:val="16"/>
                <w:szCs w:val="16"/>
              </w:rPr>
              <w:t>24</w:t>
            </w:r>
            <w:r w:rsidR="00643D56" w:rsidRPr="00E656AF">
              <w:rPr>
                <w:rFonts w:ascii="Times New Roman" w:hAnsi="Times New Roman" w:cs="Times New Roman"/>
                <w:sz w:val="16"/>
                <w:szCs w:val="16"/>
              </w:rPr>
              <w:t>)</w:t>
            </w:r>
          </w:p>
        </w:tc>
        <w:tc>
          <w:tcPr>
            <w:tcW w:w="1085" w:type="dxa"/>
          </w:tcPr>
          <w:p w14:paraId="7BB9440F" w14:textId="28E42708" w:rsidR="00643D56" w:rsidRPr="00E656AF" w:rsidRDefault="00C63CC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62337</w:t>
            </w:r>
          </w:p>
        </w:tc>
        <w:tc>
          <w:tcPr>
            <w:tcW w:w="1980" w:type="dxa"/>
          </w:tcPr>
          <w:p w14:paraId="0D74F65A" w14:textId="07F878FE" w:rsidR="00643D56" w:rsidRPr="00E656AF" w:rsidRDefault="004C0AD7"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A0009">
              <w:rPr>
                <w:rFonts w:ascii="Times New Roman" w:hAnsi="Times New Roman" w:cs="Times New Roman"/>
                <w:sz w:val="16"/>
                <w:szCs w:val="16"/>
              </w:rPr>
              <w:t>52</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31-0</w:t>
            </w:r>
            <w:r w:rsidR="00452C0D">
              <w:rPr>
                <w:rFonts w:ascii="Times New Roman" w:hAnsi="Times New Roman" w:cs="Times New Roman"/>
                <w:sz w:val="16"/>
                <w:szCs w:val="16"/>
              </w:rPr>
              <w:t>.</w:t>
            </w:r>
            <w:r w:rsidRPr="00E656AF">
              <w:rPr>
                <w:rFonts w:ascii="Times New Roman" w:hAnsi="Times New Roman" w:cs="Times New Roman"/>
                <w:sz w:val="16"/>
                <w:szCs w:val="16"/>
              </w:rPr>
              <w:t>87)</w:t>
            </w:r>
          </w:p>
        </w:tc>
        <w:tc>
          <w:tcPr>
            <w:tcW w:w="1070" w:type="dxa"/>
          </w:tcPr>
          <w:p w14:paraId="5B1B9AC2" w14:textId="0E296E7C" w:rsidR="00643D56" w:rsidRPr="00E656AF" w:rsidRDefault="00112A0A"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0.01215</w:t>
            </w:r>
          </w:p>
        </w:tc>
      </w:tr>
      <w:tr w:rsidR="00643D56" w:rsidRPr="00E656AF" w14:paraId="3861A5D7" w14:textId="77777777" w:rsidTr="00C45916">
        <w:tc>
          <w:tcPr>
            <w:cnfStyle w:val="001000000000" w:firstRow="0" w:lastRow="0" w:firstColumn="1" w:lastColumn="0" w:oddVBand="0" w:evenVBand="0" w:oddHBand="0" w:evenHBand="0" w:firstRowFirstColumn="0" w:firstRowLastColumn="0" w:lastRowFirstColumn="0" w:lastRowLastColumn="0"/>
            <w:tcW w:w="3150" w:type="dxa"/>
            <w:gridSpan w:val="2"/>
          </w:tcPr>
          <w:p w14:paraId="0377270E" w14:textId="77777777" w:rsidR="00643D56" w:rsidRPr="00E656AF" w:rsidRDefault="00643D56"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Years of education</w:t>
            </w:r>
          </w:p>
        </w:tc>
        <w:tc>
          <w:tcPr>
            <w:tcW w:w="2065" w:type="dxa"/>
          </w:tcPr>
          <w:p w14:paraId="0D220487" w14:textId="7D22B704"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00</w:t>
            </w:r>
            <w:r w:rsidR="007A0009">
              <w:rPr>
                <w:rFonts w:ascii="Times New Roman" w:hAnsi="Times New Roman" w:cs="Times New Roman"/>
                <w:sz w:val="16"/>
                <w:szCs w:val="16"/>
              </w:rPr>
              <w:br/>
            </w:r>
            <w:r w:rsidR="00507329" w:rsidRPr="00E656AF">
              <w:rPr>
                <w:rFonts w:ascii="Times New Roman" w:hAnsi="Times New Roman" w:cs="Times New Roman"/>
                <w:sz w:val="16"/>
                <w:szCs w:val="16"/>
              </w:rPr>
              <w:t>(0</w:t>
            </w:r>
            <w:r w:rsidR="00452C0D">
              <w:rPr>
                <w:rFonts w:ascii="Times New Roman" w:hAnsi="Times New Roman" w:cs="Times New Roman"/>
                <w:sz w:val="16"/>
                <w:szCs w:val="16"/>
              </w:rPr>
              <w:t>.</w:t>
            </w:r>
            <w:r w:rsidR="00507329" w:rsidRPr="00E656AF">
              <w:rPr>
                <w:rFonts w:ascii="Times New Roman" w:hAnsi="Times New Roman" w:cs="Times New Roman"/>
                <w:sz w:val="16"/>
                <w:szCs w:val="16"/>
              </w:rPr>
              <w:t>97</w:t>
            </w:r>
            <w:r w:rsidR="0086757F" w:rsidRPr="00E656AF">
              <w:rPr>
                <w:rFonts w:ascii="Times New Roman" w:hAnsi="Times New Roman" w:cs="Times New Roman"/>
                <w:sz w:val="16"/>
                <w:szCs w:val="16"/>
              </w:rPr>
              <w:t>-1</w:t>
            </w:r>
            <w:r w:rsidR="00452C0D">
              <w:rPr>
                <w:rFonts w:ascii="Times New Roman" w:hAnsi="Times New Roman" w:cs="Times New Roman"/>
                <w:sz w:val="16"/>
                <w:szCs w:val="16"/>
              </w:rPr>
              <w:t>.</w:t>
            </w:r>
            <w:r w:rsidR="0086757F" w:rsidRPr="00E656AF">
              <w:rPr>
                <w:rFonts w:ascii="Times New Roman" w:hAnsi="Times New Roman" w:cs="Times New Roman"/>
                <w:sz w:val="16"/>
                <w:szCs w:val="16"/>
              </w:rPr>
              <w:t>03</w:t>
            </w:r>
            <w:r w:rsidRPr="00E656AF">
              <w:rPr>
                <w:rFonts w:ascii="Times New Roman" w:hAnsi="Times New Roman" w:cs="Times New Roman"/>
                <w:sz w:val="16"/>
                <w:szCs w:val="16"/>
              </w:rPr>
              <w:t>)</w:t>
            </w:r>
          </w:p>
        </w:tc>
        <w:tc>
          <w:tcPr>
            <w:tcW w:w="1085" w:type="dxa"/>
          </w:tcPr>
          <w:p w14:paraId="6D146A9C" w14:textId="5C6E96B1" w:rsidR="00643D56" w:rsidRPr="00E656AF" w:rsidRDefault="0008577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89607</w:t>
            </w:r>
          </w:p>
        </w:tc>
        <w:tc>
          <w:tcPr>
            <w:tcW w:w="1980" w:type="dxa"/>
          </w:tcPr>
          <w:p w14:paraId="434ACC05" w14:textId="4CE9451D" w:rsidR="00643D56" w:rsidRPr="00E656AF" w:rsidRDefault="00E855EB"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A0009">
              <w:rPr>
                <w:rFonts w:ascii="Times New Roman" w:hAnsi="Times New Roman" w:cs="Times New Roman"/>
                <w:sz w:val="16"/>
                <w:szCs w:val="16"/>
              </w:rPr>
              <w:t>99</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97-1</w:t>
            </w:r>
            <w:r w:rsidR="00452C0D">
              <w:rPr>
                <w:rFonts w:ascii="Times New Roman" w:hAnsi="Times New Roman" w:cs="Times New Roman"/>
                <w:sz w:val="16"/>
                <w:szCs w:val="16"/>
              </w:rPr>
              <w:t>.</w:t>
            </w:r>
            <w:r w:rsidRPr="00E656AF">
              <w:rPr>
                <w:rFonts w:ascii="Times New Roman" w:hAnsi="Times New Roman" w:cs="Times New Roman"/>
                <w:sz w:val="16"/>
                <w:szCs w:val="16"/>
              </w:rPr>
              <w:t>02)</w:t>
            </w:r>
          </w:p>
        </w:tc>
        <w:tc>
          <w:tcPr>
            <w:tcW w:w="1070" w:type="dxa"/>
          </w:tcPr>
          <w:p w14:paraId="2781C4A5" w14:textId="161A91D0" w:rsidR="00643D56" w:rsidRPr="00E656AF" w:rsidRDefault="00E855EB"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61961</w:t>
            </w:r>
          </w:p>
        </w:tc>
      </w:tr>
      <w:tr w:rsidR="00643D56" w:rsidRPr="00E656AF" w14:paraId="7EE204CE"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1523EFEA" w14:textId="77777777" w:rsidR="00643D56" w:rsidRPr="00E656AF" w:rsidRDefault="00643D56"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Perceived financial status</w:t>
            </w:r>
          </w:p>
        </w:tc>
        <w:tc>
          <w:tcPr>
            <w:tcW w:w="2065" w:type="dxa"/>
          </w:tcPr>
          <w:p w14:paraId="1EB7B070"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85" w:type="dxa"/>
          </w:tcPr>
          <w:p w14:paraId="07F876A8"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0" w:type="dxa"/>
          </w:tcPr>
          <w:p w14:paraId="61ECC6D3"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70" w:type="dxa"/>
          </w:tcPr>
          <w:p w14:paraId="5394648B" w14:textId="77777777"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43D56" w:rsidRPr="00E656AF" w14:paraId="6E3CD5F9" w14:textId="77777777" w:rsidTr="00C45916">
        <w:tc>
          <w:tcPr>
            <w:cnfStyle w:val="001000000000" w:firstRow="0" w:lastRow="0" w:firstColumn="1" w:lastColumn="0" w:oddVBand="0" w:evenVBand="0" w:oddHBand="0" w:evenHBand="0" w:firstRowFirstColumn="0" w:firstRowLastColumn="0" w:lastRowFirstColumn="0" w:lastRowLastColumn="0"/>
            <w:tcW w:w="265" w:type="dxa"/>
          </w:tcPr>
          <w:p w14:paraId="3FDF4AA6" w14:textId="77777777" w:rsidR="00643D56" w:rsidRPr="00E656AF" w:rsidRDefault="00643D56" w:rsidP="0094207F">
            <w:pPr>
              <w:keepNext/>
              <w:rPr>
                <w:rFonts w:ascii="Times New Roman" w:hAnsi="Times New Roman" w:cs="Times New Roman"/>
                <w:b w:val="0"/>
                <w:sz w:val="16"/>
                <w:szCs w:val="16"/>
              </w:rPr>
            </w:pPr>
          </w:p>
        </w:tc>
        <w:tc>
          <w:tcPr>
            <w:tcW w:w="2885" w:type="dxa"/>
          </w:tcPr>
          <w:p w14:paraId="743F86DC" w14:textId="77777777" w:rsidR="00643D56" w:rsidRPr="00E656AF" w:rsidRDefault="00643D56"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Unknown (baseline)</w:t>
            </w:r>
          </w:p>
        </w:tc>
        <w:tc>
          <w:tcPr>
            <w:tcW w:w="2065" w:type="dxa"/>
          </w:tcPr>
          <w:p w14:paraId="4425ADD8" w14:textId="2784E4D4"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5" w:type="dxa"/>
          </w:tcPr>
          <w:p w14:paraId="748AFE20"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0" w:type="dxa"/>
          </w:tcPr>
          <w:p w14:paraId="1343F67B" w14:textId="55DBD743" w:rsidR="00643D56" w:rsidRPr="00E656AF" w:rsidRDefault="00CE5FB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3153930B" w14:textId="77777777" w:rsidR="00643D56" w:rsidRPr="00E656AF" w:rsidRDefault="00643D56"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43D56" w:rsidRPr="00E656AF" w14:paraId="1F10D810"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 w:type="dxa"/>
          </w:tcPr>
          <w:p w14:paraId="2EE9AE84" w14:textId="77777777" w:rsidR="00643D56" w:rsidRPr="00E656AF" w:rsidRDefault="00643D56" w:rsidP="0094207F">
            <w:pPr>
              <w:keepNext/>
              <w:rPr>
                <w:rFonts w:ascii="Times New Roman" w:hAnsi="Times New Roman" w:cs="Times New Roman"/>
                <w:b w:val="0"/>
                <w:sz w:val="16"/>
                <w:szCs w:val="16"/>
              </w:rPr>
            </w:pPr>
          </w:p>
        </w:tc>
        <w:tc>
          <w:tcPr>
            <w:tcW w:w="2885" w:type="dxa"/>
          </w:tcPr>
          <w:p w14:paraId="55D8B792" w14:textId="77777777" w:rsidR="00643D56" w:rsidRPr="00E656AF" w:rsidRDefault="00643D56" w:rsidP="0094207F">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Comfortable or just getting by</w:t>
            </w:r>
          </w:p>
        </w:tc>
        <w:tc>
          <w:tcPr>
            <w:tcW w:w="2065" w:type="dxa"/>
          </w:tcPr>
          <w:p w14:paraId="76075006" w14:textId="3FBE6075" w:rsidR="00643D56" w:rsidRPr="00E656AF" w:rsidRDefault="004448BD"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41</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95</w:t>
            </w:r>
            <w:r w:rsidR="00596F4B" w:rsidRPr="00E656AF">
              <w:rPr>
                <w:rFonts w:ascii="Times New Roman" w:hAnsi="Times New Roman" w:cs="Times New Roman"/>
                <w:sz w:val="16"/>
                <w:szCs w:val="16"/>
              </w:rPr>
              <w:t>-</w:t>
            </w:r>
            <w:r w:rsidRPr="00E656AF">
              <w:rPr>
                <w:rFonts w:ascii="Times New Roman" w:hAnsi="Times New Roman" w:cs="Times New Roman"/>
                <w:sz w:val="16"/>
                <w:szCs w:val="16"/>
              </w:rPr>
              <w:t>2</w:t>
            </w:r>
            <w:r w:rsidR="00452C0D">
              <w:rPr>
                <w:rFonts w:ascii="Times New Roman" w:hAnsi="Times New Roman" w:cs="Times New Roman"/>
                <w:sz w:val="16"/>
                <w:szCs w:val="16"/>
              </w:rPr>
              <w:t>.</w:t>
            </w:r>
            <w:r w:rsidRPr="00E656AF">
              <w:rPr>
                <w:rFonts w:ascii="Times New Roman" w:hAnsi="Times New Roman" w:cs="Times New Roman"/>
                <w:sz w:val="16"/>
                <w:szCs w:val="16"/>
              </w:rPr>
              <w:t>09</w:t>
            </w:r>
            <w:r w:rsidR="00643D56" w:rsidRPr="00E656AF">
              <w:rPr>
                <w:rFonts w:ascii="Times New Roman" w:hAnsi="Times New Roman" w:cs="Times New Roman"/>
                <w:sz w:val="16"/>
                <w:szCs w:val="16"/>
              </w:rPr>
              <w:t>)</w:t>
            </w:r>
          </w:p>
        </w:tc>
        <w:tc>
          <w:tcPr>
            <w:tcW w:w="1085" w:type="dxa"/>
          </w:tcPr>
          <w:p w14:paraId="1195FD47" w14:textId="2ECCF561" w:rsidR="00643D56" w:rsidRPr="00E656AF" w:rsidRDefault="00E93377"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08592</w:t>
            </w:r>
          </w:p>
        </w:tc>
        <w:tc>
          <w:tcPr>
            <w:tcW w:w="1980" w:type="dxa"/>
          </w:tcPr>
          <w:p w14:paraId="42225373" w14:textId="76525B13" w:rsidR="00643D56" w:rsidRPr="00E656AF" w:rsidRDefault="00FC44CF"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79</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39-2</w:t>
            </w:r>
            <w:r w:rsidR="00452C0D">
              <w:rPr>
                <w:rFonts w:ascii="Times New Roman" w:hAnsi="Times New Roman" w:cs="Times New Roman"/>
                <w:sz w:val="16"/>
                <w:szCs w:val="16"/>
              </w:rPr>
              <w:t>.</w:t>
            </w:r>
            <w:r w:rsidRPr="00E656AF">
              <w:rPr>
                <w:rFonts w:ascii="Times New Roman" w:hAnsi="Times New Roman" w:cs="Times New Roman"/>
                <w:sz w:val="16"/>
                <w:szCs w:val="16"/>
              </w:rPr>
              <w:t>29)</w:t>
            </w:r>
          </w:p>
        </w:tc>
        <w:tc>
          <w:tcPr>
            <w:tcW w:w="1070" w:type="dxa"/>
          </w:tcPr>
          <w:p w14:paraId="39E847A2" w14:textId="4FC6BD23" w:rsidR="00643D56" w:rsidRPr="00E656AF" w:rsidRDefault="00FC44CF"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643D56" w:rsidRPr="00E656AF" w14:paraId="7E842812" w14:textId="77777777" w:rsidTr="00C45916">
        <w:tc>
          <w:tcPr>
            <w:cnfStyle w:val="001000000000" w:firstRow="0" w:lastRow="0" w:firstColumn="1" w:lastColumn="0" w:oddVBand="0" w:evenVBand="0" w:oddHBand="0" w:evenHBand="0" w:firstRowFirstColumn="0" w:firstRowLastColumn="0" w:lastRowFirstColumn="0" w:lastRowLastColumn="0"/>
            <w:tcW w:w="265" w:type="dxa"/>
          </w:tcPr>
          <w:p w14:paraId="643D98DB" w14:textId="77777777" w:rsidR="00643D56" w:rsidRPr="00E656AF" w:rsidRDefault="00643D56" w:rsidP="0094207F">
            <w:pPr>
              <w:keepNext/>
              <w:rPr>
                <w:rFonts w:ascii="Times New Roman" w:hAnsi="Times New Roman" w:cs="Times New Roman"/>
                <w:b w:val="0"/>
                <w:sz w:val="16"/>
                <w:szCs w:val="16"/>
              </w:rPr>
            </w:pPr>
          </w:p>
        </w:tc>
        <w:tc>
          <w:tcPr>
            <w:tcW w:w="2885" w:type="dxa"/>
          </w:tcPr>
          <w:p w14:paraId="2A1DE87F" w14:textId="77777777" w:rsidR="00643D56" w:rsidRPr="00E656AF" w:rsidRDefault="00643D56" w:rsidP="0094207F">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Poor</w:t>
            </w:r>
          </w:p>
        </w:tc>
        <w:tc>
          <w:tcPr>
            <w:tcW w:w="2065" w:type="dxa"/>
          </w:tcPr>
          <w:p w14:paraId="586D08EE" w14:textId="1C25392E" w:rsidR="00643D56" w:rsidRPr="00E656AF" w:rsidRDefault="00731F60"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57</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16-2</w:t>
            </w:r>
            <w:r w:rsidR="00452C0D">
              <w:rPr>
                <w:rFonts w:ascii="Times New Roman" w:hAnsi="Times New Roman" w:cs="Times New Roman"/>
                <w:sz w:val="16"/>
                <w:szCs w:val="16"/>
              </w:rPr>
              <w:t>.</w:t>
            </w:r>
            <w:r w:rsidRPr="00E656AF">
              <w:rPr>
                <w:rFonts w:ascii="Times New Roman" w:hAnsi="Times New Roman" w:cs="Times New Roman"/>
                <w:sz w:val="16"/>
                <w:szCs w:val="16"/>
              </w:rPr>
              <w:t>13</w:t>
            </w:r>
            <w:r w:rsidR="00643D56" w:rsidRPr="00E656AF">
              <w:rPr>
                <w:rFonts w:ascii="Times New Roman" w:hAnsi="Times New Roman" w:cs="Times New Roman"/>
                <w:sz w:val="16"/>
                <w:szCs w:val="16"/>
              </w:rPr>
              <w:t>)</w:t>
            </w:r>
          </w:p>
        </w:tc>
        <w:tc>
          <w:tcPr>
            <w:tcW w:w="1085" w:type="dxa"/>
          </w:tcPr>
          <w:p w14:paraId="69FC8686" w14:textId="7561787C" w:rsidR="00643D56" w:rsidRPr="00E656AF" w:rsidRDefault="00821599"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00384</w:t>
            </w:r>
          </w:p>
        </w:tc>
        <w:tc>
          <w:tcPr>
            <w:tcW w:w="1980" w:type="dxa"/>
          </w:tcPr>
          <w:p w14:paraId="17C1AA62" w14:textId="0F5B1390" w:rsidR="00643D56" w:rsidRPr="00E656AF" w:rsidRDefault="006F4D43"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77</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43-2</w:t>
            </w:r>
            <w:r w:rsidR="00452C0D">
              <w:rPr>
                <w:rFonts w:ascii="Times New Roman" w:hAnsi="Times New Roman" w:cs="Times New Roman"/>
                <w:sz w:val="16"/>
                <w:szCs w:val="16"/>
              </w:rPr>
              <w:t>.</w:t>
            </w:r>
            <w:r w:rsidRPr="00E656AF">
              <w:rPr>
                <w:rFonts w:ascii="Times New Roman" w:hAnsi="Times New Roman" w:cs="Times New Roman"/>
                <w:sz w:val="16"/>
                <w:szCs w:val="16"/>
              </w:rPr>
              <w:t>18)</w:t>
            </w:r>
          </w:p>
        </w:tc>
        <w:tc>
          <w:tcPr>
            <w:tcW w:w="1070" w:type="dxa"/>
          </w:tcPr>
          <w:p w14:paraId="7BB2340F" w14:textId="57D4AB06" w:rsidR="00643D56" w:rsidRPr="00E656AF" w:rsidRDefault="0077357E"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&lt;0.0001</w:t>
            </w:r>
          </w:p>
        </w:tc>
      </w:tr>
      <w:tr w:rsidR="00643D56" w:rsidRPr="00E656AF" w14:paraId="7462A60F"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2F0227DC" w14:textId="77777777" w:rsidR="00643D56" w:rsidRPr="00E656AF" w:rsidRDefault="00643D56" w:rsidP="0094207F">
            <w:pPr>
              <w:keepNext/>
              <w:rPr>
                <w:rFonts w:ascii="Times New Roman" w:hAnsi="Times New Roman" w:cs="Times New Roman"/>
                <w:b w:val="0"/>
                <w:sz w:val="16"/>
                <w:szCs w:val="16"/>
              </w:rPr>
            </w:pPr>
            <w:r w:rsidRPr="00E656AF">
              <w:rPr>
                <w:rFonts w:ascii="Times New Roman" w:hAnsi="Times New Roman" w:cs="Times New Roman"/>
                <w:b w:val="0"/>
                <w:sz w:val="16"/>
                <w:szCs w:val="16"/>
              </w:rPr>
              <w:t>Age</w:t>
            </w:r>
          </w:p>
        </w:tc>
        <w:tc>
          <w:tcPr>
            <w:tcW w:w="2065" w:type="dxa"/>
          </w:tcPr>
          <w:p w14:paraId="00BFFD5D" w14:textId="04CFA94F" w:rsidR="00643D56" w:rsidRPr="00E656AF" w:rsidRDefault="005F0F4C"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97</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95-0</w:t>
            </w:r>
            <w:r w:rsidR="00452C0D">
              <w:rPr>
                <w:rFonts w:ascii="Times New Roman" w:hAnsi="Times New Roman" w:cs="Times New Roman"/>
                <w:sz w:val="16"/>
                <w:szCs w:val="16"/>
              </w:rPr>
              <w:t>.</w:t>
            </w:r>
            <w:r w:rsidRPr="00E656AF">
              <w:rPr>
                <w:rFonts w:ascii="Times New Roman" w:hAnsi="Times New Roman" w:cs="Times New Roman"/>
                <w:sz w:val="16"/>
                <w:szCs w:val="16"/>
              </w:rPr>
              <w:t>98</w:t>
            </w:r>
            <w:r w:rsidR="00643D56" w:rsidRPr="00E656AF">
              <w:rPr>
                <w:rFonts w:ascii="Times New Roman" w:hAnsi="Times New Roman" w:cs="Times New Roman"/>
                <w:sz w:val="16"/>
                <w:szCs w:val="16"/>
              </w:rPr>
              <w:t>)</w:t>
            </w:r>
          </w:p>
        </w:tc>
        <w:tc>
          <w:tcPr>
            <w:tcW w:w="1085" w:type="dxa"/>
          </w:tcPr>
          <w:p w14:paraId="6067957A" w14:textId="457860F3" w:rsidR="00643D56" w:rsidRPr="00E656AF" w:rsidRDefault="00643D56"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0" w:type="dxa"/>
          </w:tcPr>
          <w:p w14:paraId="00DE481C" w14:textId="20493D9C" w:rsidR="00643D56" w:rsidRPr="00E656AF" w:rsidRDefault="00D51DF0"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0</w:t>
            </w:r>
            <w:r w:rsidR="00452C0D">
              <w:rPr>
                <w:rFonts w:ascii="Times New Roman" w:hAnsi="Times New Roman" w:cs="Times New Roman"/>
                <w:sz w:val="16"/>
                <w:szCs w:val="16"/>
              </w:rPr>
              <w:t>.</w:t>
            </w:r>
            <w:r w:rsidR="007A0009">
              <w:rPr>
                <w:rFonts w:ascii="Times New Roman" w:hAnsi="Times New Roman" w:cs="Times New Roman"/>
                <w:sz w:val="16"/>
                <w:szCs w:val="16"/>
              </w:rPr>
              <w:t>92</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91-0</w:t>
            </w:r>
            <w:r w:rsidR="00452C0D">
              <w:rPr>
                <w:rFonts w:ascii="Times New Roman" w:hAnsi="Times New Roman" w:cs="Times New Roman"/>
                <w:sz w:val="16"/>
                <w:szCs w:val="16"/>
              </w:rPr>
              <w:t>.</w:t>
            </w:r>
            <w:r w:rsidRPr="00E656AF">
              <w:rPr>
                <w:rFonts w:ascii="Times New Roman" w:hAnsi="Times New Roman" w:cs="Times New Roman"/>
                <w:sz w:val="16"/>
                <w:szCs w:val="16"/>
              </w:rPr>
              <w:t>93)</w:t>
            </w:r>
          </w:p>
        </w:tc>
        <w:tc>
          <w:tcPr>
            <w:tcW w:w="1070" w:type="dxa"/>
          </w:tcPr>
          <w:p w14:paraId="6A81107E" w14:textId="44C03DA9" w:rsidR="00643D56" w:rsidRPr="00E656AF" w:rsidRDefault="00D51DF0"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r w:rsidR="00D51DF0" w:rsidRPr="00E656AF" w14:paraId="3C310DA8" w14:textId="77777777" w:rsidTr="00C45916">
        <w:tc>
          <w:tcPr>
            <w:cnfStyle w:val="001000000000" w:firstRow="0" w:lastRow="0" w:firstColumn="1" w:lastColumn="0" w:oddVBand="0" w:evenVBand="0" w:oddHBand="0" w:evenHBand="0" w:firstRowFirstColumn="0" w:firstRowLastColumn="0" w:lastRowFirstColumn="0" w:lastRowLastColumn="0"/>
            <w:tcW w:w="3150" w:type="dxa"/>
            <w:gridSpan w:val="2"/>
          </w:tcPr>
          <w:p w14:paraId="07899586" w14:textId="77777777" w:rsidR="00D51DF0" w:rsidRPr="00E656AF" w:rsidRDefault="00D51DF0" w:rsidP="00D51DF0">
            <w:pPr>
              <w:keepNext/>
              <w:rPr>
                <w:rFonts w:ascii="Times New Roman" w:hAnsi="Times New Roman" w:cs="Times New Roman"/>
                <w:b w:val="0"/>
                <w:sz w:val="16"/>
                <w:szCs w:val="16"/>
              </w:rPr>
            </w:pPr>
            <w:r w:rsidRPr="00E656AF">
              <w:rPr>
                <w:rFonts w:ascii="Times New Roman" w:hAnsi="Times New Roman" w:cs="Times New Roman"/>
                <w:b w:val="0"/>
                <w:sz w:val="16"/>
                <w:szCs w:val="16"/>
              </w:rPr>
              <w:t>Age</w:t>
            </w:r>
            <w:r w:rsidRPr="00E656AF">
              <w:rPr>
                <w:rFonts w:ascii="Times New Roman" w:hAnsi="Times New Roman" w:cs="Times New Roman"/>
                <w:b w:val="0"/>
                <w:sz w:val="16"/>
                <w:szCs w:val="16"/>
                <w:vertAlign w:val="superscript"/>
              </w:rPr>
              <w:t>2</w:t>
            </w:r>
          </w:p>
        </w:tc>
        <w:tc>
          <w:tcPr>
            <w:tcW w:w="2065" w:type="dxa"/>
          </w:tcPr>
          <w:p w14:paraId="4439E3C3" w14:textId="51CF71B0" w:rsidR="00D51DF0" w:rsidRPr="00E656AF" w:rsidRDefault="00D51DF0"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00</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99-1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5" w:type="dxa"/>
          </w:tcPr>
          <w:p w14:paraId="7BE37E83" w14:textId="7A94E453" w:rsidR="00D51DF0" w:rsidRPr="00E656AF" w:rsidRDefault="00D51DF0"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0" w:type="dxa"/>
          </w:tcPr>
          <w:p w14:paraId="61795D27" w14:textId="1CAB6D58" w:rsidR="00D51DF0" w:rsidRPr="00E656AF" w:rsidRDefault="00D51DF0"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00</w:t>
            </w:r>
            <w:r w:rsidR="007A0009">
              <w:rPr>
                <w:rFonts w:ascii="Times New Roman" w:hAnsi="Times New Roman" w:cs="Times New Roman"/>
                <w:sz w:val="16"/>
                <w:szCs w:val="16"/>
              </w:rPr>
              <w:br/>
            </w:r>
            <w:r w:rsidRPr="00E656AF">
              <w:rPr>
                <w:rFonts w:ascii="Times New Roman" w:hAnsi="Times New Roman" w:cs="Times New Roman"/>
                <w:sz w:val="16"/>
                <w:szCs w:val="16"/>
              </w:rPr>
              <w:t>(0</w:t>
            </w:r>
            <w:r w:rsidR="00452C0D">
              <w:rPr>
                <w:rFonts w:ascii="Times New Roman" w:hAnsi="Times New Roman" w:cs="Times New Roman"/>
                <w:sz w:val="16"/>
                <w:szCs w:val="16"/>
              </w:rPr>
              <w:t>.</w:t>
            </w:r>
            <w:r w:rsidRPr="00E656AF">
              <w:rPr>
                <w:rFonts w:ascii="Times New Roman" w:hAnsi="Times New Roman" w:cs="Times New Roman"/>
                <w:sz w:val="16"/>
                <w:szCs w:val="16"/>
              </w:rPr>
              <w:t>99-1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07F77ADC" w14:textId="31C741E3" w:rsidR="00D51DF0" w:rsidRPr="00E656AF" w:rsidRDefault="00D51DF0" w:rsidP="007A0009">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r w:rsidR="00D51DF0" w:rsidRPr="00E656AF" w14:paraId="1D1388BA" w14:textId="77777777" w:rsidTr="00C45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40E5C7AA" w14:textId="77777777" w:rsidR="00D51DF0" w:rsidRPr="00E656AF" w:rsidRDefault="00D51DF0" w:rsidP="00D51DF0">
            <w:pPr>
              <w:keepNext/>
              <w:rPr>
                <w:rFonts w:ascii="Times New Roman" w:hAnsi="Times New Roman" w:cs="Times New Roman"/>
                <w:b w:val="0"/>
                <w:sz w:val="16"/>
                <w:szCs w:val="16"/>
              </w:rPr>
            </w:pPr>
            <w:r w:rsidRPr="00E656AF">
              <w:rPr>
                <w:rFonts w:ascii="Times New Roman" w:hAnsi="Times New Roman" w:cs="Times New Roman"/>
                <w:b w:val="0"/>
                <w:sz w:val="16"/>
                <w:szCs w:val="16"/>
              </w:rPr>
              <w:t>Age</w:t>
            </w:r>
            <w:r w:rsidRPr="00E656AF">
              <w:rPr>
                <w:rFonts w:ascii="Times New Roman" w:hAnsi="Times New Roman" w:cs="Times New Roman"/>
                <w:b w:val="0"/>
                <w:sz w:val="16"/>
                <w:szCs w:val="16"/>
                <w:vertAlign w:val="superscript"/>
              </w:rPr>
              <w:t>3</w:t>
            </w:r>
          </w:p>
        </w:tc>
        <w:tc>
          <w:tcPr>
            <w:tcW w:w="2065" w:type="dxa"/>
          </w:tcPr>
          <w:p w14:paraId="4A29923C" w14:textId="6392AA6F" w:rsidR="00D51DF0" w:rsidRPr="00E656AF" w:rsidRDefault="00D51DF0"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00</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85" w:type="dxa"/>
          </w:tcPr>
          <w:p w14:paraId="37DBDA98" w14:textId="253BB07F" w:rsidR="00D51DF0" w:rsidRPr="00E656AF" w:rsidRDefault="00D51DF0"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c>
          <w:tcPr>
            <w:tcW w:w="1980" w:type="dxa"/>
          </w:tcPr>
          <w:p w14:paraId="085DC80C" w14:textId="54D34D44" w:rsidR="00D51DF0" w:rsidRPr="00E656AF" w:rsidRDefault="00D51DF0"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1</w:t>
            </w:r>
            <w:r w:rsidR="00452C0D">
              <w:rPr>
                <w:rFonts w:ascii="Times New Roman" w:hAnsi="Times New Roman" w:cs="Times New Roman"/>
                <w:sz w:val="16"/>
                <w:szCs w:val="16"/>
              </w:rPr>
              <w:t>.</w:t>
            </w:r>
            <w:r w:rsidR="007A0009">
              <w:rPr>
                <w:rFonts w:ascii="Times New Roman" w:hAnsi="Times New Roman" w:cs="Times New Roman"/>
                <w:sz w:val="16"/>
                <w:szCs w:val="16"/>
              </w:rPr>
              <w:t>00</w:t>
            </w:r>
            <w:r w:rsidR="007A0009">
              <w:rPr>
                <w:rFonts w:ascii="Times New Roman" w:hAnsi="Times New Roman" w:cs="Times New Roman"/>
                <w:sz w:val="16"/>
                <w:szCs w:val="16"/>
              </w:rPr>
              <w:br/>
            </w:r>
            <w:r w:rsidRPr="00E656AF">
              <w:rPr>
                <w:rFonts w:ascii="Times New Roman" w:hAnsi="Times New Roman" w:cs="Times New Roman"/>
                <w:sz w:val="16"/>
                <w:szCs w:val="16"/>
              </w:rPr>
              <w:t>(1</w:t>
            </w:r>
            <w:r w:rsidR="00452C0D">
              <w:rPr>
                <w:rFonts w:ascii="Times New Roman" w:hAnsi="Times New Roman" w:cs="Times New Roman"/>
                <w:sz w:val="16"/>
                <w:szCs w:val="16"/>
              </w:rPr>
              <w:t>.</w:t>
            </w:r>
            <w:r w:rsidRPr="00E656AF">
              <w:rPr>
                <w:rFonts w:ascii="Times New Roman" w:hAnsi="Times New Roman" w:cs="Times New Roman"/>
                <w:sz w:val="16"/>
                <w:szCs w:val="16"/>
              </w:rPr>
              <w:t>00-1</w:t>
            </w:r>
            <w:r w:rsidR="00452C0D">
              <w:rPr>
                <w:rFonts w:ascii="Times New Roman" w:hAnsi="Times New Roman" w:cs="Times New Roman"/>
                <w:sz w:val="16"/>
                <w:szCs w:val="16"/>
              </w:rPr>
              <w:t>.</w:t>
            </w:r>
            <w:r w:rsidRPr="00E656AF">
              <w:rPr>
                <w:rFonts w:ascii="Times New Roman" w:hAnsi="Times New Roman" w:cs="Times New Roman"/>
                <w:sz w:val="16"/>
                <w:szCs w:val="16"/>
              </w:rPr>
              <w:t>00)</w:t>
            </w:r>
          </w:p>
        </w:tc>
        <w:tc>
          <w:tcPr>
            <w:tcW w:w="1070" w:type="dxa"/>
          </w:tcPr>
          <w:p w14:paraId="10D02B23" w14:textId="6CB6A667" w:rsidR="00D51DF0" w:rsidRPr="00E656AF" w:rsidRDefault="00D51DF0" w:rsidP="007A0009">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656AF">
              <w:rPr>
                <w:rFonts w:ascii="Times New Roman" w:hAnsi="Times New Roman" w:cs="Times New Roman"/>
                <w:sz w:val="16"/>
                <w:szCs w:val="16"/>
              </w:rPr>
              <w:t>&lt;0</w:t>
            </w:r>
            <w:r w:rsidR="00452C0D">
              <w:rPr>
                <w:rFonts w:ascii="Times New Roman" w:hAnsi="Times New Roman" w:cs="Times New Roman"/>
                <w:sz w:val="16"/>
                <w:szCs w:val="16"/>
              </w:rPr>
              <w:t>.</w:t>
            </w:r>
            <w:r w:rsidRPr="00E656AF">
              <w:rPr>
                <w:rFonts w:ascii="Times New Roman" w:hAnsi="Times New Roman" w:cs="Times New Roman"/>
                <w:sz w:val="16"/>
                <w:szCs w:val="16"/>
              </w:rPr>
              <w:t>0001</w:t>
            </w:r>
          </w:p>
        </w:tc>
      </w:tr>
    </w:tbl>
    <w:p w14:paraId="11710517" w14:textId="6FCEFED9" w:rsidR="00643D56" w:rsidRPr="005A4558" w:rsidRDefault="004157EA" w:rsidP="00643D56">
      <w:pPr>
        <w:pStyle w:val="Caption"/>
        <w:rPr>
          <w:rFonts w:ascii="Times New Roman" w:hAnsi="Times New Roman" w:cs="Times New Roman"/>
          <w:sz w:val="20"/>
          <w:szCs w:val="20"/>
        </w:rPr>
      </w:pPr>
      <w:r w:rsidRPr="004157EA">
        <w:rPr>
          <w:rFonts w:ascii="Times New Roman" w:hAnsi="Times New Roman" w:cs="Times New Roman"/>
          <w:b w:val="0"/>
          <w:sz w:val="20"/>
          <w:szCs w:val="20"/>
        </w:rPr>
        <w:t>Notes:</w:t>
      </w:r>
      <w:r>
        <w:rPr>
          <w:rFonts w:ascii="Times New Roman" w:hAnsi="Times New Roman" w:cs="Times New Roman"/>
          <w:sz w:val="20"/>
          <w:szCs w:val="20"/>
        </w:rPr>
        <w:t xml:space="preserve"> </w:t>
      </w:r>
      <w:r w:rsidR="0044421F" w:rsidRPr="00E656AF">
        <w:rPr>
          <w:rFonts w:ascii="Times New Roman" w:hAnsi="Times New Roman" w:cs="Times New Roman"/>
          <w:b w:val="0"/>
          <w:sz w:val="20"/>
          <w:szCs w:val="20"/>
        </w:rPr>
        <w:t>All the risk factors with the exception of sexual partners are time dependent.</w:t>
      </w:r>
      <w:r w:rsidR="00643D56" w:rsidRPr="001648D9">
        <w:rPr>
          <w:rFonts w:ascii="Times New Roman" w:hAnsi="Times New Roman" w:cs="Times New Roman"/>
          <w:b w:val="0"/>
          <w:sz w:val="20"/>
          <w:szCs w:val="20"/>
        </w:rPr>
        <w:t xml:space="preserve"> </w:t>
      </w:r>
      <w:r w:rsidR="00643D56" w:rsidRPr="005A4558">
        <w:rPr>
          <w:rFonts w:ascii="Times New Roman" w:hAnsi="Times New Roman" w:cs="Times New Roman"/>
          <w:sz w:val="20"/>
          <w:szCs w:val="20"/>
        </w:rPr>
        <w:t xml:space="preserve"> </w:t>
      </w:r>
    </w:p>
    <w:p w14:paraId="7D62EAF7" w14:textId="49F76EC4" w:rsidR="00C45916" w:rsidRDefault="00C45916" w:rsidP="00C45916"/>
    <w:p w14:paraId="37B0CA12" w14:textId="1AD00816" w:rsidR="00E96532" w:rsidRDefault="00E96532" w:rsidP="00C45916"/>
    <w:p w14:paraId="3834D273" w14:textId="206FEA93" w:rsidR="008C0092" w:rsidRPr="00E656AF" w:rsidRDefault="008C0092" w:rsidP="008C0092"/>
    <w:p w14:paraId="0086BE75" w14:textId="77777777" w:rsidR="008C0092" w:rsidRPr="008C0092" w:rsidRDefault="008C0092" w:rsidP="008C0092"/>
    <w:p w14:paraId="6DC67639" w14:textId="77777777" w:rsidR="00C45916" w:rsidRPr="00C45916" w:rsidRDefault="00C45916" w:rsidP="00C45916"/>
    <w:p w14:paraId="665FA163" w14:textId="76EDF850" w:rsidR="00E656AF" w:rsidRPr="00F63473" w:rsidRDefault="00E656AF">
      <w:pPr>
        <w:rPr>
          <w:rFonts w:ascii="Times New Roman" w:hAnsi="Times New Roman" w:cs="Times New Roman"/>
          <w:b/>
          <w:sz w:val="20"/>
          <w:szCs w:val="20"/>
        </w:rPr>
      </w:pPr>
      <w:r>
        <w:rPr>
          <w:rFonts w:ascii="Times New Roman" w:eastAsia="Times New Roman" w:hAnsi="Times New Roman" w:cs="Times New Roman"/>
          <w:sz w:val="20"/>
          <w:szCs w:val="20"/>
        </w:rPr>
        <w:br w:type="page"/>
      </w:r>
    </w:p>
    <w:p w14:paraId="22553FBA" w14:textId="77777777" w:rsidR="007623A2" w:rsidRPr="007623A2" w:rsidRDefault="007623A2" w:rsidP="007623A2">
      <w:pPr>
        <w:spacing w:after="0" w:line="240" w:lineRule="auto"/>
        <w:jc w:val="left"/>
        <w:rPr>
          <w:rFonts w:ascii="Times New Roman" w:eastAsia="Times New Roman" w:hAnsi="Times New Roman" w:cs="Times New Roman"/>
          <w:b/>
          <w:sz w:val="20"/>
          <w:szCs w:val="20"/>
        </w:rPr>
      </w:pPr>
    </w:p>
    <w:p w14:paraId="272A8D8B" w14:textId="7E11BE47" w:rsidR="007D5EAC" w:rsidRPr="007D0489" w:rsidRDefault="007D5EAC" w:rsidP="00D63546">
      <w:pPr>
        <w:pStyle w:val="Heading2"/>
        <w:spacing w:line="480" w:lineRule="auto"/>
        <w:rPr>
          <w:rFonts w:ascii="Times New Roman" w:hAnsi="Times New Roman" w:cs="Times New Roman"/>
          <w:sz w:val="32"/>
          <w:szCs w:val="32"/>
        </w:rPr>
      </w:pPr>
      <w:r w:rsidRPr="007D0489">
        <w:rPr>
          <w:rFonts w:ascii="Times New Roman" w:hAnsi="Times New Roman" w:cs="Times New Roman"/>
          <w:sz w:val="32"/>
          <w:szCs w:val="32"/>
        </w:rPr>
        <w:t>References</w:t>
      </w:r>
    </w:p>
    <w:p w14:paraId="7D94DA03" w14:textId="77777777" w:rsidR="00644C8A" w:rsidRPr="00644C8A" w:rsidRDefault="007D5EAC" w:rsidP="00644C8A">
      <w:pPr>
        <w:pStyle w:val="EndNoteBibliography"/>
        <w:spacing w:after="0"/>
      </w:pPr>
      <w:r w:rsidRPr="007D0489">
        <w:rPr>
          <w:rFonts w:ascii="Times New Roman" w:hAnsi="Times New Roman" w:cs="Times New Roman"/>
          <w:sz w:val="24"/>
          <w:szCs w:val="24"/>
        </w:rPr>
        <w:fldChar w:fldCharType="begin"/>
      </w:r>
      <w:r w:rsidRPr="007D0489">
        <w:rPr>
          <w:rFonts w:ascii="Times New Roman" w:hAnsi="Times New Roman" w:cs="Times New Roman"/>
          <w:sz w:val="24"/>
          <w:szCs w:val="24"/>
        </w:rPr>
        <w:instrText xml:space="preserve"> ADDIN EN.REFLIST </w:instrText>
      </w:r>
      <w:r w:rsidRPr="007D0489">
        <w:rPr>
          <w:rFonts w:ascii="Times New Roman" w:hAnsi="Times New Roman" w:cs="Times New Roman"/>
          <w:sz w:val="24"/>
          <w:szCs w:val="24"/>
        </w:rPr>
        <w:fldChar w:fldCharType="separate"/>
      </w:r>
      <w:r w:rsidR="00644C8A" w:rsidRPr="00644C8A">
        <w:t xml:space="preserve">1. Bärnighausen T, Hosegood V, Timaeus IM, Newell M-L. </w:t>
      </w:r>
      <w:r w:rsidR="00644C8A" w:rsidRPr="00644C8A">
        <w:rPr>
          <w:b/>
        </w:rPr>
        <w:t>The socioeconomic determinants of HIV incidence: evidence from a longitudinal, population-based study in rural South Africa</w:t>
      </w:r>
      <w:r w:rsidR="00644C8A" w:rsidRPr="00644C8A">
        <w:t xml:space="preserve">. </w:t>
      </w:r>
      <w:r w:rsidR="00644C8A" w:rsidRPr="00644C8A">
        <w:rPr>
          <w:i/>
        </w:rPr>
        <w:t xml:space="preserve">AIDS </w:t>
      </w:r>
      <w:r w:rsidR="00644C8A" w:rsidRPr="00644C8A">
        <w:t>2007; 21(Suppl 7):S29--S38.</w:t>
      </w:r>
    </w:p>
    <w:p w14:paraId="6771381E" w14:textId="77777777" w:rsidR="00644C8A" w:rsidRPr="00644C8A" w:rsidRDefault="00644C8A" w:rsidP="00644C8A">
      <w:pPr>
        <w:pStyle w:val="EndNoteBibliography"/>
        <w:spacing w:after="0"/>
      </w:pPr>
      <w:r w:rsidRPr="00644C8A">
        <w:t xml:space="preserve">2. Camlin CS, Hosegood V, Newell M-L, McGrath N, Bärnighausen T, Snow RC. </w:t>
      </w:r>
      <w:r w:rsidRPr="00644C8A">
        <w:rPr>
          <w:b/>
        </w:rPr>
        <w:t>Gender, Migration and HIV in Rural KwaZulu-Natal, South Africa</w:t>
      </w:r>
      <w:r w:rsidRPr="00644C8A">
        <w:t xml:space="preserve">. </w:t>
      </w:r>
      <w:r w:rsidRPr="00644C8A">
        <w:rPr>
          <w:i/>
        </w:rPr>
        <w:t xml:space="preserve">PLoS ONE </w:t>
      </w:r>
      <w:r w:rsidRPr="00644C8A">
        <w:t>2010; 5(7):e11539.</w:t>
      </w:r>
    </w:p>
    <w:p w14:paraId="2CE34C4D" w14:textId="77777777" w:rsidR="00644C8A" w:rsidRPr="00644C8A" w:rsidRDefault="00644C8A" w:rsidP="00644C8A">
      <w:pPr>
        <w:pStyle w:val="EndNoteBibliography"/>
        <w:spacing w:after="0"/>
      </w:pPr>
      <w:r w:rsidRPr="00644C8A">
        <w:t xml:space="preserve">3. Deane KD, Parkhurst JO, Johnston D. </w:t>
      </w:r>
      <w:r w:rsidRPr="00644C8A">
        <w:rPr>
          <w:b/>
        </w:rPr>
        <w:t>Linking migration, mobility and HIV</w:t>
      </w:r>
      <w:r w:rsidRPr="00644C8A">
        <w:t xml:space="preserve">. </w:t>
      </w:r>
      <w:r w:rsidRPr="00644C8A">
        <w:rPr>
          <w:i/>
        </w:rPr>
        <w:t xml:space="preserve">Tropical Medicine and International Health </w:t>
      </w:r>
      <w:r w:rsidRPr="00644C8A">
        <w:t>2010; 15(12):1458–1463.</w:t>
      </w:r>
    </w:p>
    <w:p w14:paraId="5291C8A4" w14:textId="77777777" w:rsidR="00644C8A" w:rsidRPr="00644C8A" w:rsidRDefault="00644C8A" w:rsidP="00644C8A">
      <w:pPr>
        <w:pStyle w:val="EndNoteBibliography"/>
        <w:spacing w:after="0"/>
      </w:pPr>
      <w:r w:rsidRPr="00644C8A">
        <w:t xml:space="preserve">4. Saggurti N, Mahapatra B, Swain SN, Jain AK. </w:t>
      </w:r>
      <w:r w:rsidRPr="00644C8A">
        <w:rPr>
          <w:b/>
        </w:rPr>
        <w:t>Male migration and risky sexual behavior in rural India: is the place of origin critical for HIV prevention programs?</w:t>
      </w:r>
      <w:r w:rsidRPr="00644C8A">
        <w:t xml:space="preserve"> </w:t>
      </w:r>
      <w:r w:rsidRPr="00644C8A">
        <w:rPr>
          <w:i/>
        </w:rPr>
        <w:t xml:space="preserve">BMC Public Health </w:t>
      </w:r>
      <w:r w:rsidRPr="00644C8A">
        <w:t>2011; 11(S6).</w:t>
      </w:r>
    </w:p>
    <w:p w14:paraId="64CD2886" w14:textId="77777777" w:rsidR="00644C8A" w:rsidRPr="00644C8A" w:rsidRDefault="00644C8A" w:rsidP="00644C8A">
      <w:pPr>
        <w:pStyle w:val="EndNoteBibliography"/>
        <w:spacing w:after="0"/>
      </w:pPr>
      <w:r w:rsidRPr="00644C8A">
        <w:t xml:space="preserve">5. Vissers DCJ, de Vlas SJ, Bakker R, Urassa M, Voeten HACM, Habbema JDF. </w:t>
      </w:r>
      <w:r w:rsidRPr="00644C8A">
        <w:rPr>
          <w:b/>
        </w:rPr>
        <w:t>The impact of mobility on HIV control: a modelling study</w:t>
      </w:r>
      <w:r w:rsidRPr="00644C8A">
        <w:t xml:space="preserve">. </w:t>
      </w:r>
      <w:r w:rsidRPr="00644C8A">
        <w:rPr>
          <w:i/>
        </w:rPr>
        <w:t xml:space="preserve">Epidemiology and Infection </w:t>
      </w:r>
      <w:r w:rsidRPr="00644C8A">
        <w:t>2011; 139(12):1845-1853.</w:t>
      </w:r>
    </w:p>
    <w:p w14:paraId="50323985" w14:textId="77777777" w:rsidR="00644C8A" w:rsidRPr="00644C8A" w:rsidRDefault="00644C8A" w:rsidP="00644C8A">
      <w:pPr>
        <w:pStyle w:val="EndNoteBibliography"/>
        <w:spacing w:after="0"/>
      </w:pPr>
      <w:r w:rsidRPr="00644C8A">
        <w:t xml:space="preserve">6. Anglewicz P. </w:t>
      </w:r>
      <w:r w:rsidRPr="00644C8A">
        <w:rPr>
          <w:b/>
        </w:rPr>
        <w:t>Migration, Marital Change, and HIV Infection in Malawi</w:t>
      </w:r>
      <w:r w:rsidRPr="00644C8A">
        <w:t xml:space="preserve">. </w:t>
      </w:r>
      <w:r w:rsidRPr="00644C8A">
        <w:rPr>
          <w:i/>
        </w:rPr>
        <w:t xml:space="preserve">Demography </w:t>
      </w:r>
      <w:r w:rsidRPr="00644C8A">
        <w:t>2012; 49(1):239-265.</w:t>
      </w:r>
    </w:p>
    <w:p w14:paraId="09C9D257" w14:textId="77777777" w:rsidR="00644C8A" w:rsidRPr="00644C8A" w:rsidRDefault="00644C8A" w:rsidP="00644C8A">
      <w:pPr>
        <w:pStyle w:val="EndNoteBibliography"/>
        <w:spacing w:after="0"/>
      </w:pPr>
      <w:r w:rsidRPr="00644C8A">
        <w:t xml:space="preserve">7. Goldenberg SM, Strathdee SA, Perez-Rosales MD, Sued O. </w:t>
      </w:r>
      <w:r w:rsidRPr="00644C8A">
        <w:rPr>
          <w:b/>
        </w:rPr>
        <w:t>Mobility and HIV in Central America and Mexico: a critical review</w:t>
      </w:r>
      <w:r w:rsidRPr="00644C8A">
        <w:t xml:space="preserve">. </w:t>
      </w:r>
      <w:r w:rsidRPr="00644C8A">
        <w:rPr>
          <w:i/>
        </w:rPr>
        <w:t xml:space="preserve">Journal of Immigrant and Minority Health </w:t>
      </w:r>
      <w:r w:rsidRPr="00644C8A">
        <w:t>2012; 14(1):48-64.</w:t>
      </w:r>
    </w:p>
    <w:p w14:paraId="62C96DA1" w14:textId="77777777" w:rsidR="00644C8A" w:rsidRPr="00644C8A" w:rsidRDefault="00644C8A" w:rsidP="00644C8A">
      <w:pPr>
        <w:pStyle w:val="EndNoteBibliography"/>
        <w:spacing w:after="0"/>
      </w:pPr>
      <w:r w:rsidRPr="00644C8A">
        <w:t xml:space="preserve">8. Veary J. </w:t>
      </w:r>
      <w:r w:rsidRPr="00644C8A">
        <w:rPr>
          <w:b/>
        </w:rPr>
        <w:t>Learning from HIV: Exploring migration and health in South Africa</w:t>
      </w:r>
      <w:r w:rsidRPr="00644C8A">
        <w:t xml:space="preserve">. </w:t>
      </w:r>
      <w:r w:rsidRPr="00644C8A">
        <w:rPr>
          <w:i/>
        </w:rPr>
        <w:t xml:space="preserve">Global Public Health </w:t>
      </w:r>
      <w:r w:rsidRPr="00644C8A">
        <w:t>2012; 7(1):58-70.</w:t>
      </w:r>
    </w:p>
    <w:p w14:paraId="108569B0" w14:textId="77777777" w:rsidR="00644C8A" w:rsidRPr="00644C8A" w:rsidRDefault="00644C8A" w:rsidP="00644C8A">
      <w:pPr>
        <w:pStyle w:val="EndNoteBibliography"/>
        <w:spacing w:after="0"/>
      </w:pPr>
      <w:r w:rsidRPr="00644C8A">
        <w:t xml:space="preserve">9. Weine SM, Kashuba AB. </w:t>
      </w:r>
      <w:r w:rsidRPr="00644C8A">
        <w:rPr>
          <w:b/>
        </w:rPr>
        <w:t>Labor Migration and HIV Risk: A Systematic Review of the Literature</w:t>
      </w:r>
      <w:r w:rsidRPr="00644C8A">
        <w:t xml:space="preserve">. </w:t>
      </w:r>
      <w:r w:rsidRPr="00644C8A">
        <w:rPr>
          <w:i/>
        </w:rPr>
        <w:t xml:space="preserve">AIDS and Behavior </w:t>
      </w:r>
      <w:r w:rsidRPr="00644C8A">
        <w:t>2012; 16:1605–1621.</w:t>
      </w:r>
    </w:p>
    <w:p w14:paraId="77765B48" w14:textId="77777777" w:rsidR="00644C8A" w:rsidRPr="00644C8A" w:rsidRDefault="00644C8A" w:rsidP="00644C8A">
      <w:pPr>
        <w:pStyle w:val="EndNoteBibliography"/>
        <w:spacing w:after="0"/>
      </w:pPr>
      <w:r w:rsidRPr="00644C8A">
        <w:t xml:space="preserve">10. Cassels S, Manhart L, Jenness SM, Morris M. </w:t>
      </w:r>
      <w:r w:rsidRPr="00644C8A">
        <w:rPr>
          <w:b/>
        </w:rPr>
        <w:t>Short-term Mobility and Increased Partnership Concurrency among Men in Zimbabwe</w:t>
      </w:r>
      <w:r w:rsidRPr="00644C8A">
        <w:t xml:space="preserve">. </w:t>
      </w:r>
      <w:r w:rsidRPr="00644C8A">
        <w:rPr>
          <w:i/>
        </w:rPr>
        <w:t xml:space="preserve">PLoS ONE </w:t>
      </w:r>
      <w:r w:rsidRPr="00644C8A">
        <w:t>2013; 8(6):e66342.</w:t>
      </w:r>
    </w:p>
    <w:p w14:paraId="1CA01300" w14:textId="77777777" w:rsidR="00644C8A" w:rsidRPr="00644C8A" w:rsidRDefault="00644C8A" w:rsidP="00644C8A">
      <w:pPr>
        <w:pStyle w:val="EndNoteBibliography"/>
        <w:spacing w:after="0"/>
      </w:pPr>
      <w:r w:rsidRPr="00644C8A">
        <w:t xml:space="preserve">11. Camlin CS, Kwena ZA, Dworkin SL, Cohen CR, Bukusi EA. </w:t>
      </w:r>
      <w:r w:rsidRPr="00644C8A">
        <w:rPr>
          <w:b/>
        </w:rPr>
        <w:t>“She mixes her business”: HIV transmission and acquisition risks among female migrants in western Kenya</w:t>
      </w:r>
      <w:r w:rsidRPr="00644C8A">
        <w:t xml:space="preserve">. </w:t>
      </w:r>
      <w:r w:rsidRPr="00644C8A">
        <w:rPr>
          <w:i/>
        </w:rPr>
        <w:t xml:space="preserve">Social Science and Medicine </w:t>
      </w:r>
      <w:r w:rsidRPr="00644C8A">
        <w:t>2014; 102:146-156.</w:t>
      </w:r>
    </w:p>
    <w:p w14:paraId="267CC690" w14:textId="77777777" w:rsidR="00644C8A" w:rsidRPr="00644C8A" w:rsidRDefault="00644C8A" w:rsidP="00644C8A">
      <w:pPr>
        <w:pStyle w:val="EndNoteBibliography"/>
        <w:spacing w:after="0"/>
      </w:pPr>
      <w:r w:rsidRPr="00644C8A">
        <w:t xml:space="preserve">12. Camlin CS, Snow RC, Hosegood V. </w:t>
      </w:r>
      <w:r w:rsidRPr="00644C8A">
        <w:rPr>
          <w:b/>
        </w:rPr>
        <w:t>Gendered Patterns of Migration in Rural South Africa</w:t>
      </w:r>
      <w:r w:rsidRPr="00644C8A">
        <w:t xml:space="preserve">. </w:t>
      </w:r>
      <w:r w:rsidRPr="00644C8A">
        <w:rPr>
          <w:i/>
        </w:rPr>
        <w:t xml:space="preserve">Population, Space and Place </w:t>
      </w:r>
      <w:r w:rsidRPr="00644C8A">
        <w:t>2014; 20(6):528-551.</w:t>
      </w:r>
    </w:p>
    <w:p w14:paraId="7CB1D7CB" w14:textId="77777777" w:rsidR="00644C8A" w:rsidRPr="00644C8A" w:rsidRDefault="00644C8A" w:rsidP="00644C8A">
      <w:pPr>
        <w:pStyle w:val="EndNoteBibliography"/>
        <w:spacing w:after="0"/>
      </w:pPr>
      <w:r w:rsidRPr="00644C8A">
        <w:t xml:space="preserve">13. Cassels S, Jenness SM, Biney AAE, Ampofo WK, Dodoo FN-A. </w:t>
      </w:r>
      <w:r w:rsidRPr="00644C8A">
        <w:rPr>
          <w:b/>
        </w:rPr>
        <w:t>Migration, sexual networks, and HIV in Agbogbloshie, Ghana</w:t>
      </w:r>
      <w:r w:rsidRPr="00644C8A">
        <w:t xml:space="preserve">. </w:t>
      </w:r>
      <w:r w:rsidRPr="00644C8A">
        <w:rPr>
          <w:i/>
        </w:rPr>
        <w:t xml:space="preserve">Demographic Research </w:t>
      </w:r>
      <w:r w:rsidRPr="00644C8A">
        <w:t>2014; 31:861 - 888.</w:t>
      </w:r>
    </w:p>
    <w:p w14:paraId="08ABC4A7" w14:textId="77777777" w:rsidR="00644C8A" w:rsidRPr="00644C8A" w:rsidRDefault="00644C8A" w:rsidP="00644C8A">
      <w:pPr>
        <w:pStyle w:val="EndNoteBibliography"/>
        <w:spacing w:after="0"/>
      </w:pPr>
      <w:r w:rsidRPr="00644C8A">
        <w:t xml:space="preserve">14. Cassels S, Jenness SM, Khanna AS. </w:t>
      </w:r>
      <w:r w:rsidRPr="00644C8A">
        <w:rPr>
          <w:b/>
        </w:rPr>
        <w:t>Conceptual Framework and Research Methods for Migration and HIV Transmission Dynamics</w:t>
      </w:r>
      <w:r w:rsidRPr="00644C8A">
        <w:t xml:space="preserve">. </w:t>
      </w:r>
      <w:r w:rsidRPr="00644C8A">
        <w:rPr>
          <w:i/>
        </w:rPr>
        <w:t xml:space="preserve">AIDS and Behavior </w:t>
      </w:r>
      <w:r w:rsidRPr="00644C8A">
        <w:t>2014; 18(12):2302–2313.</w:t>
      </w:r>
    </w:p>
    <w:p w14:paraId="4360BE37" w14:textId="77777777" w:rsidR="00644C8A" w:rsidRPr="00644C8A" w:rsidRDefault="00644C8A" w:rsidP="00644C8A">
      <w:pPr>
        <w:pStyle w:val="EndNoteBibliography"/>
        <w:spacing w:after="0"/>
      </w:pPr>
      <w:r w:rsidRPr="00644C8A">
        <w:t xml:space="preserve">15. Kenyon C, Colebunders R, Voeten H, Lurie M. </w:t>
      </w:r>
      <w:r w:rsidRPr="00644C8A">
        <w:rPr>
          <w:b/>
        </w:rPr>
        <w:t>Migration intensity has no effect on peak HIV prevalence: an ecological study</w:t>
      </w:r>
      <w:r w:rsidRPr="00644C8A">
        <w:t xml:space="preserve">. </w:t>
      </w:r>
      <w:r w:rsidRPr="00644C8A">
        <w:rPr>
          <w:i/>
        </w:rPr>
        <w:t xml:space="preserve">BMC Infectious Diseases </w:t>
      </w:r>
      <w:r w:rsidRPr="00644C8A">
        <w:t>2014; 14:350.</w:t>
      </w:r>
    </w:p>
    <w:p w14:paraId="1D12EE57" w14:textId="77777777" w:rsidR="00644C8A" w:rsidRPr="00644C8A" w:rsidRDefault="00644C8A" w:rsidP="00644C8A">
      <w:pPr>
        <w:pStyle w:val="EndNoteBibliography"/>
        <w:spacing w:after="0"/>
      </w:pPr>
      <w:r w:rsidRPr="00644C8A">
        <w:t xml:space="preserve">16. Lurie MN, Williams BG. </w:t>
      </w:r>
      <w:r w:rsidRPr="00644C8A">
        <w:rPr>
          <w:b/>
        </w:rPr>
        <w:t>Migration and health in Southern Africa: 100 years and still circulating</w:t>
      </w:r>
      <w:r w:rsidRPr="00644C8A">
        <w:t xml:space="preserve">. </w:t>
      </w:r>
      <w:r w:rsidRPr="00644C8A">
        <w:rPr>
          <w:i/>
        </w:rPr>
        <w:t xml:space="preserve">Health Psychology and Behavioral Medicine: An Open Access Journal </w:t>
      </w:r>
      <w:r w:rsidRPr="00644C8A">
        <w:t>2014; 2(1):34-40.</w:t>
      </w:r>
    </w:p>
    <w:p w14:paraId="6D3D2F3C" w14:textId="77777777" w:rsidR="00644C8A" w:rsidRPr="00644C8A" w:rsidRDefault="00644C8A" w:rsidP="00644C8A">
      <w:pPr>
        <w:pStyle w:val="EndNoteBibliography"/>
        <w:spacing w:after="0"/>
      </w:pPr>
      <w:r w:rsidRPr="00644C8A">
        <w:t xml:space="preserve">17. Rai T, Lambert HS, Borquez AB, Saggurti N, Mahapatra B, Ward H. </w:t>
      </w:r>
      <w:r w:rsidRPr="00644C8A">
        <w:rPr>
          <w:b/>
        </w:rPr>
        <w:t>Circular Labor Migration and HIV in India: Exploring Heterogeneity in Bridge Populations Connecting Areas of High and Low HIV Infection Prevalence</w:t>
      </w:r>
      <w:r w:rsidRPr="00644C8A">
        <w:t xml:space="preserve">. </w:t>
      </w:r>
      <w:r w:rsidRPr="00644C8A">
        <w:rPr>
          <w:i/>
        </w:rPr>
        <w:t xml:space="preserve">Journal of Infectious Diseases </w:t>
      </w:r>
      <w:r w:rsidRPr="00644C8A">
        <w:t>2014; 210(Suppl 2):S556-S561.</w:t>
      </w:r>
    </w:p>
    <w:p w14:paraId="4BCC95A2" w14:textId="77777777" w:rsidR="00644C8A" w:rsidRPr="00644C8A" w:rsidRDefault="00644C8A" w:rsidP="00644C8A">
      <w:pPr>
        <w:pStyle w:val="EndNoteBibliography"/>
        <w:spacing w:after="0"/>
      </w:pPr>
      <w:r w:rsidRPr="00644C8A">
        <w:t xml:space="preserve">18. McGrath N, Eaton JW, Newell M-L, Hosegood V. </w:t>
      </w:r>
      <w:r w:rsidRPr="00644C8A">
        <w:rPr>
          <w:b/>
        </w:rPr>
        <w:t>Migration, sexual behaviour, and HIV risk: a general population cohort in rural South Africa</w:t>
      </w:r>
      <w:r w:rsidRPr="00644C8A">
        <w:t xml:space="preserve">. </w:t>
      </w:r>
      <w:r w:rsidRPr="00644C8A">
        <w:rPr>
          <w:i/>
        </w:rPr>
        <w:t xml:space="preserve">The Lancet HIV </w:t>
      </w:r>
      <w:r w:rsidRPr="00644C8A">
        <w:t>2015; 2(6):e252 - e259.</w:t>
      </w:r>
    </w:p>
    <w:p w14:paraId="319BC545" w14:textId="77777777" w:rsidR="00644C8A" w:rsidRPr="00644C8A" w:rsidRDefault="00644C8A" w:rsidP="00644C8A">
      <w:pPr>
        <w:pStyle w:val="EndNoteBibliography"/>
        <w:spacing w:after="0"/>
      </w:pPr>
      <w:r w:rsidRPr="00644C8A">
        <w:t xml:space="preserve">19. Thapa S, Bista N, Timilsina S, Buntinx F, Mathei C. </w:t>
      </w:r>
      <w:r w:rsidRPr="00644C8A">
        <w:rPr>
          <w:b/>
        </w:rPr>
        <w:t>Social and behavioural risk factors for HIV infection among the wives of labour migrants in Nepal</w:t>
      </w:r>
      <w:r w:rsidRPr="00644C8A">
        <w:t xml:space="preserve">. </w:t>
      </w:r>
      <w:r w:rsidRPr="00644C8A">
        <w:rPr>
          <w:i/>
        </w:rPr>
        <w:t xml:space="preserve">International Journal of STD &amp; AIDS </w:t>
      </w:r>
      <w:r w:rsidRPr="00644C8A">
        <w:t>2014; 25(11):793-799.</w:t>
      </w:r>
    </w:p>
    <w:p w14:paraId="30859F02" w14:textId="77777777" w:rsidR="00644C8A" w:rsidRPr="00644C8A" w:rsidRDefault="00644C8A" w:rsidP="00644C8A">
      <w:pPr>
        <w:pStyle w:val="EndNoteBibliography"/>
      </w:pPr>
      <w:r w:rsidRPr="00644C8A">
        <w:t xml:space="preserve">20. Palk L, Blower S. </w:t>
      </w:r>
      <w:r w:rsidRPr="00644C8A">
        <w:rPr>
          <w:b/>
        </w:rPr>
        <w:t>Mobility and Circular Migration in Lesotho: Implications for Transmission, Treatment, and Control of a Severe HIV Epidemic</w:t>
      </w:r>
      <w:r w:rsidRPr="00644C8A">
        <w:t xml:space="preserve">. </w:t>
      </w:r>
      <w:r w:rsidRPr="00644C8A">
        <w:rPr>
          <w:i/>
        </w:rPr>
        <w:t xml:space="preserve">Journal of Acquired Immune Deficiency Syndromes </w:t>
      </w:r>
      <w:r w:rsidRPr="00644C8A">
        <w:t>2015; 68(5):604-608.</w:t>
      </w:r>
    </w:p>
    <w:p w14:paraId="181C640D" w14:textId="4FBD6983" w:rsidR="00B124FE" w:rsidRPr="00B124FE" w:rsidRDefault="007D5EAC" w:rsidP="00D63546">
      <w:pPr>
        <w:pStyle w:val="Caption"/>
        <w:spacing w:line="480" w:lineRule="auto"/>
      </w:pPr>
      <w:r w:rsidRPr="007D0489">
        <w:rPr>
          <w:rFonts w:ascii="Times New Roman" w:hAnsi="Times New Roman" w:cs="Times New Roman"/>
          <w:sz w:val="24"/>
          <w:szCs w:val="24"/>
        </w:rPr>
        <w:fldChar w:fldCharType="end"/>
      </w:r>
    </w:p>
    <w:sectPr w:rsidR="00B124FE" w:rsidRPr="00B124F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75AC" w14:textId="77777777" w:rsidR="00644C8A" w:rsidRDefault="00644C8A" w:rsidP="006B2DE0">
      <w:pPr>
        <w:spacing w:after="0" w:line="240" w:lineRule="auto"/>
      </w:pPr>
      <w:r>
        <w:separator/>
      </w:r>
    </w:p>
  </w:endnote>
  <w:endnote w:type="continuationSeparator" w:id="0">
    <w:p w14:paraId="406DEEEF" w14:textId="77777777" w:rsidR="00644C8A" w:rsidRDefault="00644C8A" w:rsidP="006B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7915"/>
      <w:docPartObj>
        <w:docPartGallery w:val="Page Numbers (Bottom of Page)"/>
        <w:docPartUnique/>
      </w:docPartObj>
    </w:sdtPr>
    <w:sdtEndPr>
      <w:rPr>
        <w:rFonts w:ascii="Times New Roman" w:hAnsi="Times New Roman" w:cs="Times New Roman"/>
        <w:noProof/>
        <w:sz w:val="20"/>
        <w:szCs w:val="20"/>
      </w:rPr>
    </w:sdtEndPr>
    <w:sdtContent>
      <w:p w14:paraId="4F590254" w14:textId="2855ED24" w:rsidR="00644C8A" w:rsidRPr="006B2DE0" w:rsidRDefault="00644C8A">
        <w:pPr>
          <w:pStyle w:val="Footer"/>
          <w:jc w:val="center"/>
          <w:rPr>
            <w:rFonts w:ascii="Times New Roman" w:hAnsi="Times New Roman" w:cs="Times New Roman"/>
            <w:sz w:val="20"/>
            <w:szCs w:val="20"/>
          </w:rPr>
        </w:pPr>
        <w:r w:rsidRPr="006B2DE0">
          <w:rPr>
            <w:rFonts w:ascii="Times New Roman" w:hAnsi="Times New Roman" w:cs="Times New Roman"/>
            <w:sz w:val="20"/>
            <w:szCs w:val="20"/>
          </w:rPr>
          <w:fldChar w:fldCharType="begin"/>
        </w:r>
        <w:r w:rsidRPr="006B2DE0">
          <w:rPr>
            <w:rFonts w:ascii="Times New Roman" w:hAnsi="Times New Roman" w:cs="Times New Roman"/>
            <w:sz w:val="20"/>
            <w:szCs w:val="20"/>
          </w:rPr>
          <w:instrText xml:space="preserve"> PAGE   \* MERGEFORMAT </w:instrText>
        </w:r>
        <w:r w:rsidRPr="006B2DE0">
          <w:rPr>
            <w:rFonts w:ascii="Times New Roman" w:hAnsi="Times New Roman" w:cs="Times New Roman"/>
            <w:sz w:val="20"/>
            <w:szCs w:val="20"/>
          </w:rPr>
          <w:fldChar w:fldCharType="separate"/>
        </w:r>
        <w:r w:rsidR="003B4893">
          <w:rPr>
            <w:rFonts w:ascii="Times New Roman" w:hAnsi="Times New Roman" w:cs="Times New Roman"/>
            <w:noProof/>
            <w:sz w:val="20"/>
            <w:szCs w:val="20"/>
          </w:rPr>
          <w:t>12</w:t>
        </w:r>
        <w:r w:rsidRPr="006B2DE0">
          <w:rPr>
            <w:rFonts w:ascii="Times New Roman" w:hAnsi="Times New Roman" w:cs="Times New Roman"/>
            <w:noProof/>
            <w:sz w:val="20"/>
            <w:szCs w:val="20"/>
          </w:rPr>
          <w:fldChar w:fldCharType="end"/>
        </w:r>
      </w:p>
    </w:sdtContent>
  </w:sdt>
  <w:p w14:paraId="24BB31D9" w14:textId="77777777" w:rsidR="00644C8A" w:rsidRDefault="0064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8882" w14:textId="77777777" w:rsidR="00644C8A" w:rsidRDefault="00644C8A" w:rsidP="006B2DE0">
      <w:pPr>
        <w:spacing w:after="0" w:line="240" w:lineRule="auto"/>
      </w:pPr>
      <w:r>
        <w:separator/>
      </w:r>
    </w:p>
  </w:footnote>
  <w:footnote w:type="continuationSeparator" w:id="0">
    <w:p w14:paraId="411F2F33" w14:textId="77777777" w:rsidR="00644C8A" w:rsidRDefault="00644C8A" w:rsidP="006B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AEF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E3864"/>
    <w:multiLevelType w:val="hybridMultilevel"/>
    <w:tmpl w:val="096A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186B"/>
    <w:multiLevelType w:val="hybridMultilevel"/>
    <w:tmpl w:val="C224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0529"/>
    <w:multiLevelType w:val="hybridMultilevel"/>
    <w:tmpl w:val="9748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A3087"/>
    <w:multiLevelType w:val="hybridMultilevel"/>
    <w:tmpl w:val="B2F0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F3084"/>
    <w:multiLevelType w:val="hybridMultilevel"/>
    <w:tmpl w:val="08701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9p005rtsdz2nept9ax5aahp9dxedxd5502&quot;&gt;MigrationAndHIV&lt;record-ids&gt;&lt;item&gt;1&lt;/item&gt;&lt;item&gt;2&lt;/item&gt;&lt;item&gt;3&lt;/item&gt;&lt;item&gt;4&lt;/item&gt;&lt;item&gt;6&lt;/item&gt;&lt;item&gt;9&lt;/item&gt;&lt;item&gt;10&lt;/item&gt;&lt;item&gt;11&lt;/item&gt;&lt;item&gt;12&lt;/item&gt;&lt;item&gt;13&lt;/item&gt;&lt;item&gt;14&lt;/item&gt;&lt;item&gt;17&lt;/item&gt;&lt;item&gt;29&lt;/item&gt;&lt;item&gt;30&lt;/item&gt;&lt;item&gt;32&lt;/item&gt;&lt;item&gt;33&lt;/item&gt;&lt;item&gt;38&lt;/item&gt;&lt;item&gt;51&lt;/item&gt;&lt;item&gt;52&lt;/item&gt;&lt;item&gt;86&lt;/item&gt;&lt;/record-ids&gt;&lt;/item&gt;&lt;/Libraries&gt;"/>
  </w:docVars>
  <w:rsids>
    <w:rsidRoot w:val="00C109EF"/>
    <w:rsid w:val="000000D6"/>
    <w:rsid w:val="00004971"/>
    <w:rsid w:val="00004F49"/>
    <w:rsid w:val="0000503D"/>
    <w:rsid w:val="0000542B"/>
    <w:rsid w:val="000058F4"/>
    <w:rsid w:val="0001072A"/>
    <w:rsid w:val="0001211D"/>
    <w:rsid w:val="00015E71"/>
    <w:rsid w:val="00023F4C"/>
    <w:rsid w:val="00024756"/>
    <w:rsid w:val="00030E8A"/>
    <w:rsid w:val="00034E0A"/>
    <w:rsid w:val="000350DD"/>
    <w:rsid w:val="00037A45"/>
    <w:rsid w:val="00040A92"/>
    <w:rsid w:val="000427DD"/>
    <w:rsid w:val="00042897"/>
    <w:rsid w:val="000432FC"/>
    <w:rsid w:val="000471AD"/>
    <w:rsid w:val="00050530"/>
    <w:rsid w:val="00051984"/>
    <w:rsid w:val="00061196"/>
    <w:rsid w:val="000614DC"/>
    <w:rsid w:val="00061D4E"/>
    <w:rsid w:val="000640F1"/>
    <w:rsid w:val="0006613B"/>
    <w:rsid w:val="0006634F"/>
    <w:rsid w:val="000727C1"/>
    <w:rsid w:val="0007281F"/>
    <w:rsid w:val="0007408D"/>
    <w:rsid w:val="0007666D"/>
    <w:rsid w:val="00076AA7"/>
    <w:rsid w:val="00083134"/>
    <w:rsid w:val="00084C82"/>
    <w:rsid w:val="00085776"/>
    <w:rsid w:val="000861BB"/>
    <w:rsid w:val="0008643D"/>
    <w:rsid w:val="000944A5"/>
    <w:rsid w:val="00094A2B"/>
    <w:rsid w:val="000A23EA"/>
    <w:rsid w:val="000A334C"/>
    <w:rsid w:val="000A72E3"/>
    <w:rsid w:val="000B316D"/>
    <w:rsid w:val="000B45E8"/>
    <w:rsid w:val="000B6D38"/>
    <w:rsid w:val="000B78B5"/>
    <w:rsid w:val="000C439B"/>
    <w:rsid w:val="000C4C40"/>
    <w:rsid w:val="000C6496"/>
    <w:rsid w:val="000C71A9"/>
    <w:rsid w:val="000D17AB"/>
    <w:rsid w:val="000D39B2"/>
    <w:rsid w:val="000D45A2"/>
    <w:rsid w:val="000E2F4C"/>
    <w:rsid w:val="000E2F93"/>
    <w:rsid w:val="000E3300"/>
    <w:rsid w:val="000E3F84"/>
    <w:rsid w:val="000E716D"/>
    <w:rsid w:val="000F22F8"/>
    <w:rsid w:val="000F3E8D"/>
    <w:rsid w:val="000F4C34"/>
    <w:rsid w:val="000F57FD"/>
    <w:rsid w:val="000F6D87"/>
    <w:rsid w:val="000F7DAC"/>
    <w:rsid w:val="00104B2A"/>
    <w:rsid w:val="00105EF0"/>
    <w:rsid w:val="00106390"/>
    <w:rsid w:val="00110D82"/>
    <w:rsid w:val="00111384"/>
    <w:rsid w:val="00112A0A"/>
    <w:rsid w:val="001137E9"/>
    <w:rsid w:val="0011489C"/>
    <w:rsid w:val="00115C66"/>
    <w:rsid w:val="0012240E"/>
    <w:rsid w:val="00123FCC"/>
    <w:rsid w:val="00125E97"/>
    <w:rsid w:val="00127AA3"/>
    <w:rsid w:val="001359AE"/>
    <w:rsid w:val="00135D8A"/>
    <w:rsid w:val="00140082"/>
    <w:rsid w:val="00140E44"/>
    <w:rsid w:val="001414E2"/>
    <w:rsid w:val="0014542D"/>
    <w:rsid w:val="00146926"/>
    <w:rsid w:val="00151ACA"/>
    <w:rsid w:val="00152C96"/>
    <w:rsid w:val="001565C5"/>
    <w:rsid w:val="00156A59"/>
    <w:rsid w:val="00157720"/>
    <w:rsid w:val="00157862"/>
    <w:rsid w:val="0016041F"/>
    <w:rsid w:val="0016119E"/>
    <w:rsid w:val="001624C8"/>
    <w:rsid w:val="00163272"/>
    <w:rsid w:val="001648D9"/>
    <w:rsid w:val="00172DED"/>
    <w:rsid w:val="001758B4"/>
    <w:rsid w:val="0018045A"/>
    <w:rsid w:val="0018140C"/>
    <w:rsid w:val="001852C5"/>
    <w:rsid w:val="00185E7A"/>
    <w:rsid w:val="00190417"/>
    <w:rsid w:val="00191E23"/>
    <w:rsid w:val="00194CF7"/>
    <w:rsid w:val="00196AA0"/>
    <w:rsid w:val="00196DC9"/>
    <w:rsid w:val="00197CCC"/>
    <w:rsid w:val="001A451B"/>
    <w:rsid w:val="001A4919"/>
    <w:rsid w:val="001A4D97"/>
    <w:rsid w:val="001A5B91"/>
    <w:rsid w:val="001A6F0B"/>
    <w:rsid w:val="001A7016"/>
    <w:rsid w:val="001B4865"/>
    <w:rsid w:val="001C2995"/>
    <w:rsid w:val="001C57C5"/>
    <w:rsid w:val="001D19B3"/>
    <w:rsid w:val="001D283A"/>
    <w:rsid w:val="001D4829"/>
    <w:rsid w:val="001D67A6"/>
    <w:rsid w:val="001D7CB1"/>
    <w:rsid w:val="001E0295"/>
    <w:rsid w:val="001E05B4"/>
    <w:rsid w:val="001E21EA"/>
    <w:rsid w:val="001E54FE"/>
    <w:rsid w:val="001F2F7F"/>
    <w:rsid w:val="001F3B56"/>
    <w:rsid w:val="001F463A"/>
    <w:rsid w:val="001F466D"/>
    <w:rsid w:val="001F67D2"/>
    <w:rsid w:val="001F6C12"/>
    <w:rsid w:val="001F7C3F"/>
    <w:rsid w:val="00200736"/>
    <w:rsid w:val="0020638B"/>
    <w:rsid w:val="00212009"/>
    <w:rsid w:val="00212B7B"/>
    <w:rsid w:val="00212EF9"/>
    <w:rsid w:val="00214A40"/>
    <w:rsid w:val="0021693A"/>
    <w:rsid w:val="002214DE"/>
    <w:rsid w:val="002328F4"/>
    <w:rsid w:val="00232AEF"/>
    <w:rsid w:val="00234C22"/>
    <w:rsid w:val="002363D6"/>
    <w:rsid w:val="00237921"/>
    <w:rsid w:val="00242B61"/>
    <w:rsid w:val="002430A8"/>
    <w:rsid w:val="00244089"/>
    <w:rsid w:val="002508D4"/>
    <w:rsid w:val="00250D51"/>
    <w:rsid w:val="00251952"/>
    <w:rsid w:val="002573A8"/>
    <w:rsid w:val="00257AA0"/>
    <w:rsid w:val="00260703"/>
    <w:rsid w:val="00262182"/>
    <w:rsid w:val="0026298D"/>
    <w:rsid w:val="00262F42"/>
    <w:rsid w:val="002637A6"/>
    <w:rsid w:val="00263CAA"/>
    <w:rsid w:val="002675DE"/>
    <w:rsid w:val="002678BB"/>
    <w:rsid w:val="00270E38"/>
    <w:rsid w:val="00273F97"/>
    <w:rsid w:val="00275F90"/>
    <w:rsid w:val="00276C1C"/>
    <w:rsid w:val="00277666"/>
    <w:rsid w:val="00287C03"/>
    <w:rsid w:val="00292C5D"/>
    <w:rsid w:val="00296FB0"/>
    <w:rsid w:val="002A1FD0"/>
    <w:rsid w:val="002A2089"/>
    <w:rsid w:val="002A3674"/>
    <w:rsid w:val="002B1715"/>
    <w:rsid w:val="002B259A"/>
    <w:rsid w:val="002B2733"/>
    <w:rsid w:val="002B43B0"/>
    <w:rsid w:val="002B4FC8"/>
    <w:rsid w:val="002C2716"/>
    <w:rsid w:val="002C2917"/>
    <w:rsid w:val="002C2ACC"/>
    <w:rsid w:val="002C3BDD"/>
    <w:rsid w:val="002C4EFE"/>
    <w:rsid w:val="002C770C"/>
    <w:rsid w:val="002D03EE"/>
    <w:rsid w:val="002D1DA3"/>
    <w:rsid w:val="002D2CA4"/>
    <w:rsid w:val="002D34D1"/>
    <w:rsid w:val="002D76E9"/>
    <w:rsid w:val="002E0D44"/>
    <w:rsid w:val="002E37EB"/>
    <w:rsid w:val="002E65EA"/>
    <w:rsid w:val="002E6DE5"/>
    <w:rsid w:val="002F36CA"/>
    <w:rsid w:val="002F4F46"/>
    <w:rsid w:val="002F6E82"/>
    <w:rsid w:val="002F7245"/>
    <w:rsid w:val="00300B64"/>
    <w:rsid w:val="00300D25"/>
    <w:rsid w:val="003021A2"/>
    <w:rsid w:val="003036DD"/>
    <w:rsid w:val="00305761"/>
    <w:rsid w:val="0030708D"/>
    <w:rsid w:val="00312FAB"/>
    <w:rsid w:val="003204C4"/>
    <w:rsid w:val="00324B17"/>
    <w:rsid w:val="003269A9"/>
    <w:rsid w:val="00327150"/>
    <w:rsid w:val="00333CBD"/>
    <w:rsid w:val="0034440B"/>
    <w:rsid w:val="00351DCD"/>
    <w:rsid w:val="00352DBB"/>
    <w:rsid w:val="003540C4"/>
    <w:rsid w:val="00355BB6"/>
    <w:rsid w:val="0035741F"/>
    <w:rsid w:val="0036243C"/>
    <w:rsid w:val="0036243F"/>
    <w:rsid w:val="00362801"/>
    <w:rsid w:val="00362B34"/>
    <w:rsid w:val="00365114"/>
    <w:rsid w:val="00365715"/>
    <w:rsid w:val="00367139"/>
    <w:rsid w:val="0036775A"/>
    <w:rsid w:val="003707F2"/>
    <w:rsid w:val="0037406D"/>
    <w:rsid w:val="00381F14"/>
    <w:rsid w:val="00383787"/>
    <w:rsid w:val="00385153"/>
    <w:rsid w:val="0038550E"/>
    <w:rsid w:val="00390531"/>
    <w:rsid w:val="00392290"/>
    <w:rsid w:val="00392924"/>
    <w:rsid w:val="00392F03"/>
    <w:rsid w:val="00394A25"/>
    <w:rsid w:val="0039543B"/>
    <w:rsid w:val="00395DBA"/>
    <w:rsid w:val="003963F0"/>
    <w:rsid w:val="003A0384"/>
    <w:rsid w:val="003A1F38"/>
    <w:rsid w:val="003A1FB7"/>
    <w:rsid w:val="003B248B"/>
    <w:rsid w:val="003B350C"/>
    <w:rsid w:val="003B4893"/>
    <w:rsid w:val="003B56C4"/>
    <w:rsid w:val="003B571F"/>
    <w:rsid w:val="003B6459"/>
    <w:rsid w:val="003B6DDB"/>
    <w:rsid w:val="003C1B92"/>
    <w:rsid w:val="003C2B65"/>
    <w:rsid w:val="003C363E"/>
    <w:rsid w:val="003C4C26"/>
    <w:rsid w:val="003C7179"/>
    <w:rsid w:val="003D026A"/>
    <w:rsid w:val="003D2325"/>
    <w:rsid w:val="003D33C2"/>
    <w:rsid w:val="003D687E"/>
    <w:rsid w:val="003D74FE"/>
    <w:rsid w:val="003E009C"/>
    <w:rsid w:val="003E208E"/>
    <w:rsid w:val="003E39C1"/>
    <w:rsid w:val="003E78B5"/>
    <w:rsid w:val="003E7A2D"/>
    <w:rsid w:val="003F2C73"/>
    <w:rsid w:val="003F5798"/>
    <w:rsid w:val="003F7E45"/>
    <w:rsid w:val="00400029"/>
    <w:rsid w:val="00400E4A"/>
    <w:rsid w:val="00402C00"/>
    <w:rsid w:val="00404EF4"/>
    <w:rsid w:val="00407A3B"/>
    <w:rsid w:val="00410975"/>
    <w:rsid w:val="004112CB"/>
    <w:rsid w:val="00412B59"/>
    <w:rsid w:val="0041310F"/>
    <w:rsid w:val="00414428"/>
    <w:rsid w:val="004157EA"/>
    <w:rsid w:val="00415F00"/>
    <w:rsid w:val="00416F66"/>
    <w:rsid w:val="00417645"/>
    <w:rsid w:val="004210A4"/>
    <w:rsid w:val="00421666"/>
    <w:rsid w:val="00425339"/>
    <w:rsid w:val="00425956"/>
    <w:rsid w:val="004310DF"/>
    <w:rsid w:val="00432DC5"/>
    <w:rsid w:val="00433F3F"/>
    <w:rsid w:val="004342AF"/>
    <w:rsid w:val="00434A4D"/>
    <w:rsid w:val="0043713C"/>
    <w:rsid w:val="0043761D"/>
    <w:rsid w:val="0043783D"/>
    <w:rsid w:val="00437BC9"/>
    <w:rsid w:val="004432A6"/>
    <w:rsid w:val="0044421F"/>
    <w:rsid w:val="004448BD"/>
    <w:rsid w:val="004518E5"/>
    <w:rsid w:val="00452C0D"/>
    <w:rsid w:val="00452EC4"/>
    <w:rsid w:val="00452F41"/>
    <w:rsid w:val="004553E3"/>
    <w:rsid w:val="00455675"/>
    <w:rsid w:val="004579A5"/>
    <w:rsid w:val="00461588"/>
    <w:rsid w:val="00461FC8"/>
    <w:rsid w:val="004620FF"/>
    <w:rsid w:val="00464916"/>
    <w:rsid w:val="00464B17"/>
    <w:rsid w:val="00466211"/>
    <w:rsid w:val="00466CA3"/>
    <w:rsid w:val="004723E1"/>
    <w:rsid w:val="00472912"/>
    <w:rsid w:val="00477088"/>
    <w:rsid w:val="00483AC4"/>
    <w:rsid w:val="00483F1C"/>
    <w:rsid w:val="00485EB8"/>
    <w:rsid w:val="00486368"/>
    <w:rsid w:val="0048770E"/>
    <w:rsid w:val="00490372"/>
    <w:rsid w:val="00490DA1"/>
    <w:rsid w:val="0049122D"/>
    <w:rsid w:val="004940D0"/>
    <w:rsid w:val="00494E25"/>
    <w:rsid w:val="0049536E"/>
    <w:rsid w:val="004969D9"/>
    <w:rsid w:val="00497BB9"/>
    <w:rsid w:val="004A0026"/>
    <w:rsid w:val="004A149E"/>
    <w:rsid w:val="004A2E81"/>
    <w:rsid w:val="004A484D"/>
    <w:rsid w:val="004A4C6A"/>
    <w:rsid w:val="004A6B59"/>
    <w:rsid w:val="004A76A9"/>
    <w:rsid w:val="004B01CB"/>
    <w:rsid w:val="004B13ED"/>
    <w:rsid w:val="004B71E8"/>
    <w:rsid w:val="004C0AD7"/>
    <w:rsid w:val="004C1BC7"/>
    <w:rsid w:val="004C2896"/>
    <w:rsid w:val="004C4C0D"/>
    <w:rsid w:val="004C6E0C"/>
    <w:rsid w:val="004D1A13"/>
    <w:rsid w:val="004D31E1"/>
    <w:rsid w:val="004D38E6"/>
    <w:rsid w:val="004D3A33"/>
    <w:rsid w:val="004D505F"/>
    <w:rsid w:val="004D6376"/>
    <w:rsid w:val="004D6CE2"/>
    <w:rsid w:val="004E1346"/>
    <w:rsid w:val="004E1D2B"/>
    <w:rsid w:val="004E4CC1"/>
    <w:rsid w:val="004E52A2"/>
    <w:rsid w:val="004F027E"/>
    <w:rsid w:val="004F5F50"/>
    <w:rsid w:val="004F7DD5"/>
    <w:rsid w:val="005005CF"/>
    <w:rsid w:val="005026D3"/>
    <w:rsid w:val="00502C75"/>
    <w:rsid w:val="00507329"/>
    <w:rsid w:val="00516330"/>
    <w:rsid w:val="005164C2"/>
    <w:rsid w:val="005171CB"/>
    <w:rsid w:val="0051740D"/>
    <w:rsid w:val="005201D2"/>
    <w:rsid w:val="00522CF4"/>
    <w:rsid w:val="0052398F"/>
    <w:rsid w:val="0052546B"/>
    <w:rsid w:val="00527E3F"/>
    <w:rsid w:val="00530418"/>
    <w:rsid w:val="00531295"/>
    <w:rsid w:val="00531638"/>
    <w:rsid w:val="005362E1"/>
    <w:rsid w:val="00537183"/>
    <w:rsid w:val="00537CCF"/>
    <w:rsid w:val="00542682"/>
    <w:rsid w:val="0054414A"/>
    <w:rsid w:val="0054645F"/>
    <w:rsid w:val="00546899"/>
    <w:rsid w:val="00554206"/>
    <w:rsid w:val="00557F2A"/>
    <w:rsid w:val="00561BDE"/>
    <w:rsid w:val="00565B7E"/>
    <w:rsid w:val="005722D7"/>
    <w:rsid w:val="00572D35"/>
    <w:rsid w:val="00574743"/>
    <w:rsid w:val="00574CB0"/>
    <w:rsid w:val="00576AC5"/>
    <w:rsid w:val="0058078E"/>
    <w:rsid w:val="00582848"/>
    <w:rsid w:val="005841B3"/>
    <w:rsid w:val="005845A9"/>
    <w:rsid w:val="005850DF"/>
    <w:rsid w:val="00590895"/>
    <w:rsid w:val="00593537"/>
    <w:rsid w:val="00594017"/>
    <w:rsid w:val="0059496D"/>
    <w:rsid w:val="00595F88"/>
    <w:rsid w:val="00596905"/>
    <w:rsid w:val="00596F4B"/>
    <w:rsid w:val="005977A1"/>
    <w:rsid w:val="00597B15"/>
    <w:rsid w:val="005A26D7"/>
    <w:rsid w:val="005A2EF9"/>
    <w:rsid w:val="005A4558"/>
    <w:rsid w:val="005A4791"/>
    <w:rsid w:val="005B0CD6"/>
    <w:rsid w:val="005B1667"/>
    <w:rsid w:val="005B2E1A"/>
    <w:rsid w:val="005B2EFB"/>
    <w:rsid w:val="005B45DC"/>
    <w:rsid w:val="005B4A08"/>
    <w:rsid w:val="005B4E1D"/>
    <w:rsid w:val="005B5468"/>
    <w:rsid w:val="005C1BE2"/>
    <w:rsid w:val="005C5B9E"/>
    <w:rsid w:val="005C77CF"/>
    <w:rsid w:val="005D025F"/>
    <w:rsid w:val="005D2EAC"/>
    <w:rsid w:val="005D4264"/>
    <w:rsid w:val="005D566B"/>
    <w:rsid w:val="005D6F09"/>
    <w:rsid w:val="005E0EB1"/>
    <w:rsid w:val="005E43C3"/>
    <w:rsid w:val="005E683A"/>
    <w:rsid w:val="005F0F4C"/>
    <w:rsid w:val="005F3062"/>
    <w:rsid w:val="005F3F1C"/>
    <w:rsid w:val="005F6DB9"/>
    <w:rsid w:val="00603229"/>
    <w:rsid w:val="00603E9E"/>
    <w:rsid w:val="006067F6"/>
    <w:rsid w:val="006071BF"/>
    <w:rsid w:val="006112A3"/>
    <w:rsid w:val="00612E4D"/>
    <w:rsid w:val="0061405E"/>
    <w:rsid w:val="00617D0C"/>
    <w:rsid w:val="00620EB8"/>
    <w:rsid w:val="006220C4"/>
    <w:rsid w:val="00625002"/>
    <w:rsid w:val="00625A4B"/>
    <w:rsid w:val="006261EF"/>
    <w:rsid w:val="00626E65"/>
    <w:rsid w:val="00630AEC"/>
    <w:rsid w:val="0063666C"/>
    <w:rsid w:val="00636FEA"/>
    <w:rsid w:val="00641A38"/>
    <w:rsid w:val="00641FDB"/>
    <w:rsid w:val="00642E9B"/>
    <w:rsid w:val="00643D1E"/>
    <w:rsid w:val="00643D56"/>
    <w:rsid w:val="00644C8A"/>
    <w:rsid w:val="00650DAB"/>
    <w:rsid w:val="00654130"/>
    <w:rsid w:val="006611F8"/>
    <w:rsid w:val="00662A7A"/>
    <w:rsid w:val="00663AED"/>
    <w:rsid w:val="006657CE"/>
    <w:rsid w:val="00670DA0"/>
    <w:rsid w:val="006741B6"/>
    <w:rsid w:val="006749E4"/>
    <w:rsid w:val="00676FBA"/>
    <w:rsid w:val="006803FB"/>
    <w:rsid w:val="00683FB0"/>
    <w:rsid w:val="006877C5"/>
    <w:rsid w:val="00692829"/>
    <w:rsid w:val="006A3587"/>
    <w:rsid w:val="006A3D91"/>
    <w:rsid w:val="006A4C28"/>
    <w:rsid w:val="006A5462"/>
    <w:rsid w:val="006B2DE0"/>
    <w:rsid w:val="006B31CC"/>
    <w:rsid w:val="006B3242"/>
    <w:rsid w:val="006B5E72"/>
    <w:rsid w:val="006B60CA"/>
    <w:rsid w:val="006B6D39"/>
    <w:rsid w:val="006B6DA7"/>
    <w:rsid w:val="006B7D9B"/>
    <w:rsid w:val="006C2619"/>
    <w:rsid w:val="006C28BF"/>
    <w:rsid w:val="006C3519"/>
    <w:rsid w:val="006C3D7D"/>
    <w:rsid w:val="006C722B"/>
    <w:rsid w:val="006D0398"/>
    <w:rsid w:val="006D0727"/>
    <w:rsid w:val="006D1A3F"/>
    <w:rsid w:val="006D1F53"/>
    <w:rsid w:val="006D3BA0"/>
    <w:rsid w:val="006D7AE7"/>
    <w:rsid w:val="006E2CB0"/>
    <w:rsid w:val="006F163F"/>
    <w:rsid w:val="006F4D43"/>
    <w:rsid w:val="006F5A75"/>
    <w:rsid w:val="006F62CA"/>
    <w:rsid w:val="006F6364"/>
    <w:rsid w:val="00700C24"/>
    <w:rsid w:val="007051F1"/>
    <w:rsid w:val="00706D93"/>
    <w:rsid w:val="00707509"/>
    <w:rsid w:val="00707AE8"/>
    <w:rsid w:val="00713B04"/>
    <w:rsid w:val="00714657"/>
    <w:rsid w:val="00717BE4"/>
    <w:rsid w:val="00722825"/>
    <w:rsid w:val="0073058E"/>
    <w:rsid w:val="0073141A"/>
    <w:rsid w:val="007315A5"/>
    <w:rsid w:val="00731F60"/>
    <w:rsid w:val="007340EE"/>
    <w:rsid w:val="00734636"/>
    <w:rsid w:val="007358C6"/>
    <w:rsid w:val="00737A3F"/>
    <w:rsid w:val="00742287"/>
    <w:rsid w:val="00742988"/>
    <w:rsid w:val="00744C3F"/>
    <w:rsid w:val="00747D05"/>
    <w:rsid w:val="00754BBE"/>
    <w:rsid w:val="007553CE"/>
    <w:rsid w:val="00755C17"/>
    <w:rsid w:val="00757431"/>
    <w:rsid w:val="00757A0E"/>
    <w:rsid w:val="00760B91"/>
    <w:rsid w:val="00761193"/>
    <w:rsid w:val="007623A2"/>
    <w:rsid w:val="007640A5"/>
    <w:rsid w:val="00765297"/>
    <w:rsid w:val="00766ABC"/>
    <w:rsid w:val="00767C29"/>
    <w:rsid w:val="00771950"/>
    <w:rsid w:val="007721CB"/>
    <w:rsid w:val="00773524"/>
    <w:rsid w:val="0077357E"/>
    <w:rsid w:val="0077417E"/>
    <w:rsid w:val="007753FA"/>
    <w:rsid w:val="0078047B"/>
    <w:rsid w:val="00781F3A"/>
    <w:rsid w:val="00783CF8"/>
    <w:rsid w:val="007929E8"/>
    <w:rsid w:val="007955A6"/>
    <w:rsid w:val="007A0009"/>
    <w:rsid w:val="007A0149"/>
    <w:rsid w:val="007A01BB"/>
    <w:rsid w:val="007A1B9B"/>
    <w:rsid w:val="007A4652"/>
    <w:rsid w:val="007A4D2D"/>
    <w:rsid w:val="007A6ABE"/>
    <w:rsid w:val="007B2133"/>
    <w:rsid w:val="007B26BB"/>
    <w:rsid w:val="007B3CE3"/>
    <w:rsid w:val="007B5D2D"/>
    <w:rsid w:val="007B6984"/>
    <w:rsid w:val="007C00F9"/>
    <w:rsid w:val="007C036E"/>
    <w:rsid w:val="007C41E5"/>
    <w:rsid w:val="007C4C7A"/>
    <w:rsid w:val="007C55B4"/>
    <w:rsid w:val="007D0489"/>
    <w:rsid w:val="007D0F18"/>
    <w:rsid w:val="007D1165"/>
    <w:rsid w:val="007D16F0"/>
    <w:rsid w:val="007D202F"/>
    <w:rsid w:val="007D3B03"/>
    <w:rsid w:val="007D3D9D"/>
    <w:rsid w:val="007D4694"/>
    <w:rsid w:val="007D4785"/>
    <w:rsid w:val="007D5D35"/>
    <w:rsid w:val="007D5EAC"/>
    <w:rsid w:val="007D67E9"/>
    <w:rsid w:val="007D7995"/>
    <w:rsid w:val="007D7E15"/>
    <w:rsid w:val="007E01C6"/>
    <w:rsid w:val="007E01E9"/>
    <w:rsid w:val="007E2D75"/>
    <w:rsid w:val="007E3BCD"/>
    <w:rsid w:val="007E5AAE"/>
    <w:rsid w:val="007E683D"/>
    <w:rsid w:val="007F0605"/>
    <w:rsid w:val="007F5F95"/>
    <w:rsid w:val="007F639A"/>
    <w:rsid w:val="007F77AF"/>
    <w:rsid w:val="007F7CEF"/>
    <w:rsid w:val="00801580"/>
    <w:rsid w:val="00802EFE"/>
    <w:rsid w:val="00803822"/>
    <w:rsid w:val="00805C2D"/>
    <w:rsid w:val="00806E25"/>
    <w:rsid w:val="00812676"/>
    <w:rsid w:val="00812A03"/>
    <w:rsid w:val="008130B4"/>
    <w:rsid w:val="008140F0"/>
    <w:rsid w:val="0081413C"/>
    <w:rsid w:val="00817741"/>
    <w:rsid w:val="00821599"/>
    <w:rsid w:val="0082215A"/>
    <w:rsid w:val="008253A0"/>
    <w:rsid w:val="00826EE9"/>
    <w:rsid w:val="00830102"/>
    <w:rsid w:val="008316CC"/>
    <w:rsid w:val="00832ED6"/>
    <w:rsid w:val="00834246"/>
    <w:rsid w:val="008350CB"/>
    <w:rsid w:val="0083681F"/>
    <w:rsid w:val="00840479"/>
    <w:rsid w:val="00840D4B"/>
    <w:rsid w:val="00841372"/>
    <w:rsid w:val="00842893"/>
    <w:rsid w:val="008430FB"/>
    <w:rsid w:val="00850A8E"/>
    <w:rsid w:val="00853490"/>
    <w:rsid w:val="008550FD"/>
    <w:rsid w:val="00855982"/>
    <w:rsid w:val="00856CA5"/>
    <w:rsid w:val="00860DE7"/>
    <w:rsid w:val="00863E8E"/>
    <w:rsid w:val="00866D29"/>
    <w:rsid w:val="0086757F"/>
    <w:rsid w:val="00883817"/>
    <w:rsid w:val="008839CD"/>
    <w:rsid w:val="0088632C"/>
    <w:rsid w:val="00886487"/>
    <w:rsid w:val="00886DAD"/>
    <w:rsid w:val="008923BF"/>
    <w:rsid w:val="00892448"/>
    <w:rsid w:val="0089455A"/>
    <w:rsid w:val="00894844"/>
    <w:rsid w:val="00894A40"/>
    <w:rsid w:val="00895622"/>
    <w:rsid w:val="008A108E"/>
    <w:rsid w:val="008A3492"/>
    <w:rsid w:val="008A3544"/>
    <w:rsid w:val="008A4E28"/>
    <w:rsid w:val="008A50FE"/>
    <w:rsid w:val="008B28B1"/>
    <w:rsid w:val="008B33B1"/>
    <w:rsid w:val="008C0092"/>
    <w:rsid w:val="008C2582"/>
    <w:rsid w:val="008C2A9B"/>
    <w:rsid w:val="008C37D6"/>
    <w:rsid w:val="008D1DCA"/>
    <w:rsid w:val="008D32E6"/>
    <w:rsid w:val="008E0A22"/>
    <w:rsid w:val="008E1983"/>
    <w:rsid w:val="008E5421"/>
    <w:rsid w:val="008F2E05"/>
    <w:rsid w:val="008F3A67"/>
    <w:rsid w:val="00902281"/>
    <w:rsid w:val="00902C95"/>
    <w:rsid w:val="009036CC"/>
    <w:rsid w:val="009042D3"/>
    <w:rsid w:val="00911F80"/>
    <w:rsid w:val="009159FE"/>
    <w:rsid w:val="00915D0D"/>
    <w:rsid w:val="00916769"/>
    <w:rsid w:val="00920863"/>
    <w:rsid w:val="0092254D"/>
    <w:rsid w:val="00931A9F"/>
    <w:rsid w:val="009401DB"/>
    <w:rsid w:val="009415F9"/>
    <w:rsid w:val="0094207F"/>
    <w:rsid w:val="00944BA8"/>
    <w:rsid w:val="00945E15"/>
    <w:rsid w:val="00946C57"/>
    <w:rsid w:val="00947C98"/>
    <w:rsid w:val="00953134"/>
    <w:rsid w:val="00954455"/>
    <w:rsid w:val="00954F40"/>
    <w:rsid w:val="00960094"/>
    <w:rsid w:val="00961596"/>
    <w:rsid w:val="0096412D"/>
    <w:rsid w:val="00965890"/>
    <w:rsid w:val="00966A75"/>
    <w:rsid w:val="009711B7"/>
    <w:rsid w:val="00975700"/>
    <w:rsid w:val="00980154"/>
    <w:rsid w:val="0098563D"/>
    <w:rsid w:val="00990F65"/>
    <w:rsid w:val="0099240A"/>
    <w:rsid w:val="009940EE"/>
    <w:rsid w:val="00995C94"/>
    <w:rsid w:val="0099757B"/>
    <w:rsid w:val="009A0C44"/>
    <w:rsid w:val="009A2687"/>
    <w:rsid w:val="009A3026"/>
    <w:rsid w:val="009A76BB"/>
    <w:rsid w:val="009B06ED"/>
    <w:rsid w:val="009B0D83"/>
    <w:rsid w:val="009B6A02"/>
    <w:rsid w:val="009C1241"/>
    <w:rsid w:val="009C2152"/>
    <w:rsid w:val="009C2777"/>
    <w:rsid w:val="009C4234"/>
    <w:rsid w:val="009C4955"/>
    <w:rsid w:val="009C57E5"/>
    <w:rsid w:val="009C5872"/>
    <w:rsid w:val="009D173B"/>
    <w:rsid w:val="009D2626"/>
    <w:rsid w:val="009D2852"/>
    <w:rsid w:val="009D30E7"/>
    <w:rsid w:val="009D5703"/>
    <w:rsid w:val="009E00E2"/>
    <w:rsid w:val="009E1354"/>
    <w:rsid w:val="009E44E5"/>
    <w:rsid w:val="009E5032"/>
    <w:rsid w:val="009E5221"/>
    <w:rsid w:val="009E711D"/>
    <w:rsid w:val="009F035D"/>
    <w:rsid w:val="009F0BB0"/>
    <w:rsid w:val="009F1B74"/>
    <w:rsid w:val="009F1BF3"/>
    <w:rsid w:val="00A03053"/>
    <w:rsid w:val="00A047DD"/>
    <w:rsid w:val="00A05F04"/>
    <w:rsid w:val="00A079EC"/>
    <w:rsid w:val="00A131C0"/>
    <w:rsid w:val="00A14046"/>
    <w:rsid w:val="00A212DE"/>
    <w:rsid w:val="00A21ADB"/>
    <w:rsid w:val="00A22037"/>
    <w:rsid w:val="00A25CE9"/>
    <w:rsid w:val="00A26216"/>
    <w:rsid w:val="00A27833"/>
    <w:rsid w:val="00A33BDF"/>
    <w:rsid w:val="00A3476F"/>
    <w:rsid w:val="00A34C7E"/>
    <w:rsid w:val="00A35178"/>
    <w:rsid w:val="00A408CE"/>
    <w:rsid w:val="00A4250D"/>
    <w:rsid w:val="00A4313B"/>
    <w:rsid w:val="00A43751"/>
    <w:rsid w:val="00A44028"/>
    <w:rsid w:val="00A44669"/>
    <w:rsid w:val="00A47211"/>
    <w:rsid w:val="00A50EBD"/>
    <w:rsid w:val="00A538F0"/>
    <w:rsid w:val="00A5703C"/>
    <w:rsid w:val="00A6390A"/>
    <w:rsid w:val="00A677C2"/>
    <w:rsid w:val="00A67E80"/>
    <w:rsid w:val="00A70B51"/>
    <w:rsid w:val="00A71069"/>
    <w:rsid w:val="00A7218C"/>
    <w:rsid w:val="00A731B1"/>
    <w:rsid w:val="00A737AB"/>
    <w:rsid w:val="00A77841"/>
    <w:rsid w:val="00A8042A"/>
    <w:rsid w:val="00A8044E"/>
    <w:rsid w:val="00A80BD4"/>
    <w:rsid w:val="00A84B61"/>
    <w:rsid w:val="00A854E8"/>
    <w:rsid w:val="00A85632"/>
    <w:rsid w:val="00A87D38"/>
    <w:rsid w:val="00A92CA0"/>
    <w:rsid w:val="00A93DB3"/>
    <w:rsid w:val="00AA0C10"/>
    <w:rsid w:val="00AA0E16"/>
    <w:rsid w:val="00AA277B"/>
    <w:rsid w:val="00AA716B"/>
    <w:rsid w:val="00AB0E7F"/>
    <w:rsid w:val="00AB318B"/>
    <w:rsid w:val="00AB5DB5"/>
    <w:rsid w:val="00AB68E6"/>
    <w:rsid w:val="00AC038C"/>
    <w:rsid w:val="00AC3026"/>
    <w:rsid w:val="00AC451B"/>
    <w:rsid w:val="00AC5820"/>
    <w:rsid w:val="00AD1EFB"/>
    <w:rsid w:val="00AD4397"/>
    <w:rsid w:val="00AE50EF"/>
    <w:rsid w:val="00AE5219"/>
    <w:rsid w:val="00AF3A90"/>
    <w:rsid w:val="00AF3AED"/>
    <w:rsid w:val="00AF4074"/>
    <w:rsid w:val="00AF4379"/>
    <w:rsid w:val="00B00DF3"/>
    <w:rsid w:val="00B079F2"/>
    <w:rsid w:val="00B11042"/>
    <w:rsid w:val="00B11658"/>
    <w:rsid w:val="00B1249A"/>
    <w:rsid w:val="00B124FE"/>
    <w:rsid w:val="00B21AF7"/>
    <w:rsid w:val="00B241FF"/>
    <w:rsid w:val="00B26B5F"/>
    <w:rsid w:val="00B3095F"/>
    <w:rsid w:val="00B30A5D"/>
    <w:rsid w:val="00B4234F"/>
    <w:rsid w:val="00B43876"/>
    <w:rsid w:val="00B44CE0"/>
    <w:rsid w:val="00B52188"/>
    <w:rsid w:val="00B5494C"/>
    <w:rsid w:val="00B54C72"/>
    <w:rsid w:val="00B563DC"/>
    <w:rsid w:val="00B60E74"/>
    <w:rsid w:val="00B63B00"/>
    <w:rsid w:val="00B6474E"/>
    <w:rsid w:val="00B66658"/>
    <w:rsid w:val="00B708CB"/>
    <w:rsid w:val="00B721B5"/>
    <w:rsid w:val="00B86D10"/>
    <w:rsid w:val="00B878DF"/>
    <w:rsid w:val="00B87A7B"/>
    <w:rsid w:val="00B904F2"/>
    <w:rsid w:val="00B910B8"/>
    <w:rsid w:val="00B91CD1"/>
    <w:rsid w:val="00B9289D"/>
    <w:rsid w:val="00B9392C"/>
    <w:rsid w:val="00B95A7A"/>
    <w:rsid w:val="00B977CA"/>
    <w:rsid w:val="00B97C54"/>
    <w:rsid w:val="00BA4FD7"/>
    <w:rsid w:val="00BA5563"/>
    <w:rsid w:val="00BA5728"/>
    <w:rsid w:val="00BA6118"/>
    <w:rsid w:val="00BA7AC9"/>
    <w:rsid w:val="00BB087C"/>
    <w:rsid w:val="00BB1958"/>
    <w:rsid w:val="00BB2B8D"/>
    <w:rsid w:val="00BB3928"/>
    <w:rsid w:val="00BB4E7B"/>
    <w:rsid w:val="00BC7B4D"/>
    <w:rsid w:val="00BD0ADB"/>
    <w:rsid w:val="00BE50F5"/>
    <w:rsid w:val="00BE6615"/>
    <w:rsid w:val="00BF1537"/>
    <w:rsid w:val="00BF3EFF"/>
    <w:rsid w:val="00BF5BA7"/>
    <w:rsid w:val="00BF6E41"/>
    <w:rsid w:val="00C000BA"/>
    <w:rsid w:val="00C00C4F"/>
    <w:rsid w:val="00C02886"/>
    <w:rsid w:val="00C056F8"/>
    <w:rsid w:val="00C05BD9"/>
    <w:rsid w:val="00C06655"/>
    <w:rsid w:val="00C10770"/>
    <w:rsid w:val="00C109EF"/>
    <w:rsid w:val="00C13BBC"/>
    <w:rsid w:val="00C14C0B"/>
    <w:rsid w:val="00C15659"/>
    <w:rsid w:val="00C1600A"/>
    <w:rsid w:val="00C16A8B"/>
    <w:rsid w:val="00C16EEB"/>
    <w:rsid w:val="00C2389B"/>
    <w:rsid w:val="00C255DC"/>
    <w:rsid w:val="00C25DB2"/>
    <w:rsid w:val="00C30955"/>
    <w:rsid w:val="00C30C0C"/>
    <w:rsid w:val="00C30D05"/>
    <w:rsid w:val="00C316B8"/>
    <w:rsid w:val="00C41DF9"/>
    <w:rsid w:val="00C43EB6"/>
    <w:rsid w:val="00C43FA3"/>
    <w:rsid w:val="00C44E06"/>
    <w:rsid w:val="00C45916"/>
    <w:rsid w:val="00C5007B"/>
    <w:rsid w:val="00C5171B"/>
    <w:rsid w:val="00C5301D"/>
    <w:rsid w:val="00C54154"/>
    <w:rsid w:val="00C55501"/>
    <w:rsid w:val="00C55E20"/>
    <w:rsid w:val="00C60CED"/>
    <w:rsid w:val="00C62281"/>
    <w:rsid w:val="00C63601"/>
    <w:rsid w:val="00C63CC6"/>
    <w:rsid w:val="00C64521"/>
    <w:rsid w:val="00C70783"/>
    <w:rsid w:val="00C71CBF"/>
    <w:rsid w:val="00C7670C"/>
    <w:rsid w:val="00C776FC"/>
    <w:rsid w:val="00C81223"/>
    <w:rsid w:val="00C82159"/>
    <w:rsid w:val="00C82626"/>
    <w:rsid w:val="00C830CB"/>
    <w:rsid w:val="00C85343"/>
    <w:rsid w:val="00C85A0C"/>
    <w:rsid w:val="00C95B22"/>
    <w:rsid w:val="00CA0AC6"/>
    <w:rsid w:val="00CA27B9"/>
    <w:rsid w:val="00CB061F"/>
    <w:rsid w:val="00CB1645"/>
    <w:rsid w:val="00CB2BE2"/>
    <w:rsid w:val="00CB3649"/>
    <w:rsid w:val="00CB3AB6"/>
    <w:rsid w:val="00CB411F"/>
    <w:rsid w:val="00CB6FE9"/>
    <w:rsid w:val="00CB70F1"/>
    <w:rsid w:val="00CC072C"/>
    <w:rsid w:val="00CC084B"/>
    <w:rsid w:val="00CC3D4B"/>
    <w:rsid w:val="00CC4FFA"/>
    <w:rsid w:val="00CC512E"/>
    <w:rsid w:val="00CC6037"/>
    <w:rsid w:val="00CD3B59"/>
    <w:rsid w:val="00CD454F"/>
    <w:rsid w:val="00CD68E1"/>
    <w:rsid w:val="00CD69C2"/>
    <w:rsid w:val="00CD7A9A"/>
    <w:rsid w:val="00CD7CE9"/>
    <w:rsid w:val="00CE0DA7"/>
    <w:rsid w:val="00CE54DA"/>
    <w:rsid w:val="00CE5FB6"/>
    <w:rsid w:val="00CE68B2"/>
    <w:rsid w:val="00CE7ECA"/>
    <w:rsid w:val="00CF0DBE"/>
    <w:rsid w:val="00CF1BBA"/>
    <w:rsid w:val="00CF26C6"/>
    <w:rsid w:val="00CF2D0B"/>
    <w:rsid w:val="00CF4E6D"/>
    <w:rsid w:val="00CF6D3D"/>
    <w:rsid w:val="00CF6E4E"/>
    <w:rsid w:val="00CF7996"/>
    <w:rsid w:val="00CF7B24"/>
    <w:rsid w:val="00D011C2"/>
    <w:rsid w:val="00D025B0"/>
    <w:rsid w:val="00D06EA7"/>
    <w:rsid w:val="00D103E7"/>
    <w:rsid w:val="00D1189A"/>
    <w:rsid w:val="00D1361D"/>
    <w:rsid w:val="00D14862"/>
    <w:rsid w:val="00D14F97"/>
    <w:rsid w:val="00D167D5"/>
    <w:rsid w:val="00D21A25"/>
    <w:rsid w:val="00D23B4C"/>
    <w:rsid w:val="00D2425A"/>
    <w:rsid w:val="00D24490"/>
    <w:rsid w:val="00D3300C"/>
    <w:rsid w:val="00D34B3D"/>
    <w:rsid w:val="00D352DC"/>
    <w:rsid w:val="00D36898"/>
    <w:rsid w:val="00D454EB"/>
    <w:rsid w:val="00D46E89"/>
    <w:rsid w:val="00D474C2"/>
    <w:rsid w:val="00D51DF0"/>
    <w:rsid w:val="00D521B0"/>
    <w:rsid w:val="00D54A98"/>
    <w:rsid w:val="00D57E9C"/>
    <w:rsid w:val="00D6012F"/>
    <w:rsid w:val="00D627FE"/>
    <w:rsid w:val="00D63546"/>
    <w:rsid w:val="00D674EA"/>
    <w:rsid w:val="00D71858"/>
    <w:rsid w:val="00D72C0D"/>
    <w:rsid w:val="00D7418B"/>
    <w:rsid w:val="00D752E0"/>
    <w:rsid w:val="00D80D61"/>
    <w:rsid w:val="00D81644"/>
    <w:rsid w:val="00D81B7A"/>
    <w:rsid w:val="00D82037"/>
    <w:rsid w:val="00D861E0"/>
    <w:rsid w:val="00D871AD"/>
    <w:rsid w:val="00D93346"/>
    <w:rsid w:val="00DA01F7"/>
    <w:rsid w:val="00DA07D8"/>
    <w:rsid w:val="00DA280F"/>
    <w:rsid w:val="00DA56F2"/>
    <w:rsid w:val="00DB4CEE"/>
    <w:rsid w:val="00DB4DBF"/>
    <w:rsid w:val="00DB6D60"/>
    <w:rsid w:val="00DC0DA4"/>
    <w:rsid w:val="00DC5260"/>
    <w:rsid w:val="00DD6DA2"/>
    <w:rsid w:val="00DE2860"/>
    <w:rsid w:val="00DE3C05"/>
    <w:rsid w:val="00DE6904"/>
    <w:rsid w:val="00DE6EB7"/>
    <w:rsid w:val="00DE749B"/>
    <w:rsid w:val="00DF256C"/>
    <w:rsid w:val="00DF2F30"/>
    <w:rsid w:val="00DF4775"/>
    <w:rsid w:val="00DF4AAA"/>
    <w:rsid w:val="00E00C7A"/>
    <w:rsid w:val="00E11ABD"/>
    <w:rsid w:val="00E15806"/>
    <w:rsid w:val="00E16D1B"/>
    <w:rsid w:val="00E2057C"/>
    <w:rsid w:val="00E207EA"/>
    <w:rsid w:val="00E24E75"/>
    <w:rsid w:val="00E24EA1"/>
    <w:rsid w:val="00E25E23"/>
    <w:rsid w:val="00E3026B"/>
    <w:rsid w:val="00E32688"/>
    <w:rsid w:val="00E34DBD"/>
    <w:rsid w:val="00E36F3C"/>
    <w:rsid w:val="00E44578"/>
    <w:rsid w:val="00E46B19"/>
    <w:rsid w:val="00E5145B"/>
    <w:rsid w:val="00E56A67"/>
    <w:rsid w:val="00E610FE"/>
    <w:rsid w:val="00E64502"/>
    <w:rsid w:val="00E650AA"/>
    <w:rsid w:val="00E656AF"/>
    <w:rsid w:val="00E66E09"/>
    <w:rsid w:val="00E66FBE"/>
    <w:rsid w:val="00E675D9"/>
    <w:rsid w:val="00E67E5C"/>
    <w:rsid w:val="00E7344C"/>
    <w:rsid w:val="00E7558F"/>
    <w:rsid w:val="00E75B09"/>
    <w:rsid w:val="00E76A97"/>
    <w:rsid w:val="00E779EA"/>
    <w:rsid w:val="00E8280B"/>
    <w:rsid w:val="00E82C5F"/>
    <w:rsid w:val="00E85300"/>
    <w:rsid w:val="00E855EB"/>
    <w:rsid w:val="00E85BB3"/>
    <w:rsid w:val="00E86BE6"/>
    <w:rsid w:val="00E9148A"/>
    <w:rsid w:val="00E9189B"/>
    <w:rsid w:val="00E93377"/>
    <w:rsid w:val="00E94B5F"/>
    <w:rsid w:val="00E96532"/>
    <w:rsid w:val="00EA04F7"/>
    <w:rsid w:val="00EA1FF7"/>
    <w:rsid w:val="00EA68C9"/>
    <w:rsid w:val="00EB0551"/>
    <w:rsid w:val="00EB5388"/>
    <w:rsid w:val="00EB5E06"/>
    <w:rsid w:val="00EB716F"/>
    <w:rsid w:val="00EB755D"/>
    <w:rsid w:val="00EC075F"/>
    <w:rsid w:val="00EC17FB"/>
    <w:rsid w:val="00EC20C3"/>
    <w:rsid w:val="00EC3260"/>
    <w:rsid w:val="00EC45C5"/>
    <w:rsid w:val="00EC6466"/>
    <w:rsid w:val="00ED1922"/>
    <w:rsid w:val="00ED2A28"/>
    <w:rsid w:val="00ED6406"/>
    <w:rsid w:val="00ED661A"/>
    <w:rsid w:val="00ED7AA9"/>
    <w:rsid w:val="00EE2697"/>
    <w:rsid w:val="00EE5C83"/>
    <w:rsid w:val="00EF3552"/>
    <w:rsid w:val="00EF3C64"/>
    <w:rsid w:val="00EF5B9B"/>
    <w:rsid w:val="00EF6D7E"/>
    <w:rsid w:val="00F00552"/>
    <w:rsid w:val="00F02E41"/>
    <w:rsid w:val="00F02E4D"/>
    <w:rsid w:val="00F05A69"/>
    <w:rsid w:val="00F07AE2"/>
    <w:rsid w:val="00F11188"/>
    <w:rsid w:val="00F13DB7"/>
    <w:rsid w:val="00F13F18"/>
    <w:rsid w:val="00F1488D"/>
    <w:rsid w:val="00F16B99"/>
    <w:rsid w:val="00F16EDA"/>
    <w:rsid w:val="00F176A8"/>
    <w:rsid w:val="00F209FB"/>
    <w:rsid w:val="00F21A40"/>
    <w:rsid w:val="00F31B4A"/>
    <w:rsid w:val="00F37A60"/>
    <w:rsid w:val="00F441AD"/>
    <w:rsid w:val="00F46264"/>
    <w:rsid w:val="00F46DF8"/>
    <w:rsid w:val="00F47C83"/>
    <w:rsid w:val="00F50E4C"/>
    <w:rsid w:val="00F52063"/>
    <w:rsid w:val="00F52E1C"/>
    <w:rsid w:val="00F52FDB"/>
    <w:rsid w:val="00F55FA3"/>
    <w:rsid w:val="00F573A2"/>
    <w:rsid w:val="00F60724"/>
    <w:rsid w:val="00F60860"/>
    <w:rsid w:val="00F63473"/>
    <w:rsid w:val="00F650B7"/>
    <w:rsid w:val="00F65864"/>
    <w:rsid w:val="00F65B49"/>
    <w:rsid w:val="00F66155"/>
    <w:rsid w:val="00F66770"/>
    <w:rsid w:val="00F677B6"/>
    <w:rsid w:val="00F71CD2"/>
    <w:rsid w:val="00F74C72"/>
    <w:rsid w:val="00F80463"/>
    <w:rsid w:val="00F80712"/>
    <w:rsid w:val="00F82173"/>
    <w:rsid w:val="00F84E8D"/>
    <w:rsid w:val="00F871D3"/>
    <w:rsid w:val="00F871DF"/>
    <w:rsid w:val="00F90F95"/>
    <w:rsid w:val="00F91306"/>
    <w:rsid w:val="00F9210C"/>
    <w:rsid w:val="00F9314D"/>
    <w:rsid w:val="00F95260"/>
    <w:rsid w:val="00F96A87"/>
    <w:rsid w:val="00FA028B"/>
    <w:rsid w:val="00FA0E98"/>
    <w:rsid w:val="00FA3308"/>
    <w:rsid w:val="00FA35B3"/>
    <w:rsid w:val="00FA5129"/>
    <w:rsid w:val="00FA73A8"/>
    <w:rsid w:val="00FB2171"/>
    <w:rsid w:val="00FB2601"/>
    <w:rsid w:val="00FB2B40"/>
    <w:rsid w:val="00FB6AC8"/>
    <w:rsid w:val="00FC207A"/>
    <w:rsid w:val="00FC2A5E"/>
    <w:rsid w:val="00FC44CF"/>
    <w:rsid w:val="00FC63C0"/>
    <w:rsid w:val="00FC6B82"/>
    <w:rsid w:val="00FC6FC8"/>
    <w:rsid w:val="00FD0D76"/>
    <w:rsid w:val="00FD2B0E"/>
    <w:rsid w:val="00FD3F6D"/>
    <w:rsid w:val="00FD556A"/>
    <w:rsid w:val="00FD591D"/>
    <w:rsid w:val="00FD6908"/>
    <w:rsid w:val="00FD6BB5"/>
    <w:rsid w:val="00FD7804"/>
    <w:rsid w:val="00FD7E83"/>
    <w:rsid w:val="00FE0B75"/>
    <w:rsid w:val="00FE26AF"/>
    <w:rsid w:val="00FE44C8"/>
    <w:rsid w:val="00FE6314"/>
    <w:rsid w:val="00FE7852"/>
    <w:rsid w:val="00FF124D"/>
    <w:rsid w:val="00FF1526"/>
    <w:rsid w:val="00FF3563"/>
    <w:rsid w:val="00FF4D61"/>
    <w:rsid w:val="00FF556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A0E5"/>
  <w15:chartTrackingRefBased/>
  <w15:docId w15:val="{486D5D09-9BA3-464D-831A-A14CDCF9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B1"/>
  </w:style>
  <w:style w:type="paragraph" w:styleId="Heading1">
    <w:name w:val="heading 1"/>
    <w:basedOn w:val="Normal"/>
    <w:next w:val="Normal"/>
    <w:link w:val="Heading1Char"/>
    <w:uiPriority w:val="9"/>
    <w:qFormat/>
    <w:rsid w:val="008B33B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B33B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B33B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B33B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B33B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B33B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B33B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B33B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B33B1"/>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B33B1"/>
    <w:rPr>
      <w:b/>
      <w:bCs/>
      <w:sz w:val="18"/>
      <w:szCs w:val="18"/>
    </w:rPr>
  </w:style>
  <w:style w:type="paragraph" w:styleId="Header">
    <w:name w:val="header"/>
    <w:basedOn w:val="Normal"/>
    <w:link w:val="HeaderChar"/>
    <w:uiPriority w:val="99"/>
    <w:unhideWhenUsed/>
    <w:rsid w:val="006B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E0"/>
  </w:style>
  <w:style w:type="paragraph" w:styleId="Footer">
    <w:name w:val="footer"/>
    <w:basedOn w:val="Normal"/>
    <w:link w:val="FooterChar"/>
    <w:uiPriority w:val="99"/>
    <w:unhideWhenUsed/>
    <w:rsid w:val="006B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E0"/>
  </w:style>
  <w:style w:type="paragraph" w:styleId="NormalWeb">
    <w:name w:val="Normal (Web)"/>
    <w:basedOn w:val="Normal"/>
    <w:uiPriority w:val="99"/>
    <w:unhideWhenUsed/>
    <w:rsid w:val="006B2DE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B33B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B33B1"/>
    <w:rPr>
      <w:rFonts w:asciiTheme="majorHAnsi" w:eastAsiaTheme="majorEastAsia" w:hAnsiTheme="majorHAnsi" w:cstheme="majorBidi"/>
      <w:b/>
      <w:bCs/>
      <w:spacing w:val="-7"/>
      <w:sz w:val="48"/>
      <w:szCs w:val="48"/>
    </w:rPr>
  </w:style>
  <w:style w:type="table" w:styleId="TableGrid">
    <w:name w:val="Table Grid"/>
    <w:basedOn w:val="TableNormal"/>
    <w:uiPriority w:val="39"/>
    <w:rsid w:val="0082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253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253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60DE7"/>
    <w:rPr>
      <w:color w:val="0563C1" w:themeColor="hyperlink"/>
      <w:u w:val="single"/>
    </w:rPr>
  </w:style>
  <w:style w:type="table" w:styleId="GridTable2-Accent3">
    <w:name w:val="Grid Table 2 Accent 3"/>
    <w:basedOn w:val="TableNormal"/>
    <w:uiPriority w:val="47"/>
    <w:rsid w:val="00AA0C1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AA0C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AA0C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A0C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8B33B1"/>
    <w:rPr>
      <w:rFonts w:asciiTheme="majorHAnsi" w:eastAsiaTheme="majorEastAsia" w:hAnsiTheme="majorHAnsi" w:cstheme="majorBidi"/>
      <w:b/>
      <w:bCs/>
      <w:caps/>
      <w:spacing w:val="4"/>
      <w:sz w:val="28"/>
      <w:szCs w:val="28"/>
    </w:rPr>
  </w:style>
  <w:style w:type="paragraph" w:styleId="ListParagraph">
    <w:name w:val="List Paragraph"/>
    <w:basedOn w:val="Normal"/>
    <w:uiPriority w:val="34"/>
    <w:qFormat/>
    <w:rsid w:val="00AD4397"/>
    <w:pPr>
      <w:ind w:left="720"/>
      <w:contextualSpacing/>
    </w:pPr>
  </w:style>
  <w:style w:type="table" w:customStyle="1" w:styleId="ListTable4-Accent21">
    <w:name w:val="List Table 4 - Accent 21"/>
    <w:basedOn w:val="TableNormal"/>
    <w:uiPriority w:val="49"/>
    <w:rsid w:val="007D5EAC"/>
    <w:pPr>
      <w:spacing w:after="0" w:line="240" w:lineRule="auto"/>
    </w:pPr>
    <w:rPr>
      <w:rFonts w:eastAsia="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rFonts w:cs="Times New Roman"/>
        <w:b/>
        <w:bCs/>
      </w:rPr>
      <w:tblPr/>
      <w:tcPr>
        <w:tcBorders>
          <w:top w:val="double" w:sz="4" w:space="0" w:color="F4B083"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paragraph" w:customStyle="1" w:styleId="EndNoteBibliographyTitle">
    <w:name w:val="EndNote Bibliography Title"/>
    <w:basedOn w:val="Normal"/>
    <w:link w:val="EndNoteBibliographyTitleChar"/>
    <w:rsid w:val="007D5EAC"/>
    <w:pPr>
      <w:spacing w:after="0"/>
      <w:jc w:val="center"/>
    </w:pPr>
    <w:rPr>
      <w:rFonts w:ascii="Calibri" w:hAnsi="Calibri"/>
      <w:noProof/>
      <w:sz w:val="18"/>
    </w:rPr>
  </w:style>
  <w:style w:type="character" w:customStyle="1" w:styleId="EndNoteBibliographyTitleChar">
    <w:name w:val="EndNote Bibliography Title Char"/>
    <w:basedOn w:val="DefaultParagraphFont"/>
    <w:link w:val="EndNoteBibliographyTitle"/>
    <w:rsid w:val="007D5EAC"/>
    <w:rPr>
      <w:rFonts w:ascii="Calibri" w:hAnsi="Calibri"/>
      <w:noProof/>
      <w:sz w:val="18"/>
    </w:rPr>
  </w:style>
  <w:style w:type="paragraph" w:customStyle="1" w:styleId="EndNoteBibliography">
    <w:name w:val="EndNote Bibliography"/>
    <w:basedOn w:val="Normal"/>
    <w:link w:val="EndNoteBibliographyChar"/>
    <w:rsid w:val="007D5EAC"/>
    <w:pPr>
      <w:spacing w:line="240" w:lineRule="auto"/>
    </w:pPr>
    <w:rPr>
      <w:rFonts w:ascii="Calibri" w:hAnsi="Calibri"/>
      <w:noProof/>
      <w:sz w:val="18"/>
    </w:rPr>
  </w:style>
  <w:style w:type="character" w:customStyle="1" w:styleId="EndNoteBibliographyChar">
    <w:name w:val="EndNote Bibliography Char"/>
    <w:basedOn w:val="DefaultParagraphFont"/>
    <w:link w:val="EndNoteBibliography"/>
    <w:rsid w:val="007D5EAC"/>
    <w:rPr>
      <w:rFonts w:ascii="Calibri" w:hAnsi="Calibri"/>
      <w:noProof/>
      <w:sz w:val="18"/>
    </w:rPr>
  </w:style>
  <w:style w:type="character" w:customStyle="1" w:styleId="Heading2Char">
    <w:name w:val="Heading 2 Char"/>
    <w:basedOn w:val="DefaultParagraphFont"/>
    <w:link w:val="Heading2"/>
    <w:uiPriority w:val="9"/>
    <w:rsid w:val="008B33B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B33B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B33B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B33B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B33B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B33B1"/>
    <w:rPr>
      <w:i/>
      <w:iCs/>
    </w:rPr>
  </w:style>
  <w:style w:type="character" w:customStyle="1" w:styleId="Heading8Char">
    <w:name w:val="Heading 8 Char"/>
    <w:basedOn w:val="DefaultParagraphFont"/>
    <w:link w:val="Heading8"/>
    <w:uiPriority w:val="9"/>
    <w:semiHidden/>
    <w:rsid w:val="008B33B1"/>
    <w:rPr>
      <w:b/>
      <w:bCs/>
    </w:rPr>
  </w:style>
  <w:style w:type="character" w:customStyle="1" w:styleId="Heading9Char">
    <w:name w:val="Heading 9 Char"/>
    <w:basedOn w:val="DefaultParagraphFont"/>
    <w:link w:val="Heading9"/>
    <w:uiPriority w:val="9"/>
    <w:semiHidden/>
    <w:rsid w:val="008B33B1"/>
    <w:rPr>
      <w:i/>
      <w:iCs/>
    </w:rPr>
  </w:style>
  <w:style w:type="paragraph" w:styleId="Subtitle">
    <w:name w:val="Subtitle"/>
    <w:basedOn w:val="Normal"/>
    <w:next w:val="Normal"/>
    <w:link w:val="SubtitleChar"/>
    <w:uiPriority w:val="11"/>
    <w:qFormat/>
    <w:rsid w:val="008B33B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B33B1"/>
    <w:rPr>
      <w:rFonts w:asciiTheme="majorHAnsi" w:eastAsiaTheme="majorEastAsia" w:hAnsiTheme="majorHAnsi" w:cstheme="majorBidi"/>
      <w:sz w:val="24"/>
      <w:szCs w:val="24"/>
    </w:rPr>
  </w:style>
  <w:style w:type="character" w:styleId="Strong">
    <w:name w:val="Strong"/>
    <w:basedOn w:val="DefaultParagraphFont"/>
    <w:uiPriority w:val="22"/>
    <w:qFormat/>
    <w:rsid w:val="008B33B1"/>
    <w:rPr>
      <w:b/>
      <w:bCs/>
      <w:color w:val="auto"/>
    </w:rPr>
  </w:style>
  <w:style w:type="character" w:styleId="Emphasis">
    <w:name w:val="Emphasis"/>
    <w:basedOn w:val="DefaultParagraphFont"/>
    <w:uiPriority w:val="20"/>
    <w:qFormat/>
    <w:rsid w:val="008B33B1"/>
    <w:rPr>
      <w:i/>
      <w:iCs/>
      <w:color w:val="auto"/>
    </w:rPr>
  </w:style>
  <w:style w:type="paragraph" w:styleId="NoSpacing">
    <w:name w:val="No Spacing"/>
    <w:uiPriority w:val="1"/>
    <w:qFormat/>
    <w:rsid w:val="008B33B1"/>
    <w:pPr>
      <w:spacing w:after="0" w:line="240" w:lineRule="auto"/>
    </w:pPr>
  </w:style>
  <w:style w:type="paragraph" w:styleId="Quote">
    <w:name w:val="Quote"/>
    <w:basedOn w:val="Normal"/>
    <w:next w:val="Normal"/>
    <w:link w:val="QuoteChar"/>
    <w:uiPriority w:val="29"/>
    <w:qFormat/>
    <w:rsid w:val="008B33B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B33B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B33B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B33B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B33B1"/>
    <w:rPr>
      <w:i/>
      <w:iCs/>
      <w:color w:val="auto"/>
    </w:rPr>
  </w:style>
  <w:style w:type="character" w:styleId="IntenseEmphasis">
    <w:name w:val="Intense Emphasis"/>
    <w:basedOn w:val="DefaultParagraphFont"/>
    <w:uiPriority w:val="21"/>
    <w:qFormat/>
    <w:rsid w:val="008B33B1"/>
    <w:rPr>
      <w:b/>
      <w:bCs/>
      <w:i/>
      <w:iCs/>
      <w:color w:val="auto"/>
    </w:rPr>
  </w:style>
  <w:style w:type="character" w:styleId="SubtleReference">
    <w:name w:val="Subtle Reference"/>
    <w:basedOn w:val="DefaultParagraphFont"/>
    <w:uiPriority w:val="31"/>
    <w:qFormat/>
    <w:rsid w:val="008B33B1"/>
    <w:rPr>
      <w:smallCaps/>
      <w:color w:val="auto"/>
      <w:u w:val="single" w:color="7F7F7F" w:themeColor="text1" w:themeTint="80"/>
    </w:rPr>
  </w:style>
  <w:style w:type="character" w:styleId="IntenseReference">
    <w:name w:val="Intense Reference"/>
    <w:basedOn w:val="DefaultParagraphFont"/>
    <w:uiPriority w:val="32"/>
    <w:qFormat/>
    <w:rsid w:val="008B33B1"/>
    <w:rPr>
      <w:b/>
      <w:bCs/>
      <w:smallCaps/>
      <w:color w:val="auto"/>
      <w:u w:val="single"/>
    </w:rPr>
  </w:style>
  <w:style w:type="character" w:styleId="BookTitle">
    <w:name w:val="Book Title"/>
    <w:basedOn w:val="DefaultParagraphFont"/>
    <w:uiPriority w:val="33"/>
    <w:qFormat/>
    <w:rsid w:val="008B33B1"/>
    <w:rPr>
      <w:b/>
      <w:bCs/>
      <w:smallCaps/>
      <w:color w:val="auto"/>
    </w:rPr>
  </w:style>
  <w:style w:type="paragraph" w:styleId="TOCHeading">
    <w:name w:val="TOC Heading"/>
    <w:basedOn w:val="Heading1"/>
    <w:next w:val="Normal"/>
    <w:uiPriority w:val="39"/>
    <w:semiHidden/>
    <w:unhideWhenUsed/>
    <w:qFormat/>
    <w:rsid w:val="008B33B1"/>
    <w:pPr>
      <w:outlineLvl w:val="9"/>
    </w:pPr>
  </w:style>
  <w:style w:type="paragraph" w:styleId="BalloonText">
    <w:name w:val="Balloon Text"/>
    <w:basedOn w:val="Normal"/>
    <w:link w:val="BalloonTextChar"/>
    <w:uiPriority w:val="99"/>
    <w:semiHidden/>
    <w:unhideWhenUsed/>
    <w:rsid w:val="00083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34"/>
    <w:rPr>
      <w:rFonts w:ascii="Segoe UI" w:hAnsi="Segoe UI" w:cs="Segoe UI"/>
      <w:sz w:val="18"/>
      <w:szCs w:val="18"/>
    </w:rPr>
  </w:style>
  <w:style w:type="character" w:styleId="CommentReference">
    <w:name w:val="annotation reference"/>
    <w:basedOn w:val="DefaultParagraphFont"/>
    <w:uiPriority w:val="99"/>
    <w:semiHidden/>
    <w:unhideWhenUsed/>
    <w:rsid w:val="00ED7AA9"/>
    <w:rPr>
      <w:sz w:val="16"/>
      <w:szCs w:val="16"/>
    </w:rPr>
  </w:style>
  <w:style w:type="paragraph" w:styleId="CommentText">
    <w:name w:val="annotation text"/>
    <w:basedOn w:val="Normal"/>
    <w:link w:val="CommentTextChar"/>
    <w:uiPriority w:val="99"/>
    <w:unhideWhenUsed/>
    <w:rsid w:val="00ED7AA9"/>
    <w:pPr>
      <w:spacing w:after="0" w:line="240" w:lineRule="auto"/>
      <w:jc w:val="left"/>
    </w:pPr>
    <w:rPr>
      <w:rFonts w:cs="Times New Roman"/>
      <w:sz w:val="20"/>
      <w:szCs w:val="20"/>
    </w:rPr>
  </w:style>
  <w:style w:type="character" w:customStyle="1" w:styleId="CommentTextChar">
    <w:name w:val="Comment Text Char"/>
    <w:basedOn w:val="DefaultParagraphFont"/>
    <w:link w:val="CommentText"/>
    <w:uiPriority w:val="99"/>
    <w:rsid w:val="00ED7AA9"/>
    <w:rPr>
      <w:rFonts w:cs="Times New Roman"/>
      <w:sz w:val="20"/>
      <w:szCs w:val="20"/>
    </w:rPr>
  </w:style>
  <w:style w:type="table" w:customStyle="1" w:styleId="GridTable1Light1">
    <w:name w:val="Grid Table 1 Light1"/>
    <w:basedOn w:val="TableNormal"/>
    <w:uiPriority w:val="46"/>
    <w:rsid w:val="00BA6118"/>
    <w:pPr>
      <w:spacing w:after="0" w:line="240" w:lineRule="auto"/>
      <w:jc w:val="left"/>
    </w:pPr>
    <w:rPr>
      <w:rFonts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751">
      <w:bodyDiv w:val="1"/>
      <w:marLeft w:val="0"/>
      <w:marRight w:val="0"/>
      <w:marTop w:val="0"/>
      <w:marBottom w:val="0"/>
      <w:divBdr>
        <w:top w:val="none" w:sz="0" w:space="0" w:color="auto"/>
        <w:left w:val="none" w:sz="0" w:space="0" w:color="auto"/>
        <w:bottom w:val="none" w:sz="0" w:space="0" w:color="auto"/>
        <w:right w:val="none" w:sz="0" w:space="0" w:color="auto"/>
      </w:divBdr>
    </w:div>
    <w:div w:id="204880005">
      <w:bodyDiv w:val="1"/>
      <w:marLeft w:val="0"/>
      <w:marRight w:val="0"/>
      <w:marTop w:val="0"/>
      <w:marBottom w:val="0"/>
      <w:divBdr>
        <w:top w:val="none" w:sz="0" w:space="0" w:color="auto"/>
        <w:left w:val="none" w:sz="0" w:space="0" w:color="auto"/>
        <w:bottom w:val="none" w:sz="0" w:space="0" w:color="auto"/>
        <w:right w:val="none" w:sz="0" w:space="0" w:color="auto"/>
      </w:divBdr>
    </w:div>
    <w:div w:id="348071445">
      <w:bodyDiv w:val="1"/>
      <w:marLeft w:val="0"/>
      <w:marRight w:val="0"/>
      <w:marTop w:val="0"/>
      <w:marBottom w:val="0"/>
      <w:divBdr>
        <w:top w:val="none" w:sz="0" w:space="0" w:color="auto"/>
        <w:left w:val="none" w:sz="0" w:space="0" w:color="auto"/>
        <w:bottom w:val="none" w:sz="0" w:space="0" w:color="auto"/>
        <w:right w:val="none" w:sz="0" w:space="0" w:color="auto"/>
      </w:divBdr>
    </w:div>
    <w:div w:id="574364050">
      <w:bodyDiv w:val="1"/>
      <w:marLeft w:val="0"/>
      <w:marRight w:val="0"/>
      <w:marTop w:val="0"/>
      <w:marBottom w:val="0"/>
      <w:divBdr>
        <w:top w:val="none" w:sz="0" w:space="0" w:color="auto"/>
        <w:left w:val="none" w:sz="0" w:space="0" w:color="auto"/>
        <w:bottom w:val="none" w:sz="0" w:space="0" w:color="auto"/>
        <w:right w:val="none" w:sz="0" w:space="0" w:color="auto"/>
      </w:divBdr>
    </w:div>
    <w:div w:id="699938036">
      <w:bodyDiv w:val="1"/>
      <w:marLeft w:val="0"/>
      <w:marRight w:val="0"/>
      <w:marTop w:val="0"/>
      <w:marBottom w:val="0"/>
      <w:divBdr>
        <w:top w:val="none" w:sz="0" w:space="0" w:color="auto"/>
        <w:left w:val="none" w:sz="0" w:space="0" w:color="auto"/>
        <w:bottom w:val="none" w:sz="0" w:space="0" w:color="auto"/>
        <w:right w:val="none" w:sz="0" w:space="0" w:color="auto"/>
      </w:divBdr>
    </w:div>
    <w:div w:id="936063050">
      <w:bodyDiv w:val="1"/>
      <w:marLeft w:val="0"/>
      <w:marRight w:val="0"/>
      <w:marTop w:val="0"/>
      <w:marBottom w:val="0"/>
      <w:divBdr>
        <w:top w:val="none" w:sz="0" w:space="0" w:color="auto"/>
        <w:left w:val="none" w:sz="0" w:space="0" w:color="auto"/>
        <w:bottom w:val="none" w:sz="0" w:space="0" w:color="auto"/>
        <w:right w:val="none" w:sz="0" w:space="0" w:color="auto"/>
      </w:divBdr>
    </w:div>
    <w:div w:id="1110011541">
      <w:bodyDiv w:val="1"/>
      <w:marLeft w:val="0"/>
      <w:marRight w:val="0"/>
      <w:marTop w:val="0"/>
      <w:marBottom w:val="0"/>
      <w:divBdr>
        <w:top w:val="none" w:sz="0" w:space="0" w:color="auto"/>
        <w:left w:val="none" w:sz="0" w:space="0" w:color="auto"/>
        <w:bottom w:val="none" w:sz="0" w:space="0" w:color="auto"/>
        <w:right w:val="none" w:sz="0" w:space="0" w:color="auto"/>
      </w:divBdr>
    </w:div>
    <w:div w:id="1454791430">
      <w:bodyDiv w:val="1"/>
      <w:marLeft w:val="0"/>
      <w:marRight w:val="0"/>
      <w:marTop w:val="0"/>
      <w:marBottom w:val="0"/>
      <w:divBdr>
        <w:top w:val="none" w:sz="0" w:space="0" w:color="auto"/>
        <w:left w:val="none" w:sz="0" w:space="0" w:color="auto"/>
        <w:bottom w:val="none" w:sz="0" w:space="0" w:color="auto"/>
        <w:right w:val="none" w:sz="0" w:space="0" w:color="auto"/>
      </w:divBdr>
    </w:div>
    <w:div w:id="1492871413">
      <w:bodyDiv w:val="1"/>
      <w:marLeft w:val="0"/>
      <w:marRight w:val="0"/>
      <w:marTop w:val="0"/>
      <w:marBottom w:val="0"/>
      <w:divBdr>
        <w:top w:val="none" w:sz="0" w:space="0" w:color="auto"/>
        <w:left w:val="none" w:sz="0" w:space="0" w:color="auto"/>
        <w:bottom w:val="none" w:sz="0" w:space="0" w:color="auto"/>
        <w:right w:val="none" w:sz="0" w:space="0" w:color="auto"/>
      </w:divBdr>
    </w:div>
    <w:div w:id="1620068497">
      <w:bodyDiv w:val="1"/>
      <w:marLeft w:val="0"/>
      <w:marRight w:val="0"/>
      <w:marTop w:val="0"/>
      <w:marBottom w:val="0"/>
      <w:divBdr>
        <w:top w:val="none" w:sz="0" w:space="0" w:color="auto"/>
        <w:left w:val="none" w:sz="0" w:space="0" w:color="auto"/>
        <w:bottom w:val="none" w:sz="0" w:space="0" w:color="auto"/>
        <w:right w:val="none" w:sz="0" w:space="0" w:color="auto"/>
      </w:divBdr>
    </w:div>
    <w:div w:id="1774589247">
      <w:bodyDiv w:val="1"/>
      <w:marLeft w:val="0"/>
      <w:marRight w:val="0"/>
      <w:marTop w:val="0"/>
      <w:marBottom w:val="0"/>
      <w:divBdr>
        <w:top w:val="none" w:sz="0" w:space="0" w:color="auto"/>
        <w:left w:val="none" w:sz="0" w:space="0" w:color="auto"/>
        <w:bottom w:val="none" w:sz="0" w:space="0" w:color="auto"/>
        <w:right w:val="none" w:sz="0" w:space="0" w:color="auto"/>
      </w:divBdr>
    </w:div>
    <w:div w:id="1823738110">
      <w:bodyDiv w:val="1"/>
      <w:marLeft w:val="0"/>
      <w:marRight w:val="0"/>
      <w:marTop w:val="0"/>
      <w:marBottom w:val="0"/>
      <w:divBdr>
        <w:top w:val="none" w:sz="0" w:space="0" w:color="auto"/>
        <w:left w:val="none" w:sz="0" w:space="0" w:color="auto"/>
        <w:bottom w:val="none" w:sz="0" w:space="0" w:color="auto"/>
        <w:right w:val="none" w:sz="0" w:space="0" w:color="auto"/>
      </w:divBdr>
    </w:div>
    <w:div w:id="1990016112">
      <w:bodyDiv w:val="1"/>
      <w:marLeft w:val="0"/>
      <w:marRight w:val="0"/>
      <w:marTop w:val="0"/>
      <w:marBottom w:val="0"/>
      <w:divBdr>
        <w:top w:val="none" w:sz="0" w:space="0" w:color="auto"/>
        <w:left w:val="none" w:sz="0" w:space="0" w:color="auto"/>
        <w:bottom w:val="none" w:sz="0" w:space="0" w:color="auto"/>
        <w:right w:val="none" w:sz="0" w:space="0" w:color="auto"/>
      </w:divBdr>
    </w:div>
    <w:div w:id="2010252523">
      <w:bodyDiv w:val="1"/>
      <w:marLeft w:val="0"/>
      <w:marRight w:val="0"/>
      <w:marTop w:val="0"/>
      <w:marBottom w:val="0"/>
      <w:divBdr>
        <w:top w:val="none" w:sz="0" w:space="0" w:color="auto"/>
        <w:left w:val="none" w:sz="0" w:space="0" w:color="auto"/>
        <w:bottom w:val="none" w:sz="0" w:space="0" w:color="auto"/>
        <w:right w:val="none" w:sz="0" w:space="0" w:color="auto"/>
      </w:divBdr>
    </w:div>
    <w:div w:id="20301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bra@uw.edu" TargetMode="External"/><Relationship Id="rId13" Type="http://schemas.openxmlformats.org/officeDocument/2006/relationships/hyperlink" Target="https://developers.google.com/maps/documentation/geocoding/int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dn.microsoft.com/en-us/library/ff701715.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anser@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vando026@umn.edu" TargetMode="External"/><Relationship Id="rId4" Type="http://schemas.openxmlformats.org/officeDocument/2006/relationships/settings" Target="settings.xml"/><Relationship Id="rId9" Type="http://schemas.openxmlformats.org/officeDocument/2006/relationships/hyperlink" Target="mailto:tbaernig@hsph.harvard.ed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C35D021-6D41-47C3-AA1C-CEB776A1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7517</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dobra</dc:creator>
  <cp:keywords/>
  <dc:description/>
  <cp:lastModifiedBy>adrian dobra</cp:lastModifiedBy>
  <cp:revision>7</cp:revision>
  <cp:lastPrinted>2015-10-20T15:44:00Z</cp:lastPrinted>
  <dcterms:created xsi:type="dcterms:W3CDTF">2016-09-14T21:54:00Z</dcterms:created>
  <dcterms:modified xsi:type="dcterms:W3CDTF">2016-09-20T18:22:00Z</dcterms:modified>
</cp:coreProperties>
</file>