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35C" w:rsidRDefault="005F535C" w:rsidP="005F535C">
      <w:pPr>
        <w:spacing w:line="240" w:lineRule="auto"/>
        <w:rPr>
          <w:rFonts w:ascii="Arial" w:hAnsi="Arial" w:cs="Arial"/>
          <w:b/>
          <w:sz w:val="24"/>
          <w:szCs w:val="24"/>
        </w:rPr>
      </w:pPr>
      <w:r>
        <w:rPr>
          <w:rFonts w:ascii="Arial" w:hAnsi="Arial" w:cs="Arial"/>
          <w:b/>
          <w:sz w:val="24"/>
          <w:szCs w:val="24"/>
        </w:rPr>
        <w:t xml:space="preserve">Combinations of interventions to achieve a national HIV incidence reduction goal: Insights from the agent-based Progression and Transmission of HIV/AIDS (PATH 2.0) model </w:t>
      </w:r>
    </w:p>
    <w:p w:rsidR="005F535C" w:rsidRDefault="005F535C" w:rsidP="005F535C">
      <w:pPr>
        <w:spacing w:line="480" w:lineRule="auto"/>
        <w:rPr>
          <w:sz w:val="24"/>
        </w:rPr>
      </w:pPr>
      <w:r>
        <w:rPr>
          <w:sz w:val="24"/>
        </w:rPr>
        <w:t xml:space="preserve">Chaitra Gopalappa, PhD, Stephanie L. Sansom, PhD, Paul G. Farnham, PhD, </w:t>
      </w:r>
      <w:r w:rsidRPr="0047644E">
        <w:rPr>
          <w:sz w:val="24"/>
        </w:rPr>
        <w:t>Yao-Hsuan Chen, Ph</w:t>
      </w:r>
      <w:r>
        <w:rPr>
          <w:sz w:val="24"/>
        </w:rPr>
        <w:t>D</w:t>
      </w:r>
    </w:p>
    <w:p w:rsidR="005F535C" w:rsidRPr="00D658A6" w:rsidRDefault="005F535C" w:rsidP="005F535C">
      <w:pPr>
        <w:spacing w:line="480" w:lineRule="auto"/>
        <w:rPr>
          <w:rFonts w:ascii="Times New Roman" w:hAnsi="Times New Roman"/>
          <w:b/>
          <w:sz w:val="24"/>
          <w:szCs w:val="24"/>
        </w:rPr>
      </w:pPr>
      <w:r>
        <w:rPr>
          <w:b/>
        </w:rPr>
        <w:t xml:space="preserve">APPENDIX: </w:t>
      </w:r>
      <w:r>
        <w:rPr>
          <w:rFonts w:ascii="Times New Roman" w:hAnsi="Times New Roman"/>
          <w:b/>
          <w:sz w:val="24"/>
          <w:szCs w:val="24"/>
        </w:rPr>
        <w:t xml:space="preserve">Description of the </w:t>
      </w:r>
      <w:r w:rsidRPr="00D658A6">
        <w:rPr>
          <w:rFonts w:ascii="Times New Roman" w:hAnsi="Times New Roman"/>
          <w:b/>
          <w:sz w:val="24"/>
          <w:szCs w:val="24"/>
        </w:rPr>
        <w:t>Progression and Transmission of HIV/AIDS (PATH 2.0)</w:t>
      </w:r>
      <w:r>
        <w:rPr>
          <w:rFonts w:ascii="Times New Roman" w:hAnsi="Times New Roman"/>
          <w:b/>
          <w:sz w:val="24"/>
          <w:szCs w:val="24"/>
        </w:rPr>
        <w:t xml:space="preserve"> model- An </w:t>
      </w:r>
      <w:r w:rsidRPr="00D658A6">
        <w:rPr>
          <w:rFonts w:ascii="Times New Roman" w:hAnsi="Times New Roman"/>
          <w:b/>
          <w:sz w:val="24"/>
          <w:szCs w:val="24"/>
        </w:rPr>
        <w:t>Agent-based Model to Estimate HIV Transmission</w:t>
      </w:r>
      <w:r w:rsidR="00351F00">
        <w:rPr>
          <w:rFonts w:ascii="Times New Roman" w:hAnsi="Times New Roman"/>
          <w:b/>
          <w:sz w:val="24"/>
          <w:szCs w:val="24"/>
        </w:rPr>
        <w:t>s</w:t>
      </w:r>
      <w:bookmarkStart w:id="0" w:name="_GoBack"/>
      <w:bookmarkEnd w:id="0"/>
      <w:r w:rsidRPr="00D658A6">
        <w:rPr>
          <w:rFonts w:ascii="Times New Roman" w:hAnsi="Times New Roman"/>
          <w:b/>
          <w:sz w:val="24"/>
          <w:szCs w:val="24"/>
        </w:rPr>
        <w:t xml:space="preserve"> in the United States</w:t>
      </w:r>
    </w:p>
    <w:p w:rsidR="005F535C" w:rsidRDefault="005F535C" w:rsidP="005F535C">
      <w:pPr>
        <w:spacing w:line="480" w:lineRule="auto"/>
      </w:pPr>
      <w:r>
        <w:t>PATH 2.0, constructed in Netlogo software, is an agent-based model, which allows the analysis of individual-level disease progression and sexual transmissions for persons living with HIV in the United States. We only model</w:t>
      </w:r>
      <w:r w:rsidRPr="009D7BE8">
        <w:t xml:space="preserve"> transmissions through sexual contact for men who have sex with men (MSM) and heterosexuals, which accounted for 88% to 91% of infections diagn</w:t>
      </w:r>
      <w:r>
        <w:t xml:space="preserve">osed in 2010 </w:t>
      </w:r>
      <w:r w:rsidRPr="00B94A4A">
        <w:t xml:space="preserve">through 2014 </w:t>
      </w:r>
      <w:r w:rsidRPr="00B94A4A">
        <w:rPr>
          <w:rFonts w:cs="Arial"/>
        </w:rPr>
        <w:fldChar w:fldCharType="begin"/>
      </w:r>
      <w:r w:rsidRPr="00B94A4A">
        <w:rPr>
          <w:rFonts w:cs="Arial"/>
        </w:rPr>
        <w:instrText>ADDIN RW.CITE{{623 [NoInformation] [No Information]; 792 [NoInformation] [No Information]}}</w:instrText>
      </w:r>
      <w:r w:rsidRPr="00B94A4A">
        <w:rPr>
          <w:rFonts w:cs="Arial"/>
        </w:rPr>
        <w:fldChar w:fldCharType="separate"/>
      </w:r>
      <w:r w:rsidRPr="00B94A4A">
        <w:rPr>
          <w:rFonts w:cs="Arial"/>
        </w:rPr>
        <w:t>(1,2)</w:t>
      </w:r>
      <w:r w:rsidRPr="00B94A4A">
        <w:rPr>
          <w:rFonts w:cs="Arial"/>
        </w:rPr>
        <w:fldChar w:fldCharType="end"/>
      </w:r>
      <w:r w:rsidRPr="00B94A4A">
        <w:rPr>
          <w:rFonts w:cs="Arial"/>
        </w:rPr>
        <w:t xml:space="preserve">; </w:t>
      </w:r>
      <w:r w:rsidRPr="00B94A4A">
        <w:t>in</w:t>
      </w:r>
      <w:r>
        <w:t xml:space="preserve"> particular, our model did not include sexual or other transmissions to or from persons who inject drugs.  Because the model has been presented elsewhere, </w:t>
      </w:r>
      <w:r>
        <w:fldChar w:fldCharType="begin"/>
      </w:r>
      <w:r>
        <w:instrText>ADDIN RW.CITE{{803 Gopalappa,C. 2017}}</w:instrText>
      </w:r>
      <w:r>
        <w:fldChar w:fldCharType="separate"/>
      </w:r>
      <w:r w:rsidRPr="00A04044">
        <w:t>(3)</w:t>
      </w:r>
      <w:r>
        <w:fldChar w:fldCharType="end"/>
      </w:r>
      <w:r>
        <w:t xml:space="preserve"> here we only provide an overview of the model for simulating the scenarios described in the main manuscript. Year zero of the simulation contained 10,000 persons weighted to represent all persons living with HIV in the US in year 2006 by sex and age, sexual orientation/transmission risk group (heterosexual female, heterosexual male, and men who have sex with men (MSM)), stage of disease (acute versus non-acute), and diagnostic, care, and treatment status (whether the person had diagnosed infection, was in care, was taking an antiretroviral therapy (ART) regimen, and had suppressed viral load)  according to surveillance and other published data (Table S1-S2). </w:t>
      </w:r>
      <w:r>
        <w:fldChar w:fldCharType="begin"/>
      </w:r>
      <w:r>
        <w:instrText>ADDIN RW.CITE{{349 Campsmith,M.L. 2010; 352 Prejean,J. 2011; 46 Gardner,E.M. 2011}}</w:instrText>
      </w:r>
      <w:r>
        <w:fldChar w:fldCharType="separate"/>
      </w:r>
      <w:r w:rsidRPr="00A04044">
        <w:t>(4-6)</w:t>
      </w:r>
      <w:r>
        <w:fldChar w:fldCharType="end"/>
      </w:r>
      <w:r>
        <w:t xml:space="preserve"> Each month the simulation updated each person’s disease progression and diagnostic, care, and treatment status (disease progression component), and generated transmissions (transmission component), thus projecting the course of the HIV epidemic for years 2007 to 2020. The time unit in the simulation was monthly, except in the acute phase, where it was weekly to accommodate weekly changes in viral load,</w:t>
      </w:r>
      <w:r w:rsidRPr="008B678C">
        <w:t xml:space="preserve"> which are substantially </w:t>
      </w:r>
      <w:r>
        <w:t xml:space="preserve">larger </w:t>
      </w:r>
      <w:r w:rsidRPr="008B678C">
        <w:t>than those in the non-acute phase</w:t>
      </w:r>
      <w:r>
        <w:t xml:space="preserve">. </w:t>
      </w:r>
    </w:p>
    <w:p w:rsidR="005F535C" w:rsidRPr="00AC1388" w:rsidRDefault="005F535C" w:rsidP="005F535C">
      <w:pPr>
        <w:spacing w:line="480" w:lineRule="auto"/>
        <w:rPr>
          <w:b/>
        </w:rPr>
      </w:pPr>
      <w:r w:rsidRPr="00AC1388">
        <w:rPr>
          <w:b/>
        </w:rPr>
        <w:lastRenderedPageBreak/>
        <w:t>Disease Progression Component</w:t>
      </w:r>
      <w:r>
        <w:rPr>
          <w:b/>
        </w:rPr>
        <w:t>s</w:t>
      </w:r>
    </w:p>
    <w:p w:rsidR="005F535C" w:rsidRPr="000057D4" w:rsidRDefault="005F535C" w:rsidP="005F535C">
      <w:pPr>
        <w:spacing w:line="480" w:lineRule="auto"/>
        <w:rPr>
          <w:u w:val="single"/>
        </w:rPr>
      </w:pPr>
      <w:r>
        <w:rPr>
          <w:u w:val="single"/>
        </w:rPr>
        <w:t>Stages of infection</w:t>
      </w:r>
    </w:p>
    <w:p w:rsidR="005F535C" w:rsidRDefault="005F535C" w:rsidP="005F535C">
      <w:pPr>
        <w:spacing w:line="480" w:lineRule="auto"/>
      </w:pPr>
      <w:r>
        <w:t>In the disease progression model, each HIV-infected person transitioned through the following disease stages:  acute infection, asymptomatic infection, symptomatic infection/AIDS (acquired immune deficiency syndrome), and death. The acute phase of infection was characterized by high HIV viral loads, ranging between 4.4 and 6.2 log</w:t>
      </w:r>
      <w:r>
        <w:rPr>
          <w:vertAlign w:val="subscript"/>
        </w:rPr>
        <w:t>10</w:t>
      </w:r>
      <w:r>
        <w:t xml:space="preserve"> copies/ml, </w:t>
      </w:r>
      <w:r>
        <w:fldChar w:fldCharType="begin"/>
      </w:r>
      <w:r>
        <w:instrText>ADDIN RW.CITE{{179 Schacker,TimothyW. 1998; 178 Schacker,TimothyW. 1996}}</w:instrText>
      </w:r>
      <w:r>
        <w:fldChar w:fldCharType="separate"/>
      </w:r>
      <w:r w:rsidRPr="00A04044">
        <w:t>(7,8)</w:t>
      </w:r>
      <w:r>
        <w:fldChar w:fldCharType="end"/>
      </w:r>
      <w:r>
        <w:t xml:space="preserve"> for the first three months of infection (Table S3). We assumed the CD4 count at the time of new infection was between 750 and 900 cells/µL.</w:t>
      </w:r>
      <w:r>
        <w:fldChar w:fldCharType="begin"/>
      </w:r>
      <w:r>
        <w:instrText>ADDIN RW.CITE{{180 Turner,BarbaraJ. 1994}}</w:instrText>
      </w:r>
      <w:r>
        <w:fldChar w:fldCharType="separate"/>
      </w:r>
      <w:r w:rsidRPr="00A04044">
        <w:t>(9)</w:t>
      </w:r>
      <w:r>
        <w:fldChar w:fldCharType="end"/>
      </w:r>
      <w:r>
        <w:t xml:space="preserve"> During the asymptomatic infection phase we assumed there were no AIDS-related symptoms, but the stage was marked by a steady viral load, corresponding to an HIV viral load set point between 4 and 5 log</w:t>
      </w:r>
      <w:r>
        <w:rPr>
          <w:vertAlign w:val="subscript"/>
        </w:rPr>
        <w:t>10</w:t>
      </w:r>
      <w:r>
        <w:t xml:space="preserve"> copies/ml </w:t>
      </w:r>
      <w:r>
        <w:fldChar w:fldCharType="begin"/>
      </w:r>
      <w:r>
        <w:instrText>ADDIN RW.CITE{{176 Herbeck,JoshuaT. 2008}}</w:instrText>
      </w:r>
      <w:r>
        <w:fldChar w:fldCharType="separate"/>
      </w:r>
      <w:r w:rsidRPr="00A04044">
        <w:t>(10)</w:t>
      </w:r>
      <w:r>
        <w:fldChar w:fldCharType="end"/>
      </w:r>
      <w:r>
        <w:t>, and declining CD4 count in the absence of treatment. We used estimates of the rate of CD4 count decline for different ranges of HIV viral load reported by Rodriguez et al. (2006).</w:t>
      </w:r>
      <w:r>
        <w:fldChar w:fldCharType="begin"/>
      </w:r>
      <w:r>
        <w:instrText>ADDIN RW.CITE{{461 Rodriguez,B. 2006}}</w:instrText>
      </w:r>
      <w:r>
        <w:fldChar w:fldCharType="separate"/>
      </w:r>
      <w:r w:rsidRPr="00A04044">
        <w:t>(11)</w:t>
      </w:r>
      <w:r>
        <w:fldChar w:fldCharType="end"/>
      </w:r>
      <w:r>
        <w:t xml:space="preserve"> Symptomatic HIV infection or AIDS was characterized by the occurrence of an opportunistic infection (OI), determined by different probabilities, or a drop in CD4 count to below 200 cells/µL. We assumed the probability of having an OI increased with a decline in CD4 count, and we modeled six infections.</w:t>
      </w:r>
      <w:r>
        <w:fldChar w:fldCharType="begin"/>
      </w:r>
      <w:r>
        <w:instrText>ADDIN RW.CITE{{462 Paltiel,A.David 2005; 169 Weinstein,M.C. 2001}}</w:instrText>
      </w:r>
      <w:r>
        <w:fldChar w:fldCharType="separate"/>
      </w:r>
      <w:r w:rsidRPr="00A04044">
        <w:t>(12,13)</w:t>
      </w:r>
      <w:r>
        <w:fldChar w:fldCharType="end"/>
      </w:r>
      <w:r>
        <w:t xml:space="preserve"> </w:t>
      </w:r>
    </w:p>
    <w:p w:rsidR="005F535C" w:rsidRDefault="005F535C" w:rsidP="005F535C">
      <w:pPr>
        <w:spacing w:line="480" w:lineRule="auto"/>
      </w:pPr>
      <w:r w:rsidRPr="000057D4">
        <w:rPr>
          <w:u w:val="single"/>
        </w:rPr>
        <w:t>Mortalit</w:t>
      </w:r>
      <w:r>
        <w:rPr>
          <w:u w:val="single"/>
        </w:rPr>
        <w:t>y</w:t>
      </w:r>
    </w:p>
    <w:p w:rsidR="005F535C" w:rsidRDefault="005F535C" w:rsidP="005F535C">
      <w:pPr>
        <w:spacing w:line="480" w:lineRule="auto"/>
      </w:pPr>
      <w:r>
        <w:t xml:space="preserve">We assumed HIV-infected persons in the model could die from causes either related to HIV/AIDS or other factors. For persons not yet on treatment, we used quarterly probabilities of death </w:t>
      </w:r>
      <w:r>
        <w:fldChar w:fldCharType="begin"/>
      </w:r>
      <w:r>
        <w:instrText>ADDIN RW.CITE{{185 TheUnitedKingdomCollaborativeHIVCohort(CHIC)Study 2007}}</w:instrText>
      </w:r>
      <w:r>
        <w:fldChar w:fldCharType="separate"/>
      </w:r>
      <w:r w:rsidRPr="00A04044">
        <w:t>(14)</w:t>
      </w:r>
      <w:r>
        <w:fldChar w:fldCharType="end"/>
      </w:r>
      <w:r>
        <w:t xml:space="preserve"> that increased as a person’s CD4 count declined. The maximum number of years of life remaining for a person infected with HIV in the PATH model was limited by life expectancy at the age of HIV infection based on the general population as reported in US life tables.</w:t>
      </w:r>
      <w:r>
        <w:fldChar w:fldCharType="begin"/>
      </w:r>
      <w:r>
        <w:instrText>ADDIN RW.CITE{{187 Arias,Elizabeth 2007}}</w:instrText>
      </w:r>
      <w:r>
        <w:fldChar w:fldCharType="separate"/>
      </w:r>
      <w:r w:rsidRPr="00A04044">
        <w:t>(15)</w:t>
      </w:r>
      <w:r>
        <w:fldChar w:fldCharType="end"/>
      </w:r>
      <w:r>
        <w:t xml:space="preserve"> </w:t>
      </w:r>
    </w:p>
    <w:p w:rsidR="005F535C" w:rsidRDefault="005F535C" w:rsidP="005F535C">
      <w:pPr>
        <w:spacing w:line="480" w:lineRule="auto"/>
        <w:rPr>
          <w:u w:val="single"/>
        </w:rPr>
      </w:pPr>
    </w:p>
    <w:p w:rsidR="005F535C" w:rsidRPr="000057D4" w:rsidRDefault="005F535C" w:rsidP="005F535C">
      <w:pPr>
        <w:spacing w:line="480" w:lineRule="auto"/>
        <w:rPr>
          <w:u w:val="single"/>
        </w:rPr>
      </w:pPr>
      <w:r w:rsidRPr="000057D4">
        <w:rPr>
          <w:u w:val="single"/>
        </w:rPr>
        <w:lastRenderedPageBreak/>
        <w:t>Diagnosis, care, and treatment</w:t>
      </w:r>
    </w:p>
    <w:p w:rsidR="005F535C" w:rsidRDefault="005F535C" w:rsidP="005F535C">
      <w:pPr>
        <w:spacing w:line="480" w:lineRule="auto"/>
      </w:pPr>
      <w:r>
        <w:t>We assumed persons could be diagnosed, linked to care, and started on treatment at any time after the acute phase of infection with the exact time determined by the setting being analyzed. We assumed the natural progression of HIV described above was altered upon initiation of treatment with ART, which is associated with suppressed viral load, higher CD4 cell counts, improved life expectancy, and improved quality of life.</w:t>
      </w:r>
      <w:r>
        <w:fldChar w:fldCharType="begin"/>
      </w:r>
      <w:r>
        <w:instrText>ADDIN RW.CITE{{193 AntiretroviralTherapyCohortCollaboration 2007; 194 AntiretroviralTherapyCohortCollaboration 2007}}</w:instrText>
      </w:r>
      <w:r>
        <w:fldChar w:fldCharType="separate"/>
      </w:r>
      <w:r w:rsidRPr="00A04044">
        <w:t>(16,17)</w:t>
      </w:r>
      <w:r>
        <w:fldChar w:fldCharType="end"/>
      </w:r>
      <w:r>
        <w:t xml:space="preserve"> Once suppressed, HIV viral load was assumed to be maintained between 1.0 and 2.7 log</w:t>
      </w:r>
      <w:r>
        <w:rPr>
          <w:vertAlign w:val="subscript"/>
        </w:rPr>
        <w:t>10</w:t>
      </w:r>
      <w:r>
        <w:t xml:space="preserve"> copies/ml as long as the regimen was effective.</w:t>
      </w:r>
      <w:r>
        <w:fldChar w:fldCharType="begin"/>
      </w:r>
      <w:r>
        <w:instrText>ADDIN RW.CITE{{200 Raboud,JanetM. 1998}}</w:instrText>
      </w:r>
      <w:r>
        <w:fldChar w:fldCharType="separate"/>
      </w:r>
      <w:r w:rsidRPr="00A04044">
        <w:t>(18)</w:t>
      </w:r>
      <w:r>
        <w:fldChar w:fldCharType="end"/>
      </w:r>
      <w:r>
        <w:t xml:space="preserve"> When a particular treatment regimen ceased to be effective, we assumed that the HIV viral load rebounded to between 3.1 and 4.5 log</w:t>
      </w:r>
      <w:r>
        <w:rPr>
          <w:vertAlign w:val="subscript"/>
        </w:rPr>
        <w:t>10</w:t>
      </w:r>
      <w:r>
        <w:t xml:space="preserve"> copies/ml.</w:t>
      </w:r>
      <w:r>
        <w:fldChar w:fldCharType="begin"/>
      </w:r>
      <w:r>
        <w:instrText>ADDIN RW.CITE{{201 TheUnitedKingdomCollaborativeHIVCohort(CHIC)Study 2008}}</w:instrText>
      </w:r>
      <w:r>
        <w:fldChar w:fldCharType="separate"/>
      </w:r>
      <w:r w:rsidRPr="00A04044">
        <w:t>(19)</w:t>
      </w:r>
      <w:r>
        <w:fldChar w:fldCharType="end"/>
      </w:r>
      <w:r>
        <w:t xml:space="preserve"> In accordance with expert opinion and recent clinical trials </w:t>
      </w:r>
      <w:r>
        <w:fldChar w:fldCharType="begin"/>
      </w:r>
      <w:r>
        <w:instrText>ADDIN RW.CITE{{5 Lennox,J.L. 2010; 7 Lennox,J.L. 2009; 13 Molina,J.M. 2010; 21 Molina,J.M. 2008; 36 Mills,A.M. 2009}}</w:instrText>
      </w:r>
      <w:r>
        <w:fldChar w:fldCharType="separate"/>
      </w:r>
      <w:r w:rsidRPr="00A04044">
        <w:t>(20-24)</w:t>
      </w:r>
      <w:r>
        <w:fldChar w:fldCharType="end"/>
      </w:r>
      <w:r>
        <w:t xml:space="preserve">, we assumed the probability of initial viral load suppression when taking an ART regimen depended on the CD4 count at the start of treatment. If initial suppression was obtained, the person </w:t>
      </w:r>
      <w:r w:rsidRPr="00021981">
        <w:t>continue</w:t>
      </w:r>
      <w:r>
        <w:t>d</w:t>
      </w:r>
      <w:r w:rsidRPr="00021981">
        <w:t xml:space="preserve"> </w:t>
      </w:r>
      <w:r>
        <w:t>with the</w:t>
      </w:r>
      <w:r w:rsidRPr="00021981">
        <w:t xml:space="preserve"> regimen </w:t>
      </w:r>
      <w:r>
        <w:t xml:space="preserve">for a duration of time until viral rebound occurred, after which the person started on the next line regimen. The duration of time on each regimen was determined by a random number drawn from a geometric distribution. The mean (or rate) of the geometric distribution varied by CD4 count at the start of ART. The rates were derived by calibrating against expected life-expectancies from the </w:t>
      </w:r>
      <w:r w:rsidRPr="007672D3">
        <w:t xml:space="preserve">Antiretroviral Therapy Cohort Collaboration </w:t>
      </w:r>
      <w:r>
        <w:t xml:space="preserve">population </w:t>
      </w:r>
      <w:r>
        <w:fldChar w:fldCharType="begin"/>
      </w:r>
      <w:r>
        <w:instrText>ADDIN RW.CITE{{52 Hogg,R. 2008; 153 Sterne,J.A. 2009}}</w:instrText>
      </w:r>
      <w:r>
        <w:fldChar w:fldCharType="separate"/>
      </w:r>
      <w:r w:rsidRPr="00A04044">
        <w:t>(25,26)</w:t>
      </w:r>
      <w:r>
        <w:fldChar w:fldCharType="end"/>
      </w:r>
      <w:r>
        <w:t xml:space="preserve">.  </w:t>
      </w:r>
      <w:r w:rsidRPr="00021981">
        <w:t xml:space="preserve">If there </w:t>
      </w:r>
      <w:r>
        <w:t>was</w:t>
      </w:r>
      <w:r w:rsidRPr="00021981">
        <w:t xml:space="preserve"> no initial suppression, the person</w:t>
      </w:r>
      <w:r>
        <w:t xml:space="preserve"> moved to the next line regimen</w:t>
      </w:r>
      <w:r w:rsidRPr="00021981">
        <w:t>. We consider</w:t>
      </w:r>
      <w:r>
        <w:t>ed</w:t>
      </w:r>
      <w:r w:rsidRPr="00021981">
        <w:t xml:space="preserve"> three lines of </w:t>
      </w:r>
      <w:r>
        <w:t>suppressive</w:t>
      </w:r>
      <w:r w:rsidRPr="00021981">
        <w:t xml:space="preserve"> regimen</w:t>
      </w:r>
      <w:r>
        <w:t>s,</w:t>
      </w:r>
      <w:r w:rsidRPr="00021981">
        <w:t xml:space="preserve"> </w:t>
      </w:r>
      <w:r>
        <w:t xml:space="preserve">which were </w:t>
      </w:r>
      <w:r w:rsidRPr="00021981">
        <w:t xml:space="preserve">based on </w:t>
      </w:r>
      <w:r>
        <w:t xml:space="preserve">the Department of Health and Human Services (DHHS) </w:t>
      </w:r>
      <w:r w:rsidRPr="00021981">
        <w:t xml:space="preserve">guidelines </w:t>
      </w:r>
      <w:r>
        <w:fldChar w:fldCharType="begin"/>
      </w:r>
      <w:r>
        <w:instrText>ADDIN RW.CITE{{477 [NoInformation] [No Information]}}</w:instrText>
      </w:r>
      <w:r>
        <w:fldChar w:fldCharType="separate"/>
      </w:r>
      <w:r w:rsidRPr="00A04044">
        <w:t>(27)</w:t>
      </w:r>
      <w:r>
        <w:fldChar w:fldCharType="end"/>
      </w:r>
      <w:r>
        <w:t xml:space="preserve"> </w:t>
      </w:r>
      <w:r w:rsidRPr="00021981">
        <w:t>and expert opinion</w:t>
      </w:r>
      <w:r>
        <w:t>, followed by salvage therapy. The rate of treatment change for the 2</w:t>
      </w:r>
      <w:r w:rsidRPr="00EE0BF1">
        <w:rPr>
          <w:vertAlign w:val="superscript"/>
        </w:rPr>
        <w:t>nd</w:t>
      </w:r>
      <w:r>
        <w:t xml:space="preserve"> and 3</w:t>
      </w:r>
      <w:r w:rsidRPr="00EE0BF1">
        <w:rPr>
          <w:vertAlign w:val="superscript"/>
        </w:rPr>
        <w:t>rd</w:t>
      </w:r>
      <w:r>
        <w:t xml:space="preserve"> lines of regimen was 1.18 times the rate of the previous regimen. </w:t>
      </w:r>
      <w:r>
        <w:fldChar w:fldCharType="begin"/>
      </w:r>
      <w:r>
        <w:instrText>ADDIN RW.CITE{{3 Smith,C.J. 2009}}</w:instrText>
      </w:r>
      <w:r>
        <w:fldChar w:fldCharType="separate"/>
      </w:r>
      <w:r w:rsidRPr="00A04044">
        <w:t>(28)</w:t>
      </w:r>
      <w:r>
        <w:fldChar w:fldCharType="end"/>
      </w:r>
      <w:r>
        <w:t xml:space="preserve"> The maximum CD4 count that could be achieved during sustained HIV viral load suppression depended upon the CD4 count at initiation of the first ART regimen.</w:t>
      </w:r>
      <w:r>
        <w:fldChar w:fldCharType="begin"/>
      </w:r>
      <w:r>
        <w:instrText>ADDIN RW.CITE{{479 Gras,L. 2007}}</w:instrText>
      </w:r>
      <w:r>
        <w:fldChar w:fldCharType="separate"/>
      </w:r>
      <w:r w:rsidRPr="00A04044">
        <w:t>(29)</w:t>
      </w:r>
      <w:r>
        <w:fldChar w:fldCharType="end"/>
      </w:r>
      <w:r>
        <w:t xml:space="preserve"> A summary of the disease progression input parameters is provided in Table S3 and a schematic flow is presented </w:t>
      </w:r>
      <w:r w:rsidRPr="008B5D51">
        <w:t>in Figure</w:t>
      </w:r>
      <w:r>
        <w:t xml:space="preserve"> S1.</w:t>
      </w:r>
    </w:p>
    <w:p w:rsidR="005F535C" w:rsidRPr="00AC1388" w:rsidRDefault="005F535C" w:rsidP="005F535C">
      <w:pPr>
        <w:spacing w:line="480" w:lineRule="auto"/>
        <w:rPr>
          <w:b/>
        </w:rPr>
      </w:pPr>
      <w:r w:rsidRPr="00AC1388">
        <w:rPr>
          <w:b/>
        </w:rPr>
        <w:lastRenderedPageBreak/>
        <w:t>Transmission Components</w:t>
      </w:r>
    </w:p>
    <w:p w:rsidR="005F535C" w:rsidRPr="00A04044" w:rsidRDefault="005F535C" w:rsidP="005F535C">
      <w:pPr>
        <w:autoSpaceDE w:val="0"/>
        <w:autoSpaceDN w:val="0"/>
        <w:adjustRightInd w:val="0"/>
        <w:spacing w:after="0" w:line="480" w:lineRule="auto"/>
        <w:ind w:firstLine="720"/>
        <w:rPr>
          <w:rFonts w:cs="Calibri"/>
        </w:rPr>
      </w:pPr>
      <w:r w:rsidRPr="00A04044">
        <w:rPr>
          <w:rFonts w:cs="Calibri"/>
        </w:rPr>
        <w:t xml:space="preserve">To generate transmissions, HIV-infected persons in the model are individually assigned partnerships and characteristics relevant for HIV, such as duration in months (remaining length of partnership), type of partnership (main or casual), number of sex acts per month, and proportion of sex acts protected by condoms. At the end of the partnership (i.e., when partnership duration reaches zero), the above partnership parameters are updated to generate the start of a new partnership. If there is an HIV transmission to an uninfected partner, that partner is only then added to the simulation and his/her partnership network is in turn generated over time. This modified methodology, which was developed because traditional methodologies can be computationally challenging for application to HIV infection in the United States, is presented in </w:t>
      </w:r>
      <w:r>
        <w:rPr>
          <w:rFonts w:cs="Calibri"/>
        </w:rPr>
        <w:fldChar w:fldCharType="begin"/>
      </w:r>
      <w:r>
        <w:rPr>
          <w:rFonts w:cs="Calibri"/>
        </w:rPr>
        <w:instrText>ADDIN RW.CITE{{803 Gopalappa,C. 2017}}</w:instrText>
      </w:r>
      <w:r>
        <w:rPr>
          <w:rFonts w:cs="Calibri"/>
        </w:rPr>
        <w:fldChar w:fldCharType="separate"/>
      </w:r>
      <w:r w:rsidRPr="00A04044">
        <w:rPr>
          <w:rFonts w:cs="Calibri"/>
        </w:rPr>
        <w:t>(3)</w:t>
      </w:r>
      <w:r>
        <w:rPr>
          <w:rFonts w:cs="Calibri"/>
        </w:rPr>
        <w:fldChar w:fldCharType="end"/>
      </w:r>
    </w:p>
    <w:p w:rsidR="005F535C" w:rsidRDefault="005F535C" w:rsidP="005F535C">
      <w:pPr>
        <w:spacing w:line="480" w:lineRule="auto"/>
      </w:pPr>
      <w:r w:rsidRPr="002069CF">
        <w:rPr>
          <w:u w:val="single"/>
        </w:rPr>
        <w:t xml:space="preserve">Types and </w:t>
      </w:r>
      <w:r>
        <w:rPr>
          <w:u w:val="single"/>
        </w:rPr>
        <w:t>duration</w:t>
      </w:r>
      <w:r w:rsidRPr="002069CF">
        <w:rPr>
          <w:u w:val="single"/>
        </w:rPr>
        <w:t xml:space="preserve"> of partners and sex acts</w:t>
      </w:r>
    </w:p>
    <w:p w:rsidR="005F535C" w:rsidRDefault="005F535C" w:rsidP="005F535C">
      <w:pPr>
        <w:spacing w:line="480" w:lineRule="auto"/>
      </w:pPr>
      <w:r>
        <w:t xml:space="preserve">We modeled partnerships as main or casual (Table S4). </w:t>
      </w:r>
      <w:bookmarkStart w:id="1" w:name="_Hlk483759275"/>
      <w:r>
        <w:t xml:space="preserve">Casual partnerships were defined by the number of contacts - one to three acts per partner within a month. Main partnerships were defined by their duration in time </w:t>
      </w:r>
      <w:r w:rsidRPr="00E963E5">
        <w:t>as those occurring over a period of at least a month</w:t>
      </w:r>
      <w:r>
        <w:t xml:space="preserve">, </w:t>
      </w:r>
      <w:bookmarkEnd w:id="1"/>
      <w:r>
        <w:t xml:space="preserve">data for which was based on survey participants’ reports of their number of partners in the past 12 months. </w:t>
      </w:r>
      <w:r>
        <w:fldChar w:fldCharType="begin"/>
      </w:r>
      <w:r>
        <w:instrText>ADDIN RW.CITE{{165 Chandra,A. 2011}}</w:instrText>
      </w:r>
      <w:r>
        <w:fldChar w:fldCharType="separate"/>
      </w:r>
      <w:r w:rsidRPr="00A04044">
        <w:t>(30)</w:t>
      </w:r>
      <w:r>
        <w:fldChar w:fldCharType="end"/>
      </w:r>
      <w:r>
        <w:t xml:space="preserve"> Due to lack of data on heterosexuals’ casual partnerships, we modeled casual partnerships only among men who have sex with men (MSM). The durations of main partnerships were determined using truncated exponential distributions with separate distributions for each age-group. The means of the distributions were an increasing function of age and were estimated using the proportion of persons in the corresponding age group reporting having 1, 2, 3, or 4 partners in the past 12 months in the National Survey of Family Growth. </w:t>
      </w:r>
      <w:r>
        <w:fldChar w:fldCharType="begin"/>
      </w:r>
      <w:r>
        <w:instrText>ADDIN RW.CITE{{165 Chandra,A. 2011}}</w:instrText>
      </w:r>
      <w:r>
        <w:fldChar w:fldCharType="separate"/>
      </w:r>
      <w:r w:rsidRPr="00A04044">
        <w:t>(30)</w:t>
      </w:r>
      <w:r>
        <w:fldChar w:fldCharType="end"/>
      </w:r>
      <w:r>
        <w:t xml:space="preserve"> A proportion of these individuals also reported being sexually active but not having any current partners.  Based on these data, we modeled the probability of a gap between the end of the previous and the beginning of a new</w:t>
      </w:r>
      <w:r w:rsidRPr="00F74789">
        <w:t xml:space="preserve"> </w:t>
      </w:r>
      <w:r>
        <w:t xml:space="preserve">partnership. The number of sex acts per person per year was </w:t>
      </w:r>
      <w:r>
        <w:lastRenderedPageBreak/>
        <w:t>distributed by age and was randomly selected from between lower and upper bound values. We derived the bounds from</w:t>
      </w:r>
      <w:r w:rsidRPr="0015373C">
        <w:t xml:space="preserve"> National Survey of Sexu</w:t>
      </w:r>
      <w:r>
        <w:t>al Health and Behavior data by taking a weighted average of the lower and upper frequencies under four categories of sexual frequency—a few times a year to monthly, a few times per month to weekly, 2 to 3 times per week, and 4 or more times per week.</w:t>
      </w:r>
      <w:r w:rsidRPr="00CE3A3C">
        <w:t xml:space="preserve"> </w:t>
      </w:r>
      <w:r>
        <w:fldChar w:fldCharType="begin"/>
      </w:r>
      <w:r>
        <w:instrText>ADDIN RW.CITE{{498 Herbenick,D. 2010; 359 Reece,M. 2010; 361 Reece,M. 2010; 357 Herbenick,D. 2010}}</w:instrText>
      </w:r>
      <w:r>
        <w:fldChar w:fldCharType="separate"/>
      </w:r>
      <w:r w:rsidRPr="00A04044">
        <w:t>(31-34)</w:t>
      </w:r>
      <w:r>
        <w:fldChar w:fldCharType="end"/>
      </w:r>
      <w:r w:rsidRPr="004F46CE">
        <w:fldChar w:fldCharType="begin">
          <w:fldData xml:space="preserve">PEVuZE5vdGU+PENpdGU+PEF1dGhvcj5IZXJiZW5pY2s8L0F1dGhvcj48WWVhcj4yMDEwPC9ZZWFy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</w:fldData>
        </w:fldChar>
      </w:r>
      <w:r>
        <w:instrText xml:space="preserve"> ADDIN EN.CITE </w:instrText>
      </w:r>
      <w:r>
        <w:fldChar w:fldCharType="begin">
          <w:fldData xml:space="preserve">PEVuZE5vdGU+PENpdGU+PEF1dGhvcj5IZXJiZW5pY2s8L0F1dGhvcj48WWVhcj4yMDEwPC9ZZWFy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</w:fldData>
        </w:fldChar>
      </w:r>
      <w:r>
        <w:instrText xml:space="preserve"> ADDIN EN.CITE.DATA </w:instrText>
      </w:r>
      <w:r>
        <w:fldChar w:fldCharType="end"/>
      </w:r>
      <w:r w:rsidRPr="004F46CE">
        <w:fldChar w:fldCharType="end"/>
      </w:r>
      <w:r>
        <w:t xml:space="preserve"> Due to the lack of data on duration and number of sex acts with main partners among MSM in the National Survey of Sexual Health and Behavior, we assumed these variables were the same as those of heterosexual males. This assumption is bolstered by the observation that the median number of main partners in heterosexual male populations (1) matches that in the MSM population.</w:t>
      </w:r>
      <w:r>
        <w:fldChar w:fldCharType="begin"/>
      </w:r>
      <w:r>
        <w:instrText>ADDIN RW.CITE{{291 Rosenberg,E.S. 2011}}</w:instrText>
      </w:r>
      <w:r>
        <w:fldChar w:fldCharType="separate"/>
      </w:r>
      <w:r w:rsidRPr="00A04044">
        <w:t>(35)</w:t>
      </w:r>
      <w:r>
        <w:fldChar w:fldCharType="end"/>
      </w:r>
      <w:r>
        <w:t xml:space="preserve"> </w:t>
      </w:r>
    </w:p>
    <w:p w:rsidR="005F535C" w:rsidRDefault="005F535C" w:rsidP="005F535C">
      <w:pPr>
        <w:spacing w:line="480" w:lineRule="auto"/>
      </w:pPr>
      <w:r>
        <w:rPr>
          <w:u w:val="single"/>
        </w:rPr>
        <w:t xml:space="preserve">Multiple partners per time unit (concurrency) </w:t>
      </w:r>
    </w:p>
    <w:p w:rsidR="005F535C" w:rsidRDefault="005F535C" w:rsidP="005F535C">
      <w:pPr>
        <w:spacing w:line="480" w:lineRule="auto"/>
      </w:pPr>
      <w:r>
        <w:t>About 52% of MSM reported that their last sex partner had other partners at the same time.</w:t>
      </w:r>
      <w:r w:rsidRPr="00CE3A3C">
        <w:t xml:space="preserve"> </w:t>
      </w:r>
      <w:r>
        <w:fldChar w:fldCharType="begin"/>
      </w:r>
      <w:r>
        <w:instrText>ADDIN RW.CITE{{162 Oster,A.M. 2011}}</w:instrText>
      </w:r>
      <w:r>
        <w:fldChar w:fldCharType="separate"/>
      </w:r>
      <w:r w:rsidRPr="00A04044">
        <w:t>(36)</w:t>
      </w:r>
      <w:r>
        <w:fldChar w:fldCharType="end"/>
      </w:r>
      <w:r>
        <w:t xml:space="preserve"> Because it is not clear if these were main or casual partners, we assumed 52% of MSM either had i) more than one main partnership that overlapped for at least a month, ii) one main partner and casual partners during same month, or iii) more than one casual partner during the same month. We assumed that 9% of heterosexuals had more than one partner at the same time. </w:t>
      </w:r>
    </w:p>
    <w:p w:rsidR="005F535C" w:rsidRDefault="005F535C" w:rsidP="005F535C">
      <w:pPr>
        <w:spacing w:line="480" w:lineRule="auto"/>
      </w:pPr>
      <w:r w:rsidRPr="002069CF">
        <w:rPr>
          <w:u w:val="single"/>
        </w:rPr>
        <w:t>Serosorting</w:t>
      </w:r>
    </w:p>
    <w:p w:rsidR="005F535C" w:rsidRPr="000057D4" w:rsidRDefault="005F535C" w:rsidP="005F535C">
      <w:pPr>
        <w:spacing w:line="480" w:lineRule="auto"/>
      </w:pPr>
      <w:r>
        <w:t xml:space="preserve">We assumed that 15% of MSM who were HIV-infected and aware of their infection practiced serosorting, i.e., chose partners who also were infected </w:t>
      </w:r>
      <w:r>
        <w:fldChar w:fldCharType="begin"/>
      </w:r>
      <w:r>
        <w:instrText>ADDIN RW.CITE{{366 Marks,Gary 2010; 367 McFarland,W. 2012; 368 McFarland,W. 2011}}</w:instrText>
      </w:r>
      <w:r>
        <w:fldChar w:fldCharType="separate"/>
      </w:r>
      <w:r w:rsidRPr="00A04044">
        <w:t>(37-39)</w:t>
      </w:r>
      <w:r>
        <w:fldChar w:fldCharType="end"/>
      </w:r>
      <w:r>
        <w:rPr>
          <w:rFonts w:eastAsia="Times New Roman" w:cs="Calibri"/>
          <w:color w:val="000000"/>
        </w:rPr>
        <w:t>. The rest of the population chose partners at random, i.e., the probability of a partner also being HIV-infected was equal to the prevalence of HIV in the population. We did not model serosorting in heterosexual couples as there were no data available to indicate serosorting.</w:t>
      </w:r>
    </w:p>
    <w:p w:rsidR="005F535C" w:rsidRDefault="005F535C" w:rsidP="005F535C">
      <w:pPr>
        <w:spacing w:line="480" w:lineRule="auto"/>
        <w:rPr>
          <w:u w:val="single"/>
        </w:rPr>
      </w:pPr>
    </w:p>
    <w:p w:rsidR="005F535C" w:rsidRDefault="005F535C" w:rsidP="005F535C">
      <w:pPr>
        <w:spacing w:line="480" w:lineRule="auto"/>
        <w:rPr>
          <w:u w:val="single"/>
        </w:rPr>
      </w:pPr>
    </w:p>
    <w:p w:rsidR="005F535C" w:rsidRPr="00AC1388" w:rsidRDefault="005F535C" w:rsidP="005F535C">
      <w:pPr>
        <w:spacing w:line="480" w:lineRule="auto"/>
      </w:pPr>
      <w:r w:rsidRPr="00AC1388">
        <w:rPr>
          <w:u w:val="single"/>
        </w:rPr>
        <w:lastRenderedPageBreak/>
        <w:t>Transmission probability</w:t>
      </w:r>
      <w:r w:rsidRPr="00AC1388">
        <w:t xml:space="preserve"> </w:t>
      </w:r>
    </w:p>
    <w:p w:rsidR="005F535C" w:rsidRPr="00AC1388" w:rsidRDefault="005F535C" w:rsidP="005F535C">
      <w:pPr>
        <w:spacing w:line="480" w:lineRule="auto"/>
      </w:pPr>
      <w:r w:rsidRPr="00AC1388">
        <w:t>At every time</w:t>
      </w:r>
      <w:r>
        <w:t xml:space="preserve"> </w:t>
      </w:r>
      <w:r w:rsidRPr="00AC1388">
        <w:t>unit, there was a probability of HIV</w:t>
      </w:r>
      <w:r>
        <w:t xml:space="preserve"> </w:t>
      </w:r>
      <w:r w:rsidRPr="00AC1388">
        <w:t>transmission from HIV-infected index persons to their partners based on the index person’s disease stage, the partner’s HIV-status, and partnership’s number of sex acts, type of sex act (anal or vaginal, insertive or receptive), and condom use.  The probability was estimated to be higher in the acute phase and lowest when the person was taking an ART regimen with viral load suppressed. The probability of transmission (</w:t>
      </w:r>
      <m:oMath>
        <m:r>
          <w:rPr>
            <w:rFonts w:ascii="Cambria Math" w:hAnsi="Cambria Math"/>
          </w:rPr>
          <m:t>p</m:t>
        </m:r>
      </m:oMath>
      <w:r w:rsidRPr="00AC1388">
        <w:t>) was estimated using a Bernoulli process model</w:t>
      </w:r>
      <w:r>
        <w:t xml:space="preserve"> </w:t>
      </w:r>
      <w:r>
        <w:fldChar w:fldCharType="begin"/>
      </w:r>
      <w:r>
        <w:instrText>ADDIN RW.CITE{{351 Pinkerton,S.D.,AbramsonP.R. 1998; 481 Pinkerton,StevenD. 1998; 143 Pinkerton,S.D. 1998}}</w:instrText>
      </w:r>
      <w:r>
        <w:fldChar w:fldCharType="separate"/>
      </w:r>
      <w:r w:rsidRPr="00A04044">
        <w:t>(40-42)</w:t>
      </w:r>
      <w:r>
        <w:fldChar w:fldCharType="end"/>
      </w:r>
      <w:r w:rsidRPr="00AC1388">
        <w:t xml:space="preserve"> </w:t>
      </w:r>
    </w:p>
    <w:p w:rsidR="005F535C" w:rsidRPr="00AC1388" w:rsidRDefault="005F535C" w:rsidP="005F535C">
      <w:pPr>
        <w:spacing w:line="480" w:lineRule="auto"/>
      </w:pPr>
      <w:r w:rsidRPr="00917D30">
        <w:rPr>
          <w:position w:val="-24"/>
        </w:rPr>
        <w:object w:dxaOrig="71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7pt;height:30pt" o:ole="">
            <v:imagedata r:id="rId5" o:title=""/>
          </v:shape>
          <o:OLEObject Type="Embed" ProgID="Equation.DSMT4" ShapeID="_x0000_i1027" DrawAspect="Content" ObjectID="_1563116631" r:id="rId6"/>
        </w:object>
      </w:r>
      <w:r>
        <w:t xml:space="preserve"> </w:t>
      </w:r>
      <w:r w:rsidRPr="004130F0">
        <w:fldChar w:fldCharType="begin"/>
      </w:r>
      <w:r w:rsidRPr="004130F0">
        <w:instrText xml:space="preserve"> QUOTE </w:instrText>
      </w:r>
      <m:oMath>
        <m:r>
          <w:rPr>
            <w:rFonts w:ascii="Cambria Math" w:hAnsi="Cambria Math"/>
          </w:rPr>
          <m:t>p=</m:t>
        </m:r>
        <m:sSup>
          <m:sSupPr>
            <m:ctrlPr>
              <w:rPr>
                <w:rFonts w:ascii="Cambria Math" w:hAnsi="Cambria Math"/>
                <w:i/>
              </w:rPr>
            </m:ctrlPr>
          </m:sSupPr>
          <m:e>
            <m:r>
              <w:rPr>
                <w:rFonts w:ascii="Cambria Math" w:hAnsi="Cambria Math"/>
              </w:rPr>
              <m:t xml:space="preserve">1-{[ (1- </m:t>
            </m:r>
            <m:sSub>
              <m:sSubPr>
                <m:ctrlPr>
                  <w:rPr>
                    <w:rFonts w:ascii="Cambria Math" w:hAnsi="Cambria Math"/>
                    <w:i/>
                  </w:rPr>
                </m:ctrlPr>
              </m:sSubPr>
              <m:e>
                <m:r>
                  <w:rPr>
                    <w:rFonts w:ascii="Cambria Math" w:hAnsi="Cambria Math"/>
                  </w:rPr>
                  <m:t>α</m:t>
                </m:r>
              </m:e>
              <m:sub>
                <m:r>
                  <w:rPr>
                    <w:rFonts w:ascii="Cambria Math" w:hAnsi="Cambria Math"/>
                  </w:rPr>
                  <m:t>v</m:t>
                </m:r>
              </m:sub>
            </m:sSub>
            <m:r>
              <w:rPr>
                <w:rFonts w:ascii="Cambria Math" w:hAnsi="Cambria Math"/>
              </w:rPr>
              <m:t>)</m:t>
            </m:r>
          </m:e>
          <m:sup>
            <m:sSub>
              <m:sSubPr>
                <m:ctrlPr>
                  <w:rPr>
                    <w:rFonts w:ascii="Cambria Math" w:hAnsi="Cambria Math"/>
                    <w:i/>
                  </w:rPr>
                </m:ctrlPr>
              </m:sSubPr>
              <m:e>
                <m:r>
                  <w:rPr>
                    <w:rFonts w:ascii="Cambria Math" w:hAnsi="Cambria Math"/>
                  </w:rPr>
                  <m:t>n</m:t>
                </m:r>
              </m:e>
              <m:sub>
                <m:r>
                  <w:rPr>
                    <w:rFonts w:ascii="Cambria Math" w:hAnsi="Cambria Math"/>
                  </w:rPr>
                  <m:t>v</m:t>
                </m:r>
              </m:sub>
            </m:sSub>
            <m:r>
              <w:rPr>
                <w:rFonts w:ascii="Cambria Math" w:hAnsi="Cambria Math"/>
              </w:rPr>
              <m:t>(1-</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m:t>
            </m:r>
          </m:sup>
        </m:sSup>
        <m:sSup>
          <m:sSupPr>
            <m:ctrlPr>
              <w:rPr>
                <w:rFonts w:ascii="Cambria Math" w:hAnsi="Cambria Math"/>
                <w:i/>
              </w:rPr>
            </m:ctrlPr>
          </m:sSupPr>
          <m:e>
            <m:r>
              <w:rPr>
                <w:rFonts w:ascii="Cambria Math" w:hAnsi="Cambria Math"/>
              </w:rPr>
              <m:t xml:space="preserve">(1- </m:t>
            </m:r>
            <m:sSub>
              <m:sSubPr>
                <m:ctrlPr>
                  <w:rPr>
                    <w:rFonts w:ascii="Cambria Math" w:hAnsi="Cambria Math"/>
                    <w:i/>
                  </w:rPr>
                </m:ctrlPr>
              </m:sSubPr>
              <m:e>
                <m:r>
                  <w:rPr>
                    <w:rFonts w:ascii="Cambria Math" w:hAnsi="Cambria Math"/>
                  </w:rPr>
                  <m:t>(1-ε)α</m:t>
                </m:r>
              </m:e>
              <m:sub>
                <m:r>
                  <w:rPr>
                    <w:rFonts w:ascii="Cambria Math" w:hAnsi="Cambria Math"/>
                  </w:rPr>
                  <m:t>v</m:t>
                </m:r>
              </m:sub>
            </m:sSub>
            <m:r>
              <w:rPr>
                <w:rFonts w:ascii="Cambria Math" w:hAnsi="Cambria Math"/>
              </w:rPr>
              <m:t>)</m:t>
            </m:r>
          </m:e>
          <m:sup>
            <m:sSub>
              <m:sSubPr>
                <m:ctrlPr>
                  <w:rPr>
                    <w:rFonts w:ascii="Cambria Math" w:hAnsi="Cambria Math"/>
                    <w:i/>
                  </w:rPr>
                </m:ctrlPr>
              </m:sSubPr>
              <m:e>
                <m:r>
                  <w:rPr>
                    <w:rFonts w:ascii="Cambria Math" w:hAnsi="Cambria Math"/>
                  </w:rPr>
                  <m:t>n</m:t>
                </m:r>
              </m:e>
              <m:sub>
                <m:r>
                  <w:rPr>
                    <w:rFonts w:ascii="Cambria Math" w:hAnsi="Cambria Math"/>
                  </w:rPr>
                  <m:t>v</m:t>
                </m:r>
              </m:sub>
            </m:sSub>
            <m:sSub>
              <m:sSubPr>
                <m:ctrlPr>
                  <w:rPr>
                    <w:rFonts w:ascii="Cambria Math" w:hAnsi="Cambria Math"/>
                    <w:i/>
                  </w:rPr>
                </m:ctrlPr>
              </m:sSubPr>
              <m:e>
                <m:r>
                  <w:rPr>
                    <w:rFonts w:ascii="Cambria Math" w:hAnsi="Cambria Math"/>
                  </w:rPr>
                  <m:t>c</m:t>
                </m:r>
              </m:e>
              <m:sub>
                <m:r>
                  <w:rPr>
                    <w:rFonts w:ascii="Cambria Math" w:hAnsi="Cambria Math"/>
                  </w:rPr>
                  <m:t>v</m:t>
                </m:r>
              </m:sub>
            </m:sSub>
          </m:sup>
        </m:sSup>
        <m:r>
          <w:rPr>
            <w:rFonts w:ascii="Cambria Math" w:hAnsi="Cambria Math"/>
          </w:rPr>
          <m:t>] [</m:t>
        </m:r>
        <m:sSup>
          <m:sSupPr>
            <m:ctrlPr>
              <w:rPr>
                <w:rFonts w:ascii="Cambria Math" w:hAnsi="Cambria Math"/>
                <w:i/>
              </w:rPr>
            </m:ctrlPr>
          </m:sSupPr>
          <m:e>
            <m:d>
              <m:dPr>
                <m:ctrlPr>
                  <w:rPr>
                    <w:rFonts w:ascii="Cambria Math" w:hAnsi="Cambria Math"/>
                    <w:i/>
                  </w:rPr>
                </m:ctrlPr>
              </m:dPr>
              <m:e>
                <m:r>
                  <w:rPr>
                    <w:rFonts w:ascii="Cambria Math" w:hAnsi="Cambria Math"/>
                  </w:rPr>
                  <m:t xml:space="preserve">1- </m:t>
                </m:r>
                <m:sSub>
                  <m:sSubPr>
                    <m:ctrlPr>
                      <w:rPr>
                        <w:rFonts w:ascii="Cambria Math" w:hAnsi="Cambria Math"/>
                        <w:i/>
                      </w:rPr>
                    </m:ctrlPr>
                  </m:sSubPr>
                  <m:e>
                    <m:r>
                      <w:rPr>
                        <w:rFonts w:ascii="Cambria Math" w:hAnsi="Cambria Math"/>
                      </w:rPr>
                      <m:t>α</m:t>
                    </m:r>
                  </m:e>
                  <m:sub>
                    <m:r>
                      <w:rPr>
                        <w:rFonts w:ascii="Cambria Math" w:hAnsi="Cambria Math"/>
                      </w:rPr>
                      <m:t>a</m:t>
                    </m:r>
                  </m:sub>
                </m:sSub>
              </m:e>
            </m:d>
          </m:e>
          <m:sup>
            <m:sSub>
              <m:sSubPr>
                <m:ctrlPr>
                  <w:rPr>
                    <w:rFonts w:ascii="Cambria Math" w:hAnsi="Cambria Math"/>
                    <w:i/>
                  </w:rPr>
                </m:ctrlPr>
              </m:sSubPr>
              <m:e>
                <m:r>
                  <w:rPr>
                    <w:rFonts w:ascii="Cambria Math" w:hAnsi="Cambria Math"/>
                  </w:rPr>
                  <m:t>n</m:t>
                </m:r>
              </m:e>
              <m:sub>
                <m:r>
                  <w:rPr>
                    <w:rFonts w:ascii="Cambria Math" w:hAnsi="Cambria Math"/>
                  </w:rPr>
                  <m:t>a</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c</m:t>
                    </m:r>
                  </m:e>
                  <m:sub>
                    <m:r>
                      <w:rPr>
                        <w:rFonts w:ascii="Cambria Math" w:hAnsi="Cambria Math"/>
                      </w:rPr>
                      <m:t>a</m:t>
                    </m:r>
                  </m:sub>
                </m:sSub>
              </m:e>
            </m:d>
          </m:sup>
        </m:sSup>
        <m:sSup>
          <m:sSupPr>
            <m:ctrlPr>
              <w:rPr>
                <w:rFonts w:ascii="Cambria Math" w:hAnsi="Cambria Math"/>
                <w:i/>
              </w:rPr>
            </m:ctrlPr>
          </m:sSupPr>
          <m:e>
            <m:d>
              <m:dPr>
                <m:ctrlPr>
                  <w:rPr>
                    <w:rFonts w:ascii="Cambria Math" w:hAnsi="Cambria Math"/>
                    <w:i/>
                  </w:rPr>
                </m:ctrlPr>
              </m:dPr>
              <m:e>
                <m:r>
                  <w:rPr>
                    <w:rFonts w:ascii="Cambria Math" w:hAnsi="Cambria Math"/>
                  </w:rPr>
                  <m:t xml:space="preserve">1- </m:t>
                </m:r>
                <m:sSub>
                  <m:sSubPr>
                    <m:ctrlPr>
                      <w:rPr>
                        <w:rFonts w:ascii="Cambria Math" w:hAnsi="Cambria Math"/>
                        <w:i/>
                      </w:rPr>
                    </m:ctrlPr>
                  </m:sSubPr>
                  <m:e>
                    <m:d>
                      <m:dPr>
                        <m:ctrlPr>
                          <w:rPr>
                            <w:rFonts w:ascii="Cambria Math" w:hAnsi="Cambria Math"/>
                            <w:i/>
                          </w:rPr>
                        </m:ctrlPr>
                      </m:dPr>
                      <m:e>
                        <m:r>
                          <w:rPr>
                            <w:rFonts w:ascii="Cambria Math" w:hAnsi="Cambria Math"/>
                          </w:rPr>
                          <m:t>1-ε</m:t>
                        </m:r>
                      </m:e>
                    </m:d>
                    <m:r>
                      <w:rPr>
                        <w:rFonts w:ascii="Cambria Math" w:hAnsi="Cambria Math"/>
                      </w:rPr>
                      <m:t>α</m:t>
                    </m:r>
                  </m:e>
                  <m:sub>
                    <m:r>
                      <w:rPr>
                        <w:rFonts w:ascii="Cambria Math" w:hAnsi="Cambria Math"/>
                      </w:rPr>
                      <m:t>a</m:t>
                    </m:r>
                  </m:sub>
                </m:sSub>
              </m:e>
            </m:d>
          </m:e>
          <m:sup>
            <m:sSub>
              <m:sSubPr>
                <m:ctrlPr>
                  <w:rPr>
                    <w:rFonts w:ascii="Cambria Math" w:hAnsi="Cambria Math"/>
                    <w:i/>
                  </w:rPr>
                </m:ctrlPr>
              </m:sSubPr>
              <m:e>
                <m:r>
                  <w:rPr>
                    <w:rFonts w:ascii="Cambria Math" w:hAnsi="Cambria Math"/>
                  </w:rPr>
                  <m:t>n</m:t>
                </m:r>
              </m:e>
              <m:sub>
                <m:r>
                  <w:rPr>
                    <w:rFonts w:ascii="Cambria Math" w:hAnsi="Cambria Math"/>
                  </w:rPr>
                  <m:t>a</m:t>
                </m:r>
              </m:sub>
            </m:sSub>
            <m:sSub>
              <m:sSubPr>
                <m:ctrlPr>
                  <w:rPr>
                    <w:rFonts w:ascii="Cambria Math" w:hAnsi="Cambria Math"/>
                    <w:i/>
                  </w:rPr>
                </m:ctrlPr>
              </m:sSubPr>
              <m:e>
                <m:r>
                  <w:rPr>
                    <w:rFonts w:ascii="Cambria Math" w:hAnsi="Cambria Math"/>
                  </w:rPr>
                  <m:t>c</m:t>
                </m:r>
              </m:e>
              <m:sub>
                <m:r>
                  <w:rPr>
                    <w:rFonts w:ascii="Cambria Math" w:hAnsi="Cambria Math"/>
                  </w:rPr>
                  <m:t>a</m:t>
                </m:r>
              </m:sub>
            </m:sSub>
          </m:sup>
        </m:sSup>
        <m:r>
          <w:rPr>
            <w:rFonts w:ascii="Cambria Math" w:hAnsi="Cambria Math"/>
          </w:rPr>
          <m:t>]}</m:t>
        </m:r>
      </m:oMath>
      <w:r w:rsidRPr="004130F0">
        <w:instrText xml:space="preserve"> </w:instrText>
      </w:r>
      <w:r w:rsidRPr="004130F0">
        <w:fldChar w:fldCharType="end"/>
      </w:r>
      <w:r w:rsidRPr="00AC1388">
        <w:t xml:space="preserve">, where, if the partner was of </w:t>
      </w:r>
      <w:r>
        <w:t xml:space="preserve">the </w:t>
      </w:r>
      <w:r w:rsidRPr="00AC1388">
        <w:t>opposite sex,</w:t>
      </w:r>
    </w:p>
    <w:p w:rsidR="005F535C" w:rsidRPr="00AC1388" w:rsidRDefault="005F535C" w:rsidP="005F535C">
      <w:pPr>
        <w:spacing w:line="480" w:lineRule="auto"/>
      </w:pPr>
      <w:r w:rsidRPr="00917D30">
        <w:rPr>
          <w:position w:val="-12"/>
        </w:rPr>
        <w:object w:dxaOrig="279" w:dyaOrig="360">
          <v:shape id="_x0000_i1029" type="#_x0000_t75" style="width:14.25pt;height:18pt" o:ole="">
            <v:imagedata r:id="rId7" o:title=""/>
          </v:shape>
          <o:OLEObject Type="Embed" ProgID="Equation.DSMT4" ShapeID="_x0000_i1029" DrawAspect="Content" ObjectID="_1563116632" r:id="rId8"/>
        </w:object>
      </w:r>
      <w:r>
        <w:t xml:space="preserve"> </w:t>
      </w:r>
      <w:r w:rsidRPr="004130F0">
        <w:fldChar w:fldCharType="begin"/>
      </w:r>
      <w:r w:rsidRPr="004130F0">
        <w:instrText xml:space="preserve"> QUOTE </w:instrTex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v</m:t>
            </m:r>
          </m:sub>
        </m:sSub>
      </m:oMath>
      <w:r w:rsidRPr="004130F0">
        <w:instrText xml:space="preserve"> </w:instrText>
      </w:r>
      <w:r w:rsidRPr="004130F0">
        <w:fldChar w:fldCharType="end"/>
      </w:r>
      <w:r w:rsidRPr="00AC1388">
        <w:t xml:space="preserve"> or</w:t>
      </w:r>
      <w:r>
        <w:t xml:space="preserve"> </w:t>
      </w:r>
      <w:r w:rsidRPr="00917D30">
        <w:rPr>
          <w:position w:val="-12"/>
        </w:rPr>
        <w:object w:dxaOrig="279" w:dyaOrig="360">
          <v:shape id="_x0000_i1031" type="#_x0000_t75" style="width:14.25pt;height:18pt" o:ole="">
            <v:imagedata r:id="rId9" o:title=""/>
          </v:shape>
          <o:OLEObject Type="Embed" ProgID="Equation.DSMT4" ShapeID="_x0000_i1031" DrawAspect="Content" ObjectID="_1563116633" r:id="rId10"/>
        </w:object>
      </w:r>
      <w:r>
        <w:t xml:space="preserve"> </w:t>
      </w:r>
      <w:r w:rsidRPr="00AC1388">
        <w:t>: probability of transmission per vaginal or anal sex act</w:t>
      </w:r>
    </w:p>
    <w:p w:rsidR="005F535C" w:rsidRPr="00AC1388" w:rsidRDefault="005F535C" w:rsidP="005F535C">
      <w:pPr>
        <w:spacing w:line="480" w:lineRule="auto"/>
      </w:pPr>
      <w:r w:rsidRPr="00917D30">
        <w:rPr>
          <w:position w:val="-12"/>
        </w:rPr>
        <w:object w:dxaOrig="279" w:dyaOrig="360">
          <v:shape id="_x0000_i1032" type="#_x0000_t75" style="width:14.25pt;height:18pt" o:ole="">
            <v:imagedata r:id="rId11" o:title=""/>
          </v:shape>
          <o:OLEObject Type="Embed" ProgID="Equation.DSMT4" ShapeID="_x0000_i1032" DrawAspect="Content" ObjectID="_1563116634" r:id="rId12"/>
        </w:object>
      </w:r>
      <w:r>
        <w:t xml:space="preserve"> </w:t>
      </w:r>
      <w:r w:rsidRPr="004130F0">
        <w:fldChar w:fldCharType="begin"/>
      </w:r>
      <w:r w:rsidRPr="004130F0">
        <w:instrText xml:space="preserve"> QUOTE </w:instrTex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v</m:t>
            </m:r>
          </m:sub>
        </m:sSub>
      </m:oMath>
      <w:r w:rsidRPr="004130F0">
        <w:instrText xml:space="preserve"> </w:instrText>
      </w:r>
      <w:r w:rsidRPr="004130F0">
        <w:fldChar w:fldCharType="end"/>
      </w:r>
      <w:r w:rsidRPr="00AC1388">
        <w:t xml:space="preserve"> or</w:t>
      </w:r>
      <w:r>
        <w:t xml:space="preserve"> </w:t>
      </w:r>
      <w:r w:rsidRPr="00917D30">
        <w:rPr>
          <w:position w:val="-12"/>
        </w:rPr>
        <w:object w:dxaOrig="260" w:dyaOrig="360">
          <v:shape id="_x0000_i1034" type="#_x0000_t75" style="width:12.75pt;height:18pt" o:ole="">
            <v:imagedata r:id="rId13" o:title=""/>
          </v:shape>
          <o:OLEObject Type="Embed" ProgID="Equation.DSMT4" ShapeID="_x0000_i1034" DrawAspect="Content" ObjectID="_1563116635" r:id="rId14"/>
        </w:object>
      </w:r>
      <w:r>
        <w:t xml:space="preserve"> </w:t>
      </w:r>
      <w:r w:rsidRPr="00AC1388">
        <w:t>:  number of vaginal or anal sex acts per time-unit (month in chronic phase and week in acute phase)</w:t>
      </w:r>
    </w:p>
    <w:p w:rsidR="005F535C" w:rsidRPr="00AC1388" w:rsidRDefault="005F535C" w:rsidP="005F535C">
      <w:pPr>
        <w:spacing w:line="480" w:lineRule="auto"/>
      </w:pPr>
      <w:r w:rsidRPr="00917D30">
        <w:rPr>
          <w:position w:val="-12"/>
        </w:rPr>
        <w:object w:dxaOrig="260" w:dyaOrig="360">
          <v:shape id="_x0000_i1035" type="#_x0000_t75" style="width:12.75pt;height:18pt" o:ole="">
            <v:imagedata r:id="rId15" o:title=""/>
          </v:shape>
          <o:OLEObject Type="Embed" ProgID="Equation.DSMT4" ShapeID="_x0000_i1035" DrawAspect="Content" ObjectID="_1563116636" r:id="rId16"/>
        </w:object>
      </w:r>
      <w:r>
        <w:t xml:space="preserve"> </w:t>
      </w:r>
      <w:r w:rsidRPr="004130F0">
        <w:fldChar w:fldCharType="begin"/>
      </w:r>
      <w:r w:rsidRPr="004130F0">
        <w:instrText xml:space="preserve"> QUOTE </w:instrText>
      </w:r>
      <m:oMath>
        <m:sSub>
          <m:sSubPr>
            <m:ctrlPr>
              <w:rPr>
                <w:rFonts w:ascii="Cambria Math" w:hAnsi="Cambria Math"/>
              </w:rPr>
            </m:ctrlPr>
          </m:sSubPr>
          <m:e>
            <m:r>
              <m:rPr>
                <m:sty m:val="p"/>
              </m:rPr>
              <w:rPr>
                <w:rFonts w:ascii="Cambria Math" w:hAnsi="Cambria Math"/>
              </w:rPr>
              <m:t>α</m:t>
            </m:r>
          </m:e>
          <m:sub>
            <m:r>
              <m:rPr>
                <m:sty m:val="p"/>
              </m:rPr>
              <w:rPr>
                <w:rFonts w:ascii="Cambria Math" w:hAnsi="Cambria Math"/>
              </w:rPr>
              <m:t>v</m:t>
            </m:r>
          </m:sub>
        </m:sSub>
      </m:oMath>
      <w:r w:rsidRPr="004130F0">
        <w:instrText xml:space="preserve"> </w:instrText>
      </w:r>
      <w:r w:rsidRPr="004130F0">
        <w:fldChar w:fldCharType="end"/>
      </w:r>
      <w:r w:rsidRPr="00AC1388">
        <w:t xml:space="preserve"> or</w:t>
      </w:r>
      <w:r>
        <w:t xml:space="preserve"> </w:t>
      </w:r>
      <w:r w:rsidRPr="00917D30">
        <w:rPr>
          <w:position w:val="-12"/>
        </w:rPr>
        <w:object w:dxaOrig="260" w:dyaOrig="360">
          <v:shape id="_x0000_i1037" type="#_x0000_t75" style="width:12.75pt;height:18pt" o:ole="">
            <v:imagedata r:id="rId17" o:title=""/>
          </v:shape>
          <o:OLEObject Type="Embed" ProgID="Equation.DSMT4" ShapeID="_x0000_i1037" DrawAspect="Content" ObjectID="_1563116637" r:id="rId18"/>
        </w:object>
      </w:r>
      <w:r>
        <w:t xml:space="preserve"> </w:t>
      </w:r>
      <w:r w:rsidRPr="00AC1388">
        <w:t>:  proportion of sex acts with condom use</w:t>
      </w:r>
    </w:p>
    <w:p w:rsidR="005F535C" w:rsidRPr="00AC1388" w:rsidRDefault="005F535C" w:rsidP="005F535C">
      <w:pPr>
        <w:spacing w:line="480" w:lineRule="auto"/>
      </w:pPr>
      <w:r w:rsidRPr="00917D30">
        <w:rPr>
          <w:position w:val="-6"/>
        </w:rPr>
        <w:object w:dxaOrig="200" w:dyaOrig="220">
          <v:shape id="_x0000_i1038" type="#_x0000_t75" style="width:9.75pt;height:11.25pt" o:ole="">
            <v:imagedata r:id="rId19" o:title=""/>
          </v:shape>
          <o:OLEObject Type="Embed" ProgID="Equation.DSMT4" ShapeID="_x0000_i1038" DrawAspect="Content" ObjectID="_1563116638" r:id="rId20"/>
        </w:object>
      </w:r>
      <w:r>
        <w:t xml:space="preserve"> : </w:t>
      </w:r>
      <w:r w:rsidRPr="00AC1388">
        <w:t>Effectiveness of condom in reducing transmission per act</w:t>
      </w:r>
    </w:p>
    <w:p w:rsidR="005F535C" w:rsidRPr="00AC1388" w:rsidRDefault="005F535C" w:rsidP="005F535C">
      <w:pPr>
        <w:spacing w:line="480" w:lineRule="auto"/>
      </w:pPr>
      <w:r w:rsidRPr="00AC1388">
        <w:t xml:space="preserve">If the HIV-infected person was a male who had a male partner, then the subscripts </w:t>
      </w:r>
      <m:oMath>
        <m:r>
          <m:rPr>
            <m:sty m:val="p"/>
          </m:rPr>
          <w:rPr>
            <w:rFonts w:ascii="Cambria Math" w:hAnsi="Cambria Math"/>
          </w:rPr>
          <m:t>v</m:t>
        </m:r>
      </m:oMath>
      <w:r w:rsidRPr="00AC1388">
        <w:t xml:space="preserve">  and </w:t>
      </w:r>
      <m:oMath>
        <m:r>
          <m:rPr>
            <m:sty m:val="p"/>
          </m:rPr>
          <w:rPr>
            <w:rFonts w:ascii="Cambria Math" w:hAnsi="Cambria Math"/>
          </w:rPr>
          <m:t>a</m:t>
        </m:r>
      </m:oMath>
      <w:r w:rsidRPr="00AC1388">
        <w:t xml:space="preserve"> in the above equation represent insertive and receptive anal sex acts</w:t>
      </w:r>
      <w:r>
        <w:t>, respectively.</w:t>
      </w:r>
    </w:p>
    <w:p w:rsidR="005F535C" w:rsidRDefault="005F535C" w:rsidP="005F535C">
      <w:pPr>
        <w:spacing w:line="480" w:lineRule="auto"/>
      </w:pPr>
      <w:r w:rsidRPr="00AC1388">
        <w:t>The probability of transmission per sex act, under no intervention from ART, varied with change in viral load during the acute phase and remained constant over the chronic phase. We assumed that the per act transmission probability would be highest during weeks 1 through 8 in the acute phase and would be reduced after week 8 when the infection transitioned to the non-acute phase.</w:t>
      </w:r>
      <w:r>
        <w:t xml:space="preserve"> </w:t>
      </w:r>
      <w:r>
        <w:fldChar w:fldCharType="begin"/>
      </w:r>
      <w:r>
        <w:instrText>ADDIN RW.CITE{{348 Pilcher,Christopher D. 2004; 347 Pilcher,C.D. 2007; 484 Hollingsworth,T.D. 2008; 485 Hughes,J.P. 2012}}</w:instrText>
      </w:r>
      <w:r>
        <w:fldChar w:fldCharType="separate"/>
      </w:r>
      <w:r w:rsidRPr="00A04044">
        <w:t>(43-46)</w:t>
      </w:r>
      <w:r>
        <w:fldChar w:fldCharType="end"/>
      </w:r>
      <w:r w:rsidRPr="00AC1388">
        <w:t xml:space="preserve"> If viral load was </w:t>
      </w:r>
      <w:r w:rsidRPr="00AC1388">
        <w:lastRenderedPageBreak/>
        <w:t>suppressed on ART, there was reduction in the probability of transmission. Values for transmission parameters are presented in Table S5.</w:t>
      </w:r>
    </w:p>
    <w:p w:rsidR="005F535C" w:rsidRPr="00A362F7" w:rsidRDefault="005F535C" w:rsidP="005F535C">
      <w:pPr>
        <w:spacing w:line="480" w:lineRule="auto"/>
        <w:rPr>
          <w:u w:val="single"/>
        </w:rPr>
      </w:pPr>
      <w:r w:rsidRPr="00A362F7">
        <w:rPr>
          <w:u w:val="single"/>
        </w:rPr>
        <w:t xml:space="preserve">Simulating </w:t>
      </w:r>
      <w:r>
        <w:rPr>
          <w:u w:val="single"/>
        </w:rPr>
        <w:t>partnership c</w:t>
      </w:r>
      <w:r w:rsidRPr="00A362F7">
        <w:rPr>
          <w:u w:val="single"/>
        </w:rPr>
        <w:t>oncurrency</w:t>
      </w:r>
    </w:p>
    <w:p w:rsidR="005F535C" w:rsidRDefault="005F535C" w:rsidP="005F535C">
      <w:pPr>
        <w:spacing w:line="480" w:lineRule="auto"/>
      </w:pPr>
      <w:bookmarkStart w:id="2" w:name="_Hlk483835511"/>
      <w:r>
        <w:t xml:space="preserve">Concurrency involves a person having more than one partner, either main or casual, during the same time period. We model three types of concurrency (see Figure S2A)- Type 1: an HIV-infected person has concurrent uninfected partners; Type 2: an uninfected partner of an HIV-infected person has another uninfected partner; and Type 3: an uninfected partner of an HIV-infected person has another infected partner. </w:t>
      </w:r>
      <w:bookmarkEnd w:id="2"/>
      <w:r>
        <w:t xml:space="preserve">In Figure S2A we present the three concurrency types, and in Figure S2B we depict the methodology of simulating these concurrency types. </w:t>
      </w:r>
    </w:p>
    <w:p w:rsidR="005F535C" w:rsidRDefault="005F535C" w:rsidP="005F535C">
      <w:pPr>
        <w:spacing w:line="480" w:lineRule="auto"/>
      </w:pPr>
      <w:r>
        <w:t xml:space="preserve">We modeled Type 1 concurrency (Figure S2A) similar to the previously described method of simulating sequential partners, i.e., by adding details about both partners P4- and P5- (Figure S2B) as characteristics of the HIV-infected person C+. </w:t>
      </w:r>
    </w:p>
    <w:p w:rsidR="005F535C" w:rsidRDefault="005F535C" w:rsidP="005F535C">
      <w:pPr>
        <w:spacing w:line="480" w:lineRule="auto"/>
      </w:pPr>
      <w:r>
        <w:t xml:space="preserve">Type 2 concurrency (Figure S2A) does not become relevant to the model until the uninfected partner P8- becomes infected (at t=5) and exposes the concurrent partner P9- to the infection. Therefore, at t=5 we simulate this as two sequential events (Figure S2B): E+ infects P8- to become P8+ (event 1); and it is determined, based on a probability of concurrent partnership, that P8+ has a concurrent partner P9-, who is then added as a characteristic of P8+ (event 2). Based on the memoryless property of the exponential distribution, the remaining partnership duration between P8 and P9 is independent of the past duration, and therefore it can be determined at the time that P8 became infected. The concurrent partner P9- is then exposed to P8+ during P8+’s highly infectious acute phase. </w:t>
      </w:r>
    </w:p>
    <w:p w:rsidR="005F535C" w:rsidRDefault="005F535C" w:rsidP="005F535C">
      <w:pPr>
        <w:spacing w:line="480" w:lineRule="auto"/>
      </w:pPr>
      <w:r>
        <w:t xml:space="preserve">In Type 3 concurrency (Figure S2A), the uninfected P3- has two infected partners B+ and F+. However, because PATH tracks only partners of infected persons, it does not model the concurrency of P3- until </w:t>
      </w:r>
      <w:r>
        <w:lastRenderedPageBreak/>
        <w:t>P3- becomes infected. That is, in Figure S2B, at t=4, P3- is modeled as a partner of B+ and P10- as a partner of F+, without initially making the connection that P3- and P10- are the same person. At t = 5, P10- became infected from F+ to become P10+ (event 1). In event 2, it was determined, based on a probability of concurrent partnership, that P10 has a concurrent partner who is also infected. Based on population mixing probabilities, conditioned on P10+’s age and sexual orientation, the model then determined that P10+ partnered with B+ as P3-. The model then corrected P3-’s status to P3+, thus indicating that P10 and P3 are the same person (t=5, event 2).</w:t>
      </w:r>
    </w:p>
    <w:p w:rsidR="005F535C" w:rsidRPr="004130F0" w:rsidRDefault="005F535C" w:rsidP="005F535C">
      <w:pPr>
        <w:pStyle w:val="PlainText"/>
        <w:spacing w:line="480" w:lineRule="auto"/>
        <w:rPr>
          <w:rFonts w:cs="Arial"/>
          <w:color w:val="000000"/>
          <w:szCs w:val="22"/>
          <w:u w:val="single"/>
        </w:rPr>
      </w:pPr>
      <w:r>
        <w:rPr>
          <w:rFonts w:cs="Arial"/>
          <w:color w:val="000000"/>
          <w:szCs w:val="22"/>
          <w:u w:val="single"/>
        </w:rPr>
        <w:t>Reasons a</w:t>
      </w:r>
      <w:r w:rsidRPr="004130F0">
        <w:rPr>
          <w:rFonts w:cs="Arial"/>
          <w:color w:val="000000"/>
          <w:szCs w:val="22"/>
          <w:u w:val="single"/>
        </w:rPr>
        <w:t>pproaches used in the agent-based model</w:t>
      </w:r>
      <w:r>
        <w:rPr>
          <w:rFonts w:cs="Arial"/>
          <w:color w:val="000000"/>
          <w:szCs w:val="22"/>
          <w:u w:val="single"/>
        </w:rPr>
        <w:t xml:space="preserve"> would, theoretically, generate results similar</w:t>
      </w:r>
      <w:r w:rsidRPr="004130F0">
        <w:rPr>
          <w:rFonts w:cs="Arial"/>
          <w:color w:val="000000"/>
          <w:szCs w:val="22"/>
          <w:u w:val="single"/>
        </w:rPr>
        <w:t xml:space="preserve"> to those in models that explicitly include the uninfected</w:t>
      </w:r>
    </w:p>
    <w:p w:rsidR="005F535C" w:rsidRPr="004130F0" w:rsidRDefault="005F535C" w:rsidP="005F535C">
      <w:pPr>
        <w:pStyle w:val="PlainText"/>
        <w:numPr>
          <w:ilvl w:val="0"/>
          <w:numId w:val="18"/>
        </w:numPr>
        <w:spacing w:line="480" w:lineRule="auto"/>
        <w:ind w:left="360"/>
        <w:rPr>
          <w:rFonts w:cs="Arial"/>
          <w:color w:val="000000"/>
          <w:szCs w:val="22"/>
        </w:rPr>
      </w:pPr>
      <w:r w:rsidRPr="004130F0">
        <w:rPr>
          <w:rFonts w:cs="Arial"/>
          <w:color w:val="000000"/>
          <w:szCs w:val="22"/>
        </w:rPr>
        <w:t>Population mixing:</w:t>
      </w:r>
    </w:p>
    <w:p w:rsidR="005F535C" w:rsidRPr="004130F0" w:rsidRDefault="005F535C" w:rsidP="005F535C">
      <w:pPr>
        <w:pStyle w:val="PlainText"/>
        <w:spacing w:line="480" w:lineRule="auto"/>
        <w:ind w:left="360"/>
        <w:rPr>
          <w:rFonts w:cs="Arial"/>
          <w:color w:val="000000"/>
          <w:szCs w:val="22"/>
        </w:rPr>
      </w:pPr>
      <w:r w:rsidRPr="004130F0">
        <w:rPr>
          <w:rFonts w:cs="Arial"/>
          <w:color w:val="000000"/>
          <w:szCs w:val="22"/>
          <w:u w:val="single"/>
        </w:rPr>
        <w:t>PATH</w:t>
      </w:r>
      <w:r w:rsidRPr="004130F0">
        <w:rPr>
          <w:rFonts w:cs="Arial"/>
          <w:color w:val="000000"/>
          <w:szCs w:val="22"/>
        </w:rPr>
        <w:t xml:space="preserve">: In the beginning of the simulation, PATH determines the characteristics </w:t>
      </w:r>
      <m:oMath>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i</m:t>
            </m:r>
          </m:sub>
        </m:sSub>
      </m:oMath>
      <w:r w:rsidRPr="004130F0">
        <w:rPr>
          <w:rFonts w:cs="Arial"/>
          <w:color w:val="000000"/>
          <w:szCs w:val="22"/>
        </w:rPr>
        <w:t xml:space="preserve"> (e.g., age, sexual orientation) of an HIV-infected person, e.g.,</w:t>
      </w:r>
      <w:r w:rsidRPr="00B127A3">
        <w:rPr>
          <w:rFonts w:cs="Arial"/>
          <w:color w:val="000000"/>
          <w:position w:val="-12"/>
          <w:szCs w:val="22"/>
        </w:rPr>
        <w:object w:dxaOrig="1440" w:dyaOrig="360">
          <v:shape id="_x0000_i1045" type="#_x0000_t75" style="width:1in;height:18pt" o:ole="">
            <v:imagedata r:id="rId21" o:title=""/>
          </v:shape>
          <o:OLEObject Type="Embed" ProgID="Equation.DSMT4" ShapeID="_x0000_i1045" DrawAspect="Content" ObjectID="_1563116639" r:id="rId22"/>
        </w:object>
      </w:r>
      <w:r>
        <w:rPr>
          <w:rFonts w:cs="Arial"/>
          <w:color w:val="000000"/>
          <w:szCs w:val="22"/>
        </w:rPr>
        <w:t>, t</w:t>
      </w:r>
      <w:r w:rsidRPr="004130F0">
        <w:rPr>
          <w:rFonts w:cs="Arial"/>
          <w:color w:val="000000"/>
          <w:szCs w:val="22"/>
        </w:rPr>
        <w:t xml:space="preserve">o match the distribution of these characteristics among HIV-infected persons in the U.S. as reported by national HIV surveillance data. </w:t>
      </w:r>
      <w:r w:rsidRPr="004130F0">
        <w:rPr>
          <w:rFonts w:cs="Arial"/>
          <w:color w:val="000000"/>
          <w:szCs w:val="22"/>
        </w:rPr>
        <w:fldChar w:fldCharType="begin"/>
      </w:r>
      <w:r w:rsidRPr="004130F0">
        <w:rPr>
          <w:rFonts w:cs="Arial"/>
          <w:color w:val="000000"/>
          <w:szCs w:val="22"/>
        </w:rPr>
        <w:instrText>ADDIN RW.CITE{{42 [NoInformation] 2008}}</w:instrText>
      </w:r>
      <w:r w:rsidRPr="004130F0">
        <w:rPr>
          <w:rFonts w:cs="Arial"/>
          <w:color w:val="000000"/>
          <w:szCs w:val="22"/>
        </w:rPr>
        <w:fldChar w:fldCharType="separate"/>
      </w:r>
      <w:r w:rsidRPr="00A04044">
        <w:rPr>
          <w:rFonts w:cs="Arial"/>
          <w:color w:val="000000"/>
          <w:szCs w:val="22"/>
        </w:rPr>
        <w:t>(47)</w:t>
      </w:r>
      <w:r w:rsidRPr="004130F0">
        <w:rPr>
          <w:rFonts w:cs="Arial"/>
          <w:color w:val="000000"/>
          <w:szCs w:val="22"/>
        </w:rPr>
        <w:fldChar w:fldCharType="end"/>
      </w:r>
      <w:r w:rsidRPr="004130F0">
        <w:rPr>
          <w:rFonts w:cs="Arial"/>
          <w:color w:val="000000"/>
          <w:szCs w:val="22"/>
        </w:rPr>
        <w:t xml:space="preserve"> For the HIV-infected person</w:t>
      </w:r>
      <m:oMath>
        <m:r>
          <m:rPr>
            <m:sty m:val="p"/>
          </m:rPr>
          <w:rPr>
            <w:rFonts w:ascii="Cambria Math" w:hAnsi="Cambria Math" w:cs="Arial"/>
            <w:color w:val="000000"/>
          </w:rPr>
          <m:t xml:space="preserve"> i</m:t>
        </m:r>
      </m:oMath>
      <w:r w:rsidRPr="004130F0">
        <w:rPr>
          <w:rFonts w:cs="Arial"/>
          <w:color w:val="000000"/>
          <w:szCs w:val="22"/>
        </w:rPr>
        <w:t>, PATH determines the characteristics (</w:t>
      </w:r>
      <w:r>
        <w:rPr>
          <w:rFonts w:cs="Arial"/>
          <w:color w:val="000000"/>
          <w:szCs w:val="22"/>
        </w:rPr>
        <w:t xml:space="preserve"> </w:t>
      </w:r>
      <w:r w:rsidRPr="00164F36">
        <w:rPr>
          <w:rFonts w:cs="Arial"/>
          <w:color w:val="000000"/>
          <w:szCs w:val="22"/>
        </w:rPr>
        <w:fldChar w:fldCharType="begin"/>
      </w:r>
      <w:r w:rsidRPr="00164F36">
        <w:rPr>
          <w:rFonts w:cs="Arial"/>
          <w:color w:val="000000"/>
          <w:szCs w:val="22"/>
        </w:rPr>
        <w:instrText xml:space="preserve"> QUOTE </w:instrText>
      </w:r>
      <m:oMath>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j</m:t>
            </m:r>
          </m:sub>
        </m:sSub>
      </m:oMath>
      <w:r w:rsidRPr="00164F36">
        <w:rPr>
          <w:rFonts w:cs="Arial"/>
          <w:color w:val="000000"/>
          <w:szCs w:val="22"/>
        </w:rPr>
        <w:instrText xml:space="preserve"> </w:instrText>
      </w:r>
      <w:r w:rsidRPr="00164F36">
        <w:rPr>
          <w:rFonts w:cs="Arial"/>
          <w:color w:val="000000"/>
          <w:szCs w:val="22"/>
        </w:rPr>
        <w:fldChar w:fldCharType="separate"/>
      </w:r>
      <w:r w:rsidRPr="00B127A3">
        <w:rPr>
          <w:rFonts w:cs="Arial"/>
          <w:color w:val="000000"/>
          <w:position w:val="-14"/>
          <w:szCs w:val="22"/>
        </w:rPr>
        <w:object w:dxaOrig="340" w:dyaOrig="380">
          <v:shape id="_x0000_i1049" type="#_x0000_t75" style="width:17.25pt;height:18.75pt" o:ole="">
            <v:imagedata r:id="rId23" o:title=""/>
          </v:shape>
          <o:OLEObject Type="Embed" ProgID="Equation.DSMT4" ShapeID="_x0000_i1049" DrawAspect="Content" ObjectID="_1563116640" r:id="rId24"/>
        </w:object>
      </w:r>
      <w:r w:rsidRPr="00164F36">
        <w:rPr>
          <w:rFonts w:cs="Arial"/>
          <w:color w:val="000000"/>
          <w:szCs w:val="22"/>
        </w:rPr>
        <w:fldChar w:fldCharType="end"/>
      </w:r>
      <w:r w:rsidRPr="004130F0">
        <w:rPr>
          <w:rFonts w:cs="Arial"/>
          <w:color w:val="000000"/>
          <w:szCs w:val="22"/>
        </w:rPr>
        <w:t xml:space="preserve">) of a new partner </w:t>
      </w:r>
      <m:oMath>
        <m:r>
          <m:rPr>
            <m:sty m:val="p"/>
          </m:rPr>
          <w:rPr>
            <w:rFonts w:ascii="Cambria Math" w:hAnsi="Cambria Math" w:cs="Arial"/>
            <w:color w:val="000000"/>
          </w:rPr>
          <m:t xml:space="preserve">j </m:t>
        </m:r>
      </m:oMath>
      <w:r w:rsidRPr="004130F0">
        <w:rPr>
          <w:rFonts w:cs="Arial"/>
          <w:color w:val="000000"/>
          <w:szCs w:val="22"/>
        </w:rPr>
        <w:t xml:space="preserve"> conditional on the characteristics (e.g., age, sexual orientation) of the HIV-infected person modeled (</w:t>
      </w:r>
      <w:r>
        <w:rPr>
          <w:rFonts w:cs="Arial"/>
          <w:color w:val="000000"/>
          <w:szCs w:val="22"/>
        </w:rPr>
        <w:t xml:space="preserve"> </w:t>
      </w:r>
      <w:r w:rsidRPr="00164F36">
        <w:rPr>
          <w:rFonts w:eastAsia="Times New Roman" w:cs="Arial"/>
          <w:color w:val="000000"/>
          <w:szCs w:val="22"/>
        </w:rPr>
        <w:fldChar w:fldCharType="begin"/>
      </w:r>
      <w:r w:rsidRPr="00164F36">
        <w:rPr>
          <w:rFonts w:eastAsia="Times New Roman" w:cs="Arial"/>
          <w:color w:val="000000"/>
          <w:szCs w:val="22"/>
        </w:rPr>
        <w:instrText xml:space="preserve"> QUOTE </w:instrText>
      </w:r>
      <m:oMath>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i</m:t>
            </m:r>
          </m:sub>
        </m:sSub>
      </m:oMath>
      <w:r w:rsidRPr="00164F36">
        <w:rPr>
          <w:rFonts w:eastAsia="Times New Roman" w:cs="Arial"/>
          <w:color w:val="000000"/>
          <w:szCs w:val="22"/>
        </w:rPr>
        <w:instrText xml:space="preserve"> </w:instrText>
      </w:r>
      <w:r w:rsidRPr="00164F36">
        <w:rPr>
          <w:rFonts w:eastAsia="Times New Roman" w:cs="Arial"/>
          <w:color w:val="000000"/>
          <w:szCs w:val="22"/>
        </w:rPr>
        <w:fldChar w:fldCharType="separate"/>
      </w:r>
      <w:r w:rsidRPr="00B127A3">
        <w:rPr>
          <w:rFonts w:eastAsia="Times New Roman" w:cs="Arial"/>
          <w:color w:val="000000"/>
          <w:position w:val="-12"/>
          <w:szCs w:val="22"/>
        </w:rPr>
        <w:object w:dxaOrig="300" w:dyaOrig="360">
          <v:shape id="_x0000_i1053" type="#_x0000_t75" style="width:15pt;height:18pt" o:ole="">
            <v:imagedata r:id="rId25" o:title=""/>
          </v:shape>
          <o:OLEObject Type="Embed" ProgID="Equation.DSMT4" ShapeID="_x0000_i1053" DrawAspect="Content" ObjectID="_1563116641" r:id="rId26"/>
        </w:object>
      </w:r>
      <w:r w:rsidRPr="00164F36">
        <w:rPr>
          <w:rFonts w:eastAsia="Times New Roman" w:cs="Arial"/>
          <w:color w:val="000000"/>
          <w:szCs w:val="22"/>
        </w:rPr>
        <w:fldChar w:fldCharType="end"/>
      </w:r>
      <w:r w:rsidRPr="004130F0">
        <w:rPr>
          <w:rFonts w:eastAsia="Times New Roman" w:cs="Arial"/>
          <w:color w:val="000000"/>
          <w:szCs w:val="22"/>
        </w:rPr>
        <w:t>),</w:t>
      </w:r>
      <w:r w:rsidRPr="004130F0">
        <w:rPr>
          <w:rFonts w:cs="Arial"/>
          <w:color w:val="000000"/>
          <w:szCs w:val="22"/>
        </w:rPr>
        <w:t xml:space="preserve"> i.e., </w:t>
      </w:r>
      <w:r>
        <w:rPr>
          <w:rFonts w:cs="Arial"/>
          <w:color w:val="000000"/>
          <w:szCs w:val="22"/>
        </w:rPr>
        <w:t xml:space="preserve"> </w:t>
      </w:r>
      <w:r w:rsidRPr="00164F36">
        <w:rPr>
          <w:rFonts w:cs="Arial"/>
          <w:color w:val="000000"/>
          <w:szCs w:val="22"/>
        </w:rPr>
        <w:fldChar w:fldCharType="begin"/>
      </w:r>
      <w:r w:rsidRPr="00164F36">
        <w:rPr>
          <w:rFonts w:cs="Arial"/>
          <w:color w:val="000000"/>
          <w:szCs w:val="22"/>
        </w:rPr>
        <w:instrText xml:space="preserve"> QUOTE </w:instrText>
      </w:r>
      <m:oMath>
        <m:r>
          <m:rPr>
            <m:sty m:val="p"/>
          </m:rPr>
          <w:rPr>
            <w:rFonts w:ascii="Cambria Math" w:hAnsi="Cambria Math" w:cs="Arial"/>
            <w:color w:val="000000"/>
          </w:rPr>
          <m:t>P(</m:t>
        </m:r>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j</m:t>
            </m:r>
          </m:sub>
        </m:sSub>
        <m:d>
          <m:dPr>
            <m:begChr m:val="|"/>
            <m:ctrlPr>
              <w:rPr>
                <w:rFonts w:ascii="Cambria Math" w:hAnsi="Cambria Math" w:cs="Arial"/>
                <w:color w:val="000000"/>
              </w:rPr>
            </m:ctrlPr>
          </m:dPr>
          <m:e>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i</m:t>
                </m:r>
              </m:sub>
            </m:sSub>
          </m:e>
        </m:d>
        <m:r>
          <m:rPr>
            <m:sty m:val="p"/>
          </m:rPr>
          <w:rPr>
            <w:rFonts w:ascii="Cambria Math" w:hAnsi="Cambria Math" w:cs="Arial"/>
            <w:color w:val="000000"/>
          </w:rPr>
          <m:t>,   e.g.,  P(</m:t>
        </m:r>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j</m:t>
            </m:r>
          </m:sub>
        </m:sSub>
        <m:r>
          <m:rPr>
            <m:sty m:val="p"/>
          </m:rPr>
          <w:rPr>
            <w:rFonts w:ascii="Cambria Math" w:hAnsi="Cambria Math" w:cs="Arial"/>
            <w:color w:val="000000"/>
          </w:rPr>
          <m:t>=MSM</m:t>
        </m:r>
        <m:d>
          <m:dPr>
            <m:begChr m:val="|"/>
            <m:ctrlPr>
              <w:rPr>
                <w:rFonts w:ascii="Cambria Math" w:hAnsi="Cambria Math" w:cs="Arial"/>
                <w:color w:val="000000"/>
              </w:rPr>
            </m:ctrlPr>
          </m:dPr>
          <m:e>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i</m:t>
                </m:r>
              </m:sub>
            </m:sSub>
            <m:r>
              <m:rPr>
                <m:sty m:val="p"/>
              </m:rPr>
              <w:rPr>
                <w:rFonts w:ascii="Cambria Math" w:hAnsi="Cambria Math" w:cs="Arial"/>
                <w:color w:val="000000"/>
              </w:rPr>
              <m:t>=MSM</m:t>
            </m:r>
          </m:e>
        </m:d>
        <m:r>
          <m:rPr>
            <m:sty m:val="p"/>
          </m:rPr>
          <w:rPr>
            <w:rFonts w:ascii="Cambria Math" w:hAnsi="Cambria Math" w:cs="Arial"/>
            <w:color w:val="000000"/>
          </w:rPr>
          <m:t>.</m:t>
        </m:r>
      </m:oMath>
      <w:r w:rsidRPr="00164F36">
        <w:rPr>
          <w:rFonts w:cs="Arial"/>
          <w:color w:val="000000"/>
          <w:szCs w:val="22"/>
        </w:rPr>
        <w:instrText xml:space="preserve"> </w:instrText>
      </w:r>
      <w:r w:rsidRPr="00164F36">
        <w:rPr>
          <w:rFonts w:cs="Arial"/>
          <w:color w:val="000000"/>
          <w:szCs w:val="22"/>
        </w:rPr>
        <w:fldChar w:fldCharType="separate"/>
      </w:r>
      <w:r w:rsidRPr="00B127A3">
        <w:rPr>
          <w:rFonts w:cs="Arial"/>
          <w:color w:val="000000"/>
          <w:position w:val="-14"/>
          <w:szCs w:val="22"/>
        </w:rPr>
        <w:object w:dxaOrig="4200" w:dyaOrig="380">
          <v:shape id="_x0000_i1055" type="#_x0000_t75" style="width:210pt;height:18.75pt" o:ole="">
            <v:imagedata r:id="rId27" o:title=""/>
          </v:shape>
          <o:OLEObject Type="Embed" ProgID="Equation.DSMT4" ShapeID="_x0000_i1055" DrawAspect="Content" ObjectID="_1563116642" r:id="rId28"/>
        </w:object>
      </w:r>
      <w:r w:rsidRPr="00164F36">
        <w:rPr>
          <w:rFonts w:cs="Arial"/>
          <w:color w:val="000000"/>
          <w:szCs w:val="22"/>
        </w:rPr>
        <w:fldChar w:fldCharType="end"/>
      </w:r>
      <w:r>
        <w:rPr>
          <w:rFonts w:cs="Arial"/>
          <w:color w:val="000000"/>
          <w:szCs w:val="22"/>
        </w:rPr>
        <w:t>.</w:t>
      </w:r>
      <w:r w:rsidRPr="004130F0">
        <w:rPr>
          <w:rFonts w:cs="Arial"/>
          <w:color w:val="000000"/>
          <w:szCs w:val="22"/>
        </w:rPr>
        <w:t xml:space="preserve"> Similarly, PATH assigns the behavioral characteristics for a partnership </w:t>
      </w:r>
      <m:oMath>
        <m:sSub>
          <m:sSubPr>
            <m:ctrlPr>
              <w:rPr>
                <w:rFonts w:ascii="Cambria Math" w:hAnsi="Cambria Math" w:cs="Arial"/>
                <w:color w:val="000000"/>
              </w:rPr>
            </m:ctrlPr>
          </m:sSubPr>
          <m:e>
            <m:r>
              <m:rPr>
                <m:sty m:val="p"/>
              </m:rPr>
              <w:rPr>
                <w:rFonts w:ascii="Cambria Math" w:hAnsi="Cambria Math" w:cs="Arial"/>
                <w:color w:val="000000"/>
              </w:rPr>
              <m:t>Y</m:t>
            </m:r>
          </m:e>
          <m:sub>
            <m:r>
              <m:rPr>
                <m:sty m:val="p"/>
              </m:rPr>
              <w:rPr>
                <w:rFonts w:ascii="Cambria Math" w:hAnsi="Cambria Math" w:cs="Arial"/>
                <w:color w:val="000000"/>
              </w:rPr>
              <m:t>ij</m:t>
            </m:r>
          </m:sub>
        </m:sSub>
      </m:oMath>
      <w:r w:rsidRPr="004130F0">
        <w:rPr>
          <w:rFonts w:cs="Arial"/>
          <w:color w:val="000000"/>
          <w:szCs w:val="22"/>
        </w:rPr>
        <w:t xml:space="preserve"> (e.g., the number of sex acts and the proportion of sex acts covered by condoms) conditional on the characteristics of the HIV-infected person</w:t>
      </w:r>
      <w:r>
        <w:rPr>
          <w:rFonts w:cs="Arial"/>
          <w:color w:val="000000"/>
          <w:szCs w:val="22"/>
        </w:rPr>
        <w:t>, (i.e., (</w:t>
      </w:r>
      <w:r w:rsidRPr="00164F36">
        <w:rPr>
          <w:rFonts w:cs="Arial"/>
          <w:color w:val="000000"/>
          <w:szCs w:val="22"/>
        </w:rPr>
        <w:fldChar w:fldCharType="begin"/>
      </w:r>
      <w:r w:rsidRPr="00164F36">
        <w:rPr>
          <w:rFonts w:cs="Arial"/>
          <w:color w:val="000000"/>
          <w:szCs w:val="22"/>
        </w:rPr>
        <w:instrText xml:space="preserve"> QUOTE </w:instrText>
      </w:r>
      <m:oMath>
        <m:r>
          <m:rPr>
            <m:sty m:val="p"/>
          </m:rPr>
          <w:rPr>
            <w:rFonts w:ascii="Cambria Math" w:hAnsi="Cambria Math" w:cs="Arial"/>
            <w:color w:val="000000"/>
          </w:rPr>
          <m:t xml:space="preserve"> (i.e., P(</m:t>
        </m:r>
        <m:sSub>
          <m:sSubPr>
            <m:ctrlPr>
              <w:rPr>
                <w:rFonts w:ascii="Cambria Math" w:hAnsi="Cambria Math" w:cs="Arial"/>
                <w:color w:val="000000"/>
              </w:rPr>
            </m:ctrlPr>
          </m:sSubPr>
          <m:e>
            <m:r>
              <m:rPr>
                <m:sty m:val="p"/>
              </m:rPr>
              <w:rPr>
                <w:rFonts w:ascii="Cambria Math" w:hAnsi="Cambria Math" w:cs="Arial"/>
                <w:color w:val="000000"/>
              </w:rPr>
              <m:t>Y</m:t>
            </m:r>
          </m:e>
          <m:sub>
            <m:r>
              <m:rPr>
                <m:sty m:val="p"/>
              </m:rPr>
              <w:rPr>
                <w:rFonts w:ascii="Cambria Math" w:hAnsi="Cambria Math" w:cs="Arial"/>
                <w:color w:val="000000"/>
              </w:rPr>
              <m:t>ij</m:t>
            </m:r>
          </m:sub>
        </m:sSub>
        <m:d>
          <m:dPr>
            <m:begChr m:val="|"/>
            <m:ctrlPr>
              <w:rPr>
                <w:rFonts w:ascii="Cambria Math" w:hAnsi="Cambria Math" w:cs="Arial"/>
                <w:color w:val="000000"/>
              </w:rPr>
            </m:ctrlPr>
          </m:dPr>
          <m:e>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i</m:t>
                </m:r>
              </m:sub>
            </m:sSub>
          </m:e>
        </m:d>
        <m:r>
          <m:rPr>
            <m:sty m:val="p"/>
          </m:rPr>
          <w:rPr>
            <w:rFonts w:ascii="Cambria Math" w:hAnsi="Cambria Math" w:cs="Arial"/>
            <w:color w:val="000000"/>
          </w:rPr>
          <m:t>)</m:t>
        </m:r>
      </m:oMath>
      <w:r w:rsidRPr="00164F36">
        <w:rPr>
          <w:rFonts w:cs="Arial"/>
          <w:color w:val="000000"/>
          <w:szCs w:val="22"/>
        </w:rPr>
        <w:instrText xml:space="preserve"> </w:instrText>
      </w:r>
      <w:r w:rsidRPr="00164F36">
        <w:rPr>
          <w:rFonts w:cs="Arial"/>
          <w:color w:val="000000"/>
          <w:szCs w:val="22"/>
        </w:rPr>
        <w:fldChar w:fldCharType="separate"/>
      </w:r>
      <w:r w:rsidRPr="00B127A3">
        <w:rPr>
          <w:rFonts w:cs="Arial"/>
          <w:color w:val="000000"/>
          <w:position w:val="-14"/>
          <w:szCs w:val="22"/>
        </w:rPr>
        <w:object w:dxaOrig="920" w:dyaOrig="380">
          <v:shape id="_x0000_i1059" type="#_x0000_t75" style="width:45.75pt;height:18.75pt" o:ole="">
            <v:imagedata r:id="rId29" o:title=""/>
          </v:shape>
          <o:OLEObject Type="Embed" ProgID="Equation.DSMT4" ShapeID="_x0000_i1059" DrawAspect="Content" ObjectID="_1563116643" r:id="rId30"/>
        </w:object>
      </w:r>
      <w:r w:rsidRPr="00164F36">
        <w:rPr>
          <w:rFonts w:cs="Arial"/>
          <w:color w:val="000000"/>
          <w:szCs w:val="22"/>
        </w:rPr>
        <w:fldChar w:fldCharType="end"/>
      </w:r>
      <w:r>
        <w:rPr>
          <w:rFonts w:cs="Arial"/>
          <w:color w:val="000000"/>
          <w:szCs w:val="22"/>
        </w:rPr>
        <w:t>)</w:t>
      </w:r>
      <w:r w:rsidRPr="004130F0">
        <w:rPr>
          <w:rFonts w:cs="Arial"/>
          <w:color w:val="000000"/>
          <w:szCs w:val="22"/>
        </w:rPr>
        <w:t>. These conditional probability</w:t>
      </w:r>
      <w:r w:rsidRPr="004130F0">
        <w:rPr>
          <w:rFonts w:eastAsia="Times New Roman" w:cs="Arial"/>
          <w:color w:val="000000"/>
          <w:szCs w:val="22"/>
        </w:rPr>
        <w:t xml:space="preserve"> distributions</w:t>
      </w:r>
      <m:oMath>
        <m:r>
          <m:rPr>
            <m:sty m:val="p"/>
          </m:rPr>
          <w:rPr>
            <w:rFonts w:ascii="Cambria Math" w:hAnsi="Cambria Math" w:cs="Arial"/>
            <w:color w:val="000000"/>
          </w:rPr>
          <m:t xml:space="preserve"> </m:t>
        </m:r>
      </m:oMath>
      <w:r w:rsidRPr="004130F0">
        <w:rPr>
          <w:rFonts w:cs="Arial"/>
          <w:color w:val="000000"/>
          <w:szCs w:val="22"/>
        </w:rPr>
        <w:t>can be directly estimated from the survey data because respondents report their immediate partner’s characteristics (</w:t>
      </w:r>
      <w:r>
        <w:rPr>
          <w:rFonts w:cs="Arial"/>
          <w:color w:val="000000"/>
          <w:szCs w:val="22"/>
        </w:rPr>
        <w:t>i.e., (</w:t>
      </w:r>
      <w:r w:rsidRPr="00164F36">
        <w:rPr>
          <w:rFonts w:cs="Arial"/>
          <w:color w:val="000000"/>
          <w:szCs w:val="22"/>
        </w:rPr>
        <w:fldChar w:fldCharType="begin"/>
      </w:r>
      <w:r w:rsidRPr="00164F36">
        <w:rPr>
          <w:rFonts w:cs="Arial"/>
          <w:color w:val="000000"/>
          <w:szCs w:val="22"/>
        </w:rPr>
        <w:instrText xml:space="preserve"> QUOTE </w:instrText>
      </w:r>
      <m:oMath>
        <m:r>
          <m:rPr>
            <m:sty m:val="p"/>
          </m:rPr>
          <w:rPr>
            <w:rFonts w:ascii="Cambria Math" w:hAnsi="Cambria Math" w:cs="Arial"/>
            <w:color w:val="000000"/>
          </w:rPr>
          <m:t xml:space="preserve"> (i.e., P(</m:t>
        </m:r>
        <m:sSub>
          <m:sSubPr>
            <m:ctrlPr>
              <w:rPr>
                <w:rFonts w:ascii="Cambria Math" w:hAnsi="Cambria Math" w:cs="Arial"/>
                <w:color w:val="000000"/>
              </w:rPr>
            </m:ctrlPr>
          </m:sSubPr>
          <m:e>
            <m:r>
              <m:rPr>
                <m:sty m:val="p"/>
              </m:rPr>
              <w:rPr>
                <w:rFonts w:ascii="Cambria Math" w:hAnsi="Cambria Math" w:cs="Arial"/>
                <w:color w:val="000000"/>
              </w:rPr>
              <m:t>Y</m:t>
            </m:r>
          </m:e>
          <m:sub>
            <m:r>
              <m:rPr>
                <m:sty m:val="p"/>
              </m:rPr>
              <w:rPr>
                <w:rFonts w:ascii="Cambria Math" w:hAnsi="Cambria Math" w:cs="Arial"/>
                <w:color w:val="000000"/>
              </w:rPr>
              <m:t>ij</m:t>
            </m:r>
          </m:sub>
        </m:sSub>
        <m:d>
          <m:dPr>
            <m:begChr m:val="|"/>
            <m:ctrlPr>
              <w:rPr>
                <w:rFonts w:ascii="Cambria Math" w:hAnsi="Cambria Math" w:cs="Arial"/>
                <w:color w:val="000000"/>
              </w:rPr>
            </m:ctrlPr>
          </m:dPr>
          <m:e>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i</m:t>
                </m:r>
              </m:sub>
            </m:sSub>
          </m:e>
        </m:d>
        <m:r>
          <m:rPr>
            <m:sty m:val="p"/>
          </m:rPr>
          <w:rPr>
            <w:rFonts w:ascii="Cambria Math" w:hAnsi="Cambria Math" w:cs="Arial"/>
            <w:color w:val="000000"/>
          </w:rPr>
          <m:t>)</m:t>
        </m:r>
      </m:oMath>
      <w:r w:rsidRPr="00164F36">
        <w:rPr>
          <w:rFonts w:cs="Arial"/>
          <w:color w:val="000000"/>
          <w:szCs w:val="22"/>
        </w:rPr>
        <w:instrText xml:space="preserve"> </w:instrText>
      </w:r>
      <w:r w:rsidRPr="00164F36">
        <w:rPr>
          <w:rFonts w:cs="Arial"/>
          <w:color w:val="000000"/>
          <w:szCs w:val="22"/>
        </w:rPr>
        <w:fldChar w:fldCharType="separate"/>
      </w:r>
      <w:r w:rsidRPr="00B127A3">
        <w:rPr>
          <w:rFonts w:cs="Arial"/>
          <w:color w:val="000000"/>
          <w:position w:val="-14"/>
          <w:szCs w:val="22"/>
        </w:rPr>
        <w:object w:dxaOrig="920" w:dyaOrig="380">
          <v:shape id="_x0000_i1063" type="#_x0000_t75" style="width:45.75pt;height:18.75pt" o:ole="">
            <v:imagedata r:id="rId31" o:title=""/>
          </v:shape>
          <o:OLEObject Type="Embed" ProgID="Equation.DSMT4" ShapeID="_x0000_i1063" DrawAspect="Content" ObjectID="_1563116644" r:id="rId32"/>
        </w:object>
      </w:r>
      <w:r w:rsidRPr="00164F36">
        <w:rPr>
          <w:rFonts w:cs="Arial"/>
          <w:color w:val="000000"/>
          <w:szCs w:val="22"/>
        </w:rPr>
        <w:fldChar w:fldCharType="end"/>
      </w:r>
      <w:r w:rsidRPr="00164F36">
        <w:rPr>
          <w:rFonts w:eastAsia="Times New Roman" w:cs="Arial"/>
          <w:color w:val="000000"/>
          <w:szCs w:val="22"/>
        </w:rPr>
        <w:fldChar w:fldCharType="begin"/>
      </w:r>
      <w:r w:rsidRPr="00164F36">
        <w:rPr>
          <w:rFonts w:eastAsia="Times New Roman" w:cs="Arial"/>
          <w:color w:val="000000"/>
          <w:szCs w:val="22"/>
        </w:rPr>
        <w:instrText xml:space="preserve"> QUOTE </w:instrText>
      </w:r>
      <m:oMath>
        <m:r>
          <m:rPr>
            <m:sty m:val="p"/>
          </m:rPr>
          <w:rPr>
            <w:rFonts w:ascii="Cambria Math" w:hAnsi="Cambria Math" w:cs="Arial"/>
            <w:color w:val="000000"/>
          </w:rPr>
          <m:t>i.e., P(</m:t>
        </m:r>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j</m:t>
            </m:r>
          </m:sub>
        </m:sSub>
        <m:d>
          <m:dPr>
            <m:begChr m:val="|"/>
            <m:ctrlPr>
              <w:rPr>
                <w:rFonts w:ascii="Cambria Math" w:hAnsi="Cambria Math" w:cs="Arial"/>
                <w:color w:val="000000"/>
              </w:rPr>
            </m:ctrlPr>
          </m:dPr>
          <m:e>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i</m:t>
                </m:r>
              </m:sub>
            </m:sSub>
          </m:e>
        </m:d>
      </m:oMath>
      <w:r w:rsidRPr="00164F36">
        <w:rPr>
          <w:rFonts w:eastAsia="Times New Roman" w:cs="Arial"/>
          <w:color w:val="000000"/>
          <w:szCs w:val="22"/>
        </w:rPr>
        <w:instrText xml:space="preserve"> </w:instrText>
      </w:r>
      <w:r w:rsidRPr="00164F36">
        <w:rPr>
          <w:rFonts w:eastAsia="Times New Roman" w:cs="Arial"/>
          <w:color w:val="000000"/>
          <w:szCs w:val="22"/>
        </w:rPr>
        <w:fldChar w:fldCharType="end"/>
      </w:r>
      <w:r w:rsidRPr="004130F0">
        <w:rPr>
          <w:rFonts w:eastAsia="Times New Roman" w:cs="Arial"/>
          <w:color w:val="000000"/>
          <w:szCs w:val="22"/>
        </w:rPr>
        <w:t xml:space="preserve">) </w:t>
      </w:r>
      <w:r w:rsidRPr="004130F0">
        <w:rPr>
          <w:rFonts w:cs="Arial"/>
          <w:color w:val="000000"/>
          <w:szCs w:val="22"/>
        </w:rPr>
        <w:t xml:space="preserve">and behavior during that partnership </w:t>
      </w:r>
      <w:r w:rsidRPr="004130F0">
        <w:rPr>
          <w:rFonts w:eastAsia="Times New Roman" w:cs="Arial"/>
          <w:color w:val="000000"/>
          <w:szCs w:val="22"/>
        </w:rPr>
        <w:t>(</w:t>
      </w:r>
      <w:r w:rsidRPr="00164F36">
        <w:rPr>
          <w:rFonts w:eastAsia="Times New Roman" w:cs="Arial"/>
          <w:color w:val="000000"/>
          <w:szCs w:val="22"/>
        </w:rPr>
        <w:fldChar w:fldCharType="begin"/>
      </w:r>
      <w:r w:rsidRPr="00164F36">
        <w:rPr>
          <w:rFonts w:eastAsia="Times New Roman" w:cs="Arial"/>
          <w:color w:val="000000"/>
          <w:szCs w:val="22"/>
        </w:rPr>
        <w:instrText xml:space="preserve"> QUOTE </w:instrText>
      </w:r>
      <m:oMath>
        <m:r>
          <m:rPr>
            <m:sty m:val="p"/>
          </m:rPr>
          <w:rPr>
            <w:rFonts w:ascii="Cambria Math" w:hAnsi="Cambria Math" w:cs="Arial"/>
            <w:color w:val="000000"/>
          </w:rPr>
          <m:t xml:space="preserve"> P(</m:t>
        </m:r>
        <m:sSub>
          <m:sSubPr>
            <m:ctrlPr>
              <w:rPr>
                <w:rFonts w:ascii="Cambria Math" w:hAnsi="Cambria Math" w:cs="Arial"/>
                <w:color w:val="000000"/>
              </w:rPr>
            </m:ctrlPr>
          </m:sSubPr>
          <m:e>
            <m:r>
              <m:rPr>
                <m:sty m:val="p"/>
              </m:rPr>
              <w:rPr>
                <w:rFonts w:ascii="Cambria Math" w:hAnsi="Cambria Math" w:cs="Arial"/>
                <w:color w:val="000000"/>
              </w:rPr>
              <m:t>Y</m:t>
            </m:r>
          </m:e>
          <m:sub>
            <m:r>
              <m:rPr>
                <m:sty m:val="p"/>
              </m:rPr>
              <w:rPr>
                <w:rFonts w:ascii="Cambria Math" w:hAnsi="Cambria Math" w:cs="Arial"/>
                <w:color w:val="000000"/>
              </w:rPr>
              <m:t>ij</m:t>
            </m:r>
          </m:sub>
        </m:sSub>
        <m:d>
          <m:dPr>
            <m:begChr m:val="|"/>
            <m:ctrlPr>
              <w:rPr>
                <w:rFonts w:ascii="Cambria Math" w:hAnsi="Cambria Math" w:cs="Arial"/>
                <w:color w:val="000000"/>
              </w:rPr>
            </m:ctrlPr>
          </m:dPr>
          <m:e>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i</m:t>
                </m:r>
              </m:sub>
            </m:sSub>
          </m:e>
        </m:d>
        <m:r>
          <m:rPr>
            <m:sty m:val="p"/>
          </m:rPr>
          <w:rPr>
            <w:rFonts w:ascii="Cambria Math" w:hAnsi="Cambria Math" w:cs="Arial"/>
            <w:color w:val="000000"/>
          </w:rPr>
          <m:t xml:space="preserve"> </m:t>
        </m:r>
      </m:oMath>
      <w:r w:rsidRPr="00164F36">
        <w:rPr>
          <w:rFonts w:eastAsia="Times New Roman" w:cs="Arial"/>
          <w:color w:val="000000"/>
          <w:szCs w:val="22"/>
        </w:rPr>
        <w:instrText xml:space="preserve"> </w:instrText>
      </w:r>
      <w:r w:rsidRPr="00164F36">
        <w:rPr>
          <w:rFonts w:eastAsia="Times New Roman" w:cs="Arial"/>
          <w:color w:val="000000"/>
          <w:szCs w:val="22"/>
        </w:rPr>
        <w:fldChar w:fldCharType="separate"/>
      </w:r>
      <w:r w:rsidRPr="00B127A3">
        <w:rPr>
          <w:rFonts w:eastAsia="Times New Roman" w:cs="Arial"/>
          <w:color w:val="000000"/>
          <w:position w:val="-14"/>
          <w:szCs w:val="22"/>
        </w:rPr>
        <w:object w:dxaOrig="920" w:dyaOrig="380">
          <v:shape id="_x0000_i1066" type="#_x0000_t75" style="width:45.75pt;height:18.75pt" o:ole="">
            <v:imagedata r:id="rId33" o:title=""/>
          </v:shape>
          <o:OLEObject Type="Embed" ProgID="Equation.DSMT4" ShapeID="_x0000_i1066" DrawAspect="Content" ObjectID="_1563116645" r:id="rId34"/>
        </w:object>
      </w:r>
      <w:r w:rsidRPr="00164F36">
        <w:rPr>
          <w:rFonts w:eastAsia="Times New Roman" w:cs="Arial"/>
          <w:color w:val="000000"/>
          <w:szCs w:val="22"/>
        </w:rPr>
        <w:fldChar w:fldCharType="end"/>
      </w:r>
      <w:r w:rsidRPr="004130F0">
        <w:rPr>
          <w:rFonts w:eastAsia="Times New Roman" w:cs="Arial"/>
          <w:color w:val="000000"/>
          <w:szCs w:val="22"/>
        </w:rPr>
        <w:t>).</w:t>
      </w:r>
      <w:r w:rsidRPr="00392D43">
        <w:rPr>
          <w:szCs w:val="22"/>
        </w:rPr>
        <w:t xml:space="preserve">By elementary probability theory we can write </w:t>
      </w:r>
      <w:r>
        <w:rPr>
          <w:szCs w:val="22"/>
        </w:rPr>
        <w:t xml:space="preserve">the </w:t>
      </w:r>
      <w:r w:rsidRPr="00392D43">
        <w:rPr>
          <w:szCs w:val="22"/>
        </w:rPr>
        <w:t>conditional probability mass function as</w:t>
      </w:r>
      <w:r w:rsidRPr="00392D43">
        <w:rPr>
          <w:position w:val="-32"/>
          <w:szCs w:val="22"/>
        </w:rPr>
        <w:object w:dxaOrig="2200" w:dyaOrig="800">
          <v:shape id="_x0000_i1067" type="#_x0000_t75" style="width:110.25pt;height:39.75pt" o:ole="">
            <v:imagedata r:id="rId35" o:title=""/>
          </v:shape>
          <o:OLEObject Type="Embed" ProgID="Equation.DSMT4" ShapeID="_x0000_i1067" DrawAspect="Content" ObjectID="_1563116646" r:id="rId36"/>
        </w:object>
      </w:r>
      <w:r w:rsidRPr="00392D43">
        <w:rPr>
          <w:szCs w:val="22"/>
        </w:rPr>
        <w:t xml:space="preserve"> </w:t>
      </w:r>
      <w:r w:rsidRPr="00392D43">
        <w:rPr>
          <w:szCs w:val="22"/>
        </w:rPr>
        <w:fldChar w:fldCharType="begin"/>
      </w:r>
      <w:r w:rsidRPr="00392D43">
        <w:rPr>
          <w:szCs w:val="22"/>
        </w:rPr>
        <w:instrText xml:space="preserve"> QUOTE </w:instrText>
      </w:r>
      <m:oMath>
        <m:r>
          <w:rPr>
            <w:rFonts w:ascii="Cambria Math" w:hAnsi="Cambria Math"/>
          </w:rPr>
          <m:t xml:space="preserve"> 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e>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f>
          <m:fPr>
            <m:ctrlPr>
              <w:rPr>
                <w:rFonts w:ascii="Cambria Math" w:hAnsi="Cambria Math"/>
                <w:i/>
              </w:rPr>
            </m:ctrlPr>
          </m:fPr>
          <m:num>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cs="Arial"/>
                    <w:color w:val="000000"/>
                  </w:rPr>
                  <m:t>∩</m:t>
                </m:r>
                <m:sSub>
                  <m:sSubPr>
                    <m:ctrlPr>
                      <w:rPr>
                        <w:rFonts w:ascii="Cambria Math" w:hAnsi="Cambria Math"/>
                        <w:i/>
                      </w:rPr>
                    </m:ctrlPr>
                  </m:sSubPr>
                  <m:e>
                    <m:r>
                      <w:rPr>
                        <w:rFonts w:ascii="Cambria Math" w:hAnsi="Cambria Math"/>
                      </w:rPr>
                      <m:t>X</m:t>
                    </m:r>
                  </m:e>
                  <m:sub>
                    <m:r>
                      <w:rPr>
                        <w:rFonts w:ascii="Cambria Math" w:hAnsi="Cambria Math"/>
                      </w:rPr>
                      <m:t>i</m:t>
                    </m:r>
                  </m:sub>
                </m:sSub>
              </m:e>
            </m:d>
          </m:num>
          <m:den>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den>
        </m:f>
      </m:oMath>
      <w:r w:rsidRPr="00392D43">
        <w:rPr>
          <w:szCs w:val="22"/>
        </w:rPr>
        <w:instrText xml:space="preserve"> </w:instrText>
      </w:r>
      <w:r w:rsidRPr="00392D43">
        <w:rPr>
          <w:szCs w:val="22"/>
        </w:rPr>
        <w:fldChar w:fldCharType="end"/>
      </w:r>
      <w:r w:rsidRPr="00392D43">
        <w:rPr>
          <w:szCs w:val="22"/>
        </w:rPr>
        <w:t xml:space="preserve">, or rewriting, </w:t>
      </w:r>
      <w:r w:rsidRPr="00392D43">
        <w:rPr>
          <w:position w:val="-16"/>
          <w:szCs w:val="22"/>
        </w:rPr>
        <w:object w:dxaOrig="3000" w:dyaOrig="440">
          <v:shape id="_x0000_i1069" type="#_x0000_t75" style="width:150pt;height:21.75pt" o:ole="">
            <v:imagedata r:id="rId37" o:title=""/>
          </v:shape>
          <o:OLEObject Type="Embed" ProgID="Equation.DSMT4" ShapeID="_x0000_i1069" DrawAspect="Content" ObjectID="_1563116647" r:id="rId38"/>
        </w:object>
      </w:r>
      <w:r>
        <w:rPr>
          <w:szCs w:val="22"/>
        </w:rPr>
        <w:t xml:space="preserve"> </w:t>
      </w:r>
      <w:r w:rsidRPr="00392D43">
        <w:rPr>
          <w:szCs w:val="22"/>
        </w:rPr>
        <w:fldChar w:fldCharType="begin"/>
      </w:r>
      <w:r w:rsidRPr="00392D43">
        <w:rPr>
          <w:szCs w:val="22"/>
        </w:rPr>
        <w:instrText xml:space="preserve"> QUOTE </w:instrTex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cs="Arial"/>
                <w:color w:val="000000"/>
              </w:rPr>
              <m:t>∩</m:t>
            </m:r>
            <m:sSub>
              <m:sSubPr>
                <m:ctrlPr>
                  <w:rPr>
                    <w:rFonts w:ascii="Cambria Math" w:hAnsi="Cambria Math"/>
                    <w:i/>
                  </w:rPr>
                </m:ctrlPr>
              </m:sSubPr>
              <m:e>
                <m:r>
                  <w:rPr>
                    <w:rFonts w:ascii="Cambria Math" w:hAnsi="Cambria Math"/>
                  </w:rPr>
                  <m:t>X</m:t>
                </m:r>
              </m:e>
              <m:sub>
                <m:r>
                  <w:rPr>
                    <w:rFonts w:ascii="Cambria Math" w:hAnsi="Cambria Math"/>
                  </w:rPr>
                  <m:t>j</m:t>
                </m:r>
              </m:sub>
            </m:sSub>
          </m:e>
        </m:d>
        <m:r>
          <w:rPr>
            <w:rFonts w:ascii="Cambria Math" w:hAnsi="Cambria Math"/>
          </w:rPr>
          <m:t xml:space="preserve"> =P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e>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oMath>
      <w:r w:rsidRPr="00392D43">
        <w:rPr>
          <w:szCs w:val="22"/>
        </w:rPr>
        <w:instrText xml:space="preserve"> </w:instrText>
      </w:r>
      <w:r w:rsidRPr="00392D43">
        <w:rPr>
          <w:szCs w:val="22"/>
        </w:rPr>
        <w:fldChar w:fldCharType="end"/>
      </w:r>
      <w:r w:rsidRPr="00392D43">
        <w:rPr>
          <w:szCs w:val="22"/>
        </w:rPr>
        <w:t>, where</w:t>
      </w:r>
      <w:r w:rsidRPr="00392D43">
        <w:rPr>
          <w:position w:val="-16"/>
          <w:szCs w:val="22"/>
        </w:rPr>
        <w:object w:dxaOrig="1180" w:dyaOrig="440">
          <v:shape id="_x0000_i1071" type="#_x0000_t75" style="width:59.25pt;height:21.75pt" o:ole="">
            <v:imagedata r:id="rId39" o:title=""/>
          </v:shape>
          <o:OLEObject Type="Embed" ProgID="Equation.DSMT4" ShapeID="_x0000_i1071" DrawAspect="Content" ObjectID="_1563116648" r:id="rId40"/>
        </w:object>
      </w:r>
      <w:r>
        <w:rPr>
          <w:szCs w:val="22"/>
        </w:rPr>
        <w:t xml:space="preserve"> </w:t>
      </w:r>
      <w:r w:rsidRPr="00392D43">
        <w:rPr>
          <w:szCs w:val="22"/>
        </w:rPr>
        <w:t xml:space="preserve"> </w:t>
      </w:r>
      <w:r w:rsidRPr="00392D43">
        <w:rPr>
          <w:szCs w:val="22"/>
        </w:rPr>
        <w:fldChar w:fldCharType="begin"/>
      </w:r>
      <w:r w:rsidRPr="00392D43">
        <w:rPr>
          <w:szCs w:val="22"/>
        </w:rPr>
        <w:instrText xml:space="preserve"> QUOTE </w:instrTex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cs="Arial"/>
                <w:color w:val="000000"/>
              </w:rPr>
              <m:t>∩</m:t>
            </m:r>
            <m:sSub>
              <m:sSubPr>
                <m:ctrlPr>
                  <w:rPr>
                    <w:rFonts w:ascii="Cambria Math" w:hAnsi="Cambria Math"/>
                    <w:i/>
                  </w:rPr>
                </m:ctrlPr>
              </m:sSubPr>
              <m:e>
                <m:r>
                  <w:rPr>
                    <w:rFonts w:ascii="Cambria Math" w:hAnsi="Cambria Math"/>
                  </w:rPr>
                  <m:t>X</m:t>
                </m:r>
              </m:e>
              <m:sub>
                <m:r>
                  <w:rPr>
                    <w:rFonts w:ascii="Cambria Math" w:hAnsi="Cambria Math"/>
                  </w:rPr>
                  <m:t>j</m:t>
                </m:r>
              </m:sub>
            </m:sSub>
          </m:e>
        </m:d>
      </m:oMath>
      <w:r w:rsidRPr="00392D43">
        <w:rPr>
          <w:szCs w:val="22"/>
        </w:rPr>
        <w:instrText xml:space="preserve"> </w:instrText>
      </w:r>
      <w:r w:rsidRPr="00392D43">
        <w:rPr>
          <w:szCs w:val="22"/>
        </w:rPr>
        <w:fldChar w:fldCharType="end"/>
      </w:r>
      <w:r w:rsidRPr="00392D43">
        <w:rPr>
          <w:szCs w:val="22"/>
        </w:rPr>
        <w:t xml:space="preserve"> is the joint probability mass function.</w:t>
      </w:r>
      <w:r w:rsidRPr="00392D43">
        <w:rPr>
          <w:rFonts w:eastAsia="Times New Roman" w:cs="Arial"/>
          <w:color w:val="000000"/>
          <w:szCs w:val="22"/>
        </w:rPr>
        <w:t xml:space="preserve"> By the</w:t>
      </w:r>
      <w:r w:rsidRPr="004130F0">
        <w:rPr>
          <w:rFonts w:eastAsia="Times New Roman" w:cs="Arial"/>
          <w:color w:val="000000"/>
          <w:szCs w:val="22"/>
        </w:rPr>
        <w:t xml:space="preserve"> law of large numbers, if we generate a large number of samples of</w:t>
      </w:r>
      <w:r>
        <w:rPr>
          <w:rFonts w:eastAsia="Times New Roman" w:cs="Arial"/>
          <w:color w:val="000000"/>
          <w:szCs w:val="22"/>
        </w:rPr>
        <w:t xml:space="preserve"> </w:t>
      </w:r>
      <w:r w:rsidRPr="00392D43">
        <w:rPr>
          <w:rFonts w:eastAsia="Times New Roman" w:cs="Arial"/>
          <w:color w:val="000000"/>
          <w:position w:val="-12"/>
          <w:szCs w:val="22"/>
        </w:rPr>
        <w:object w:dxaOrig="660" w:dyaOrig="360">
          <v:shape id="_x0000_i1073" type="#_x0000_t75" style="width:33pt;height:18pt" o:ole="">
            <v:imagedata r:id="rId41" o:title=""/>
          </v:shape>
          <o:OLEObject Type="Embed" ProgID="Equation.DSMT4" ShapeID="_x0000_i1073" DrawAspect="Content" ObjectID="_1563116649" r:id="rId42"/>
        </w:object>
      </w:r>
      <w:r>
        <w:rPr>
          <w:rFonts w:eastAsia="Times New Roman" w:cs="Arial"/>
          <w:color w:val="000000"/>
          <w:szCs w:val="22"/>
        </w:rPr>
        <w:t xml:space="preserve"> and</w:t>
      </w:r>
      <w:r w:rsidRPr="00B127A3">
        <w:rPr>
          <w:rFonts w:cs="Arial"/>
          <w:color w:val="000000"/>
          <w:position w:val="-14"/>
          <w:szCs w:val="22"/>
        </w:rPr>
        <w:object w:dxaOrig="920" w:dyaOrig="380">
          <v:shape id="_x0000_i1074" type="#_x0000_t75" style="width:45.75pt;height:18.75pt" o:ole="">
            <v:imagedata r:id="rId31" o:title=""/>
          </v:shape>
          <o:OLEObject Type="Embed" ProgID="Equation.DSMT4" ShapeID="_x0000_i1074" DrawAspect="Content" ObjectID="_1563116650" r:id="rId43"/>
        </w:object>
      </w:r>
      <w:r>
        <w:rPr>
          <w:rFonts w:cs="Arial"/>
          <w:color w:val="000000"/>
          <w:szCs w:val="22"/>
        </w:rPr>
        <w:t>and perform the necessary multiplication each time</w:t>
      </w:r>
      <w:r w:rsidRPr="004130F0">
        <w:rPr>
          <w:rFonts w:eastAsia="Times New Roman" w:cs="Arial"/>
          <w:color w:val="000000"/>
          <w:szCs w:val="22"/>
        </w:rPr>
        <w:t xml:space="preserve"> </w:t>
      </w:r>
      <w:r>
        <w:rPr>
          <w:rFonts w:eastAsia="Times New Roman" w:cs="Arial"/>
          <w:color w:val="000000"/>
          <w:szCs w:val="22"/>
        </w:rPr>
        <w:t>(</w:t>
      </w:r>
      <w:r w:rsidRPr="004130F0">
        <w:rPr>
          <w:rFonts w:cs="Arial"/>
          <w:color w:val="000000"/>
          <w:szCs w:val="22"/>
        </w:rPr>
        <w:t>we simulate 10,000 or more people)</w:t>
      </w:r>
      <w:r w:rsidRPr="004130F0">
        <w:rPr>
          <w:rFonts w:eastAsia="Times New Roman" w:cs="Arial"/>
          <w:color w:val="000000"/>
          <w:szCs w:val="22"/>
        </w:rPr>
        <w:t xml:space="preserve">, our estimates should converge to </w:t>
      </w:r>
      <w:r w:rsidRPr="00392D43">
        <w:rPr>
          <w:position w:val="-16"/>
          <w:szCs w:val="22"/>
        </w:rPr>
        <w:object w:dxaOrig="1180" w:dyaOrig="440">
          <v:shape id="_x0000_i1075" type="#_x0000_t75" style="width:59.25pt;height:21.75pt" o:ole="">
            <v:imagedata r:id="rId39" o:title=""/>
          </v:shape>
          <o:OLEObject Type="Embed" ProgID="Equation.DSMT4" ShapeID="_x0000_i1075" DrawAspect="Content" ObjectID="_1563116651" r:id="rId44"/>
        </w:object>
      </w:r>
      <w:r w:rsidRPr="00164F36">
        <w:rPr>
          <w:rFonts w:eastAsia="Times New Roman" w:cs="Arial"/>
          <w:color w:val="000000"/>
          <w:szCs w:val="22"/>
        </w:rPr>
        <w:fldChar w:fldCharType="begin"/>
      </w:r>
      <w:r w:rsidRPr="00164F36">
        <w:rPr>
          <w:rFonts w:eastAsia="Times New Roman" w:cs="Arial"/>
          <w:color w:val="000000"/>
          <w:szCs w:val="22"/>
        </w:rPr>
        <w:instrText xml:space="preserve"> QUOTE </w:instrText>
      </w:r>
      <m:oMath>
        <m:r>
          <m:rPr>
            <m:sty m:val="p"/>
          </m:rPr>
          <w:rPr>
            <w:rFonts w:ascii="Cambria Math" w:hAnsi="Cambria Math" w:cs="Arial"/>
            <w:color w:val="000000"/>
          </w:rPr>
          <m:t>P</m:t>
        </m:r>
        <m:d>
          <m:dPr>
            <m:ctrlPr>
              <w:rPr>
                <w:rFonts w:ascii="Cambria Math" w:hAnsi="Cambria Math" w:cs="Arial"/>
                <w:color w:val="000000"/>
              </w:rPr>
            </m:ctrlPr>
          </m:dPr>
          <m:e>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i</m:t>
                </m:r>
              </m:sub>
            </m:sSub>
            <m:r>
              <m:rPr>
                <m:sty m:val="p"/>
              </m:rPr>
              <w:rPr>
                <w:rFonts w:ascii="Cambria Math" w:hAnsi="Cambria Math" w:cs="Arial"/>
                <w:color w:val="000000"/>
              </w:rPr>
              <m:t>∩</m:t>
            </m:r>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j</m:t>
                </m:r>
              </m:sub>
            </m:sSub>
          </m:e>
        </m:d>
      </m:oMath>
      <w:r w:rsidRPr="00164F36">
        <w:rPr>
          <w:rFonts w:eastAsia="Times New Roman" w:cs="Arial"/>
          <w:color w:val="000000"/>
          <w:szCs w:val="22"/>
        </w:rPr>
        <w:instrText xml:space="preserve"> </w:instrText>
      </w:r>
      <w:r w:rsidRPr="00164F36">
        <w:rPr>
          <w:rFonts w:eastAsia="Times New Roman" w:cs="Arial"/>
          <w:color w:val="000000"/>
          <w:szCs w:val="22"/>
        </w:rPr>
        <w:fldChar w:fldCharType="end"/>
      </w:r>
      <w:r w:rsidRPr="004130F0">
        <w:rPr>
          <w:rFonts w:eastAsia="Times New Roman" w:cs="Arial"/>
          <w:color w:val="000000"/>
          <w:szCs w:val="22"/>
        </w:rPr>
        <w:t>.</w:t>
      </w:r>
    </w:p>
    <w:p w:rsidR="005F535C" w:rsidRPr="004130F0" w:rsidRDefault="005F535C" w:rsidP="005F535C">
      <w:pPr>
        <w:pStyle w:val="PlainText"/>
        <w:spacing w:line="480" w:lineRule="auto"/>
        <w:ind w:left="360"/>
        <w:rPr>
          <w:rFonts w:cs="Arial"/>
          <w:color w:val="000000"/>
          <w:szCs w:val="22"/>
        </w:rPr>
      </w:pPr>
      <w:r w:rsidRPr="004130F0">
        <w:rPr>
          <w:rFonts w:cs="Arial"/>
          <w:color w:val="000000"/>
          <w:szCs w:val="22"/>
          <w:u w:val="single"/>
        </w:rPr>
        <w:t>Traditional method</w:t>
      </w:r>
      <w:r w:rsidRPr="004130F0">
        <w:rPr>
          <w:rFonts w:cs="Arial"/>
          <w:color w:val="000000"/>
          <w:szCs w:val="22"/>
        </w:rPr>
        <w:t xml:space="preserve">: Partnerships between two persons </w:t>
      </w:r>
      <m:oMath>
        <m:r>
          <m:rPr>
            <m:sty m:val="p"/>
          </m:rPr>
          <w:rPr>
            <w:rFonts w:ascii="Cambria Math" w:hAnsi="Cambria Math" w:cs="Arial"/>
            <w:color w:val="000000"/>
          </w:rPr>
          <m:t xml:space="preserve">i </m:t>
        </m:r>
      </m:oMath>
      <w:r w:rsidRPr="004130F0">
        <w:rPr>
          <w:rFonts w:cs="Arial"/>
          <w:color w:val="000000"/>
          <w:szCs w:val="22"/>
        </w:rPr>
        <w:t xml:space="preserve">and </w:t>
      </w:r>
      <m:oMath>
        <m:r>
          <m:rPr>
            <m:sty m:val="p"/>
          </m:rPr>
          <w:rPr>
            <w:rFonts w:ascii="Cambria Math" w:hAnsi="Cambria Math" w:cs="Arial"/>
            <w:color w:val="000000"/>
          </w:rPr>
          <m:t>j</m:t>
        </m:r>
      </m:oMath>
      <w:r w:rsidRPr="004130F0">
        <w:rPr>
          <w:rFonts w:cs="Arial"/>
          <w:color w:val="000000"/>
          <w:szCs w:val="22"/>
        </w:rPr>
        <w:t xml:space="preserve"> are determined using the joint probabilities </w:t>
      </w:r>
      <w:r w:rsidRPr="00164F36">
        <w:rPr>
          <w:rFonts w:eastAsia="Times New Roman" w:cs="Arial"/>
          <w:color w:val="000000"/>
          <w:szCs w:val="22"/>
        </w:rPr>
        <w:fldChar w:fldCharType="begin"/>
      </w:r>
      <w:r w:rsidRPr="00164F36">
        <w:rPr>
          <w:rFonts w:eastAsia="Times New Roman" w:cs="Arial"/>
          <w:color w:val="000000"/>
          <w:szCs w:val="22"/>
        </w:rPr>
        <w:instrText xml:space="preserve"> QUOTE </w:instrText>
      </w:r>
      <m:oMath>
        <m:r>
          <m:rPr>
            <m:sty m:val="p"/>
          </m:rPr>
          <w:rPr>
            <w:rFonts w:ascii="Cambria Math" w:hAnsi="Cambria Math" w:cs="Arial"/>
            <w:color w:val="000000"/>
          </w:rPr>
          <m:t>P</m:t>
        </m:r>
        <m:d>
          <m:dPr>
            <m:ctrlPr>
              <w:rPr>
                <w:rFonts w:ascii="Cambria Math" w:hAnsi="Cambria Math" w:cs="Arial"/>
                <w:color w:val="000000"/>
              </w:rPr>
            </m:ctrlPr>
          </m:dPr>
          <m:e>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i</m:t>
                </m:r>
              </m:sub>
            </m:sSub>
            <m:r>
              <m:rPr>
                <m:sty m:val="p"/>
              </m:rPr>
              <w:rPr>
                <w:rFonts w:ascii="Cambria Math" w:hAnsi="Cambria Math" w:cs="Arial"/>
                <w:color w:val="000000"/>
              </w:rPr>
              <m:t>∩</m:t>
            </m:r>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j</m:t>
                </m:r>
              </m:sub>
            </m:sSub>
          </m:e>
        </m:d>
        <m:r>
          <m:rPr>
            <m:sty m:val="p"/>
          </m:rPr>
          <w:rPr>
            <w:rFonts w:ascii="Cambria Math" w:hAnsi="Cambria Math" w:cs="Arial"/>
            <w:color w:val="000000"/>
          </w:rPr>
          <m:t xml:space="preserve"> </m:t>
        </m:r>
      </m:oMath>
      <w:r w:rsidRPr="00164F36">
        <w:rPr>
          <w:rFonts w:eastAsia="Times New Roman" w:cs="Arial"/>
          <w:color w:val="000000"/>
          <w:szCs w:val="22"/>
        </w:rPr>
        <w:instrText xml:space="preserve"> </w:instrText>
      </w:r>
      <w:r w:rsidRPr="00164F36">
        <w:rPr>
          <w:rFonts w:eastAsia="Times New Roman" w:cs="Arial"/>
          <w:color w:val="000000"/>
          <w:szCs w:val="22"/>
        </w:rPr>
        <w:fldChar w:fldCharType="separate"/>
      </w:r>
      <w:r w:rsidRPr="00392D43">
        <w:rPr>
          <w:position w:val="-16"/>
          <w:szCs w:val="22"/>
        </w:rPr>
        <w:object w:dxaOrig="1180" w:dyaOrig="440">
          <v:shape id="_x0000_i1082" type="#_x0000_t75" style="width:59.25pt;height:21.75pt" o:ole="">
            <v:imagedata r:id="rId39" o:title=""/>
          </v:shape>
          <o:OLEObject Type="Embed" ProgID="Equation.DSMT4" ShapeID="_x0000_i1082" DrawAspect="Content" ObjectID="_1563116652" r:id="rId45"/>
        </w:object>
      </w:r>
      <w:r w:rsidRPr="00164F36">
        <w:rPr>
          <w:rFonts w:eastAsia="Times New Roman" w:cs="Arial"/>
          <w:color w:val="000000"/>
          <w:szCs w:val="22"/>
        </w:rPr>
        <w:fldChar w:fldCharType="end"/>
      </w:r>
      <w:r w:rsidRPr="004130F0">
        <w:rPr>
          <w:rFonts w:eastAsia="Times New Roman" w:cs="Arial"/>
          <w:color w:val="000000"/>
          <w:szCs w:val="22"/>
        </w:rPr>
        <w:t>, which is</w:t>
      </w:r>
      <w:r w:rsidRPr="004130F0">
        <w:rPr>
          <w:rFonts w:cs="Arial"/>
          <w:color w:val="000000"/>
          <w:szCs w:val="22"/>
        </w:rPr>
        <w:t xml:space="preserve"> the probability of a partnership forming between persons </w:t>
      </w:r>
      <m:oMath>
        <m:r>
          <m:rPr>
            <m:sty m:val="p"/>
          </m:rPr>
          <w:rPr>
            <w:rFonts w:ascii="Cambria Math" w:hAnsi="Cambria Math" w:cs="Arial"/>
            <w:color w:val="000000"/>
          </w:rPr>
          <m:t>i</m:t>
        </m:r>
      </m:oMath>
      <w:r w:rsidRPr="004130F0">
        <w:rPr>
          <w:rFonts w:eastAsia="Times New Roman" w:cs="Arial"/>
          <w:color w:val="000000"/>
          <w:szCs w:val="22"/>
        </w:rPr>
        <w:t xml:space="preserve"> and </w:t>
      </w:r>
      <m:oMath>
        <m:r>
          <m:rPr>
            <m:sty m:val="p"/>
          </m:rPr>
          <w:rPr>
            <w:rFonts w:ascii="Cambria Math" w:eastAsia="Times New Roman" w:hAnsi="Cambria Math" w:cs="Arial"/>
            <w:color w:val="000000"/>
          </w:rPr>
          <m:t>j</m:t>
        </m:r>
      </m:oMath>
      <w:r w:rsidRPr="004130F0">
        <w:rPr>
          <w:rFonts w:cs="Arial"/>
          <w:color w:val="000000"/>
          <w:szCs w:val="22"/>
        </w:rPr>
        <w:t xml:space="preserve"> if their characteristics are </w:t>
      </w:r>
      <w:r w:rsidRPr="00392D43">
        <w:rPr>
          <w:rFonts w:eastAsia="Times New Roman" w:cs="Arial"/>
          <w:color w:val="000000"/>
          <w:position w:val="-12"/>
          <w:szCs w:val="22"/>
        </w:rPr>
        <w:object w:dxaOrig="300" w:dyaOrig="360">
          <v:shape id="_x0000_i1087" type="#_x0000_t75" style="width:15pt;height:18pt" o:ole="">
            <v:imagedata r:id="rId46" o:title=""/>
          </v:shape>
          <o:OLEObject Type="Embed" ProgID="Equation.DSMT4" ShapeID="_x0000_i1087" DrawAspect="Content" ObjectID="_1563116653" r:id="rId47"/>
        </w:object>
      </w:r>
      <w:r>
        <w:rPr>
          <w:rFonts w:eastAsia="Times New Roman" w:cs="Arial"/>
          <w:color w:val="000000"/>
          <w:szCs w:val="22"/>
        </w:rPr>
        <w:t xml:space="preserve"> </w:t>
      </w:r>
      <w:r w:rsidRPr="004130F0">
        <w:rPr>
          <w:rFonts w:eastAsia="Times New Roman" w:cs="Arial"/>
          <w:color w:val="000000"/>
          <w:szCs w:val="22"/>
        </w:rPr>
        <w:t>a</w:t>
      </w:r>
      <w:r w:rsidRPr="004130F0">
        <w:rPr>
          <w:rFonts w:cs="Arial"/>
          <w:color w:val="000000"/>
          <w:szCs w:val="22"/>
        </w:rPr>
        <w:t xml:space="preserve">nd </w:t>
      </w:r>
      <w:r>
        <w:rPr>
          <w:rFonts w:cs="Arial"/>
          <w:color w:val="000000"/>
          <w:szCs w:val="22"/>
        </w:rPr>
        <w:t xml:space="preserve"> </w:t>
      </w:r>
      <w:r w:rsidRPr="00164F36">
        <w:rPr>
          <w:rFonts w:eastAsia="Times New Roman" w:cs="Arial"/>
          <w:color w:val="000000"/>
          <w:szCs w:val="22"/>
        </w:rPr>
        <w:fldChar w:fldCharType="begin"/>
      </w:r>
      <w:r w:rsidRPr="00164F36">
        <w:rPr>
          <w:rFonts w:eastAsia="Times New Roman" w:cs="Arial"/>
          <w:color w:val="000000"/>
          <w:szCs w:val="22"/>
        </w:rPr>
        <w:instrText xml:space="preserve"> QUOTE </w:instrText>
      </w:r>
      <m:oMath>
        <m:sSub>
          <m:sSubPr>
            <m:ctrlPr>
              <w:rPr>
                <w:rFonts w:ascii="Cambria Math" w:hAnsi="Cambria Math" w:cs="Arial"/>
                <w:color w:val="000000"/>
              </w:rPr>
            </m:ctrlPr>
          </m:sSubPr>
          <m:e>
            <m:r>
              <m:rPr>
                <m:sty m:val="p"/>
              </m:rPr>
              <w:rPr>
                <w:rFonts w:ascii="Cambria Math" w:hAnsi="Cambria Math" w:cs="Arial"/>
                <w:color w:val="000000"/>
              </w:rPr>
              <m:t>X</m:t>
            </m:r>
          </m:e>
          <m:sub>
            <m:r>
              <m:rPr>
                <m:sty m:val="p"/>
              </m:rPr>
              <w:rPr>
                <w:rFonts w:ascii="Cambria Math" w:hAnsi="Cambria Math" w:cs="Arial"/>
                <w:color w:val="000000"/>
              </w:rPr>
              <m:t>j</m:t>
            </m:r>
          </m:sub>
        </m:sSub>
      </m:oMath>
      <w:r w:rsidRPr="00164F36">
        <w:rPr>
          <w:rFonts w:eastAsia="Times New Roman" w:cs="Arial"/>
          <w:color w:val="000000"/>
          <w:szCs w:val="22"/>
        </w:rPr>
        <w:instrText xml:space="preserve"> </w:instrText>
      </w:r>
      <w:r w:rsidRPr="00164F36">
        <w:rPr>
          <w:rFonts w:eastAsia="Times New Roman" w:cs="Arial"/>
          <w:color w:val="000000"/>
          <w:szCs w:val="22"/>
        </w:rPr>
        <w:fldChar w:fldCharType="separate"/>
      </w:r>
      <w:r w:rsidRPr="00392D43">
        <w:rPr>
          <w:rFonts w:eastAsia="Times New Roman" w:cs="Arial"/>
          <w:color w:val="000000"/>
          <w:position w:val="-14"/>
          <w:szCs w:val="22"/>
        </w:rPr>
        <w:object w:dxaOrig="340" w:dyaOrig="380">
          <v:shape id="_x0000_i1089" type="#_x0000_t75" style="width:17.25pt;height:18.75pt" o:ole="">
            <v:imagedata r:id="rId48" o:title=""/>
          </v:shape>
          <o:OLEObject Type="Embed" ProgID="Equation.DSMT4" ShapeID="_x0000_i1089" DrawAspect="Content" ObjectID="_1563116654" r:id="rId49"/>
        </w:object>
      </w:r>
      <w:r w:rsidRPr="00164F36">
        <w:rPr>
          <w:rFonts w:eastAsia="Times New Roman" w:cs="Arial"/>
          <w:color w:val="000000"/>
          <w:szCs w:val="22"/>
        </w:rPr>
        <w:fldChar w:fldCharType="end"/>
      </w:r>
      <w:r w:rsidRPr="004130F0">
        <w:rPr>
          <w:rFonts w:eastAsia="Times New Roman" w:cs="Arial"/>
          <w:color w:val="000000"/>
          <w:szCs w:val="22"/>
        </w:rPr>
        <w:t xml:space="preserve">. Rarely are data available directly as joint probabilities, but they can be calculated using </w:t>
      </w:r>
      <w:r>
        <w:rPr>
          <w:rFonts w:eastAsia="Times New Roman" w:cs="Arial"/>
          <w:color w:val="000000"/>
          <w:szCs w:val="22"/>
        </w:rPr>
        <w:t xml:space="preserve">the </w:t>
      </w:r>
      <w:r w:rsidRPr="004130F0">
        <w:rPr>
          <w:rFonts w:eastAsia="Times New Roman" w:cs="Arial"/>
          <w:color w:val="000000"/>
          <w:szCs w:val="22"/>
        </w:rPr>
        <w:t xml:space="preserve">conditional probability mass function as </w:t>
      </w:r>
      <w:r>
        <w:rPr>
          <w:rFonts w:eastAsia="Times New Roman" w:cs="Arial"/>
          <w:color w:val="000000"/>
          <w:szCs w:val="22"/>
        </w:rPr>
        <w:t xml:space="preserve"> </w:t>
      </w:r>
      <w:r w:rsidRPr="00392D43">
        <w:rPr>
          <w:rFonts w:eastAsia="Times New Roman" w:cs="Arial"/>
          <w:color w:val="000000"/>
          <w:position w:val="-16"/>
          <w:szCs w:val="22"/>
        </w:rPr>
        <w:object w:dxaOrig="3000" w:dyaOrig="440">
          <v:shape id="_x0000_i1090" type="#_x0000_t75" style="width:150pt;height:21.75pt" o:ole="">
            <v:imagedata r:id="rId50" o:title=""/>
          </v:shape>
          <o:OLEObject Type="Embed" ProgID="Equation.DSMT4" ShapeID="_x0000_i1090" DrawAspect="Content" ObjectID="_1563116655" r:id="rId51"/>
        </w:object>
      </w:r>
      <w:r w:rsidRPr="00164F36">
        <w:rPr>
          <w:rFonts w:cs="Arial"/>
          <w:color w:val="000000"/>
          <w:szCs w:val="22"/>
        </w:rPr>
        <w:fldChar w:fldCharType="begin"/>
      </w:r>
      <w:r w:rsidRPr="00164F36">
        <w:rPr>
          <w:rFonts w:cs="Arial"/>
          <w:color w:val="000000"/>
          <w:szCs w:val="22"/>
        </w:rPr>
        <w:instrText xml:space="preserve"> QUOTE </w:instrText>
      </w:r>
      <m:oMath>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d>
        <m:r>
          <m:rPr>
            <m:sty m:val="p"/>
          </m:rPr>
          <w:rPr>
            <w:rFonts w:ascii="Cambria Math" w:hAnsi="Cambria Math"/>
          </w:rPr>
          <m:t>= P</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j</m:t>
                </m:r>
              </m:sub>
            </m:sSub>
          </m:e>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d>
        <m:r>
          <m:rPr>
            <m:sty m:val="p"/>
          </m:rPr>
          <w:rPr>
            <w:rFonts w:ascii="Cambria Math" w:hAnsi="Cambria Math"/>
          </w:rPr>
          <m:t>P</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d>
        <m:r>
          <m:rPr>
            <m:sty m:val="p"/>
          </m:rPr>
          <w:rPr>
            <w:rFonts w:ascii="Cambria Math" w:hAnsi="Cambria Math" w:cs="Arial"/>
            <w:color w:val="000000"/>
          </w:rPr>
          <m:t xml:space="preserve">.    </m:t>
        </m:r>
      </m:oMath>
      <w:r w:rsidRPr="00164F36">
        <w:rPr>
          <w:rFonts w:cs="Arial"/>
          <w:color w:val="000000"/>
          <w:szCs w:val="22"/>
        </w:rPr>
        <w:instrText xml:space="preserve"> </w:instrText>
      </w:r>
      <w:r w:rsidRPr="00164F36">
        <w:rPr>
          <w:rFonts w:cs="Arial"/>
          <w:color w:val="000000"/>
          <w:szCs w:val="22"/>
        </w:rPr>
        <w:fldChar w:fldCharType="end"/>
      </w:r>
    </w:p>
    <w:p w:rsidR="005F535C" w:rsidRPr="004130F0" w:rsidRDefault="005F535C" w:rsidP="005F535C">
      <w:pPr>
        <w:pStyle w:val="PlainText"/>
        <w:numPr>
          <w:ilvl w:val="0"/>
          <w:numId w:val="18"/>
        </w:numPr>
        <w:spacing w:line="480" w:lineRule="auto"/>
        <w:ind w:left="360"/>
        <w:rPr>
          <w:rFonts w:cs="Arial"/>
          <w:color w:val="000000"/>
          <w:szCs w:val="22"/>
        </w:rPr>
      </w:pPr>
      <w:r w:rsidRPr="004130F0">
        <w:rPr>
          <w:rFonts w:cs="Arial"/>
          <w:color w:val="000000"/>
          <w:szCs w:val="22"/>
        </w:rPr>
        <w:t>HIV-status of a new partner:</w:t>
      </w:r>
    </w:p>
    <w:p w:rsidR="005F535C" w:rsidRPr="004130F0" w:rsidRDefault="005F535C" w:rsidP="005F535C">
      <w:pPr>
        <w:pStyle w:val="PlainText"/>
        <w:spacing w:line="480" w:lineRule="auto"/>
        <w:ind w:left="360"/>
        <w:rPr>
          <w:rFonts w:cs="Arial"/>
          <w:color w:val="000000"/>
          <w:szCs w:val="22"/>
        </w:rPr>
      </w:pPr>
      <w:r w:rsidRPr="004130F0">
        <w:rPr>
          <w:rFonts w:cs="Arial"/>
          <w:color w:val="000000"/>
          <w:szCs w:val="22"/>
          <w:u w:val="single"/>
        </w:rPr>
        <w:t>PATH</w:t>
      </w:r>
      <w:r w:rsidRPr="004130F0">
        <w:rPr>
          <w:rFonts w:cs="Arial"/>
          <w:color w:val="000000"/>
          <w:szCs w:val="22"/>
        </w:rPr>
        <w:t xml:space="preserve">: When generating new partners for infected persons who are unaware of their infection or who are aware of their infection and who do not serosort, the PATH model assumes that the probability that the new partner was previously infected is equivalent to the prevalence of HIV in the partner’s specific risk group. </w:t>
      </w:r>
    </w:p>
    <w:p w:rsidR="005F535C" w:rsidRPr="004130F0" w:rsidRDefault="005F535C" w:rsidP="005F535C">
      <w:pPr>
        <w:pStyle w:val="PlainText"/>
        <w:spacing w:line="480" w:lineRule="auto"/>
        <w:ind w:left="360"/>
        <w:rPr>
          <w:rFonts w:cs="Arial"/>
          <w:color w:val="000000"/>
          <w:szCs w:val="22"/>
        </w:rPr>
      </w:pPr>
      <w:r w:rsidRPr="004130F0">
        <w:rPr>
          <w:rFonts w:cs="Arial"/>
          <w:color w:val="000000"/>
          <w:szCs w:val="22"/>
          <w:u w:val="single"/>
        </w:rPr>
        <w:t>Traditional Method</w:t>
      </w:r>
      <w:r w:rsidRPr="004130F0">
        <w:rPr>
          <w:rFonts w:cs="Arial"/>
          <w:color w:val="000000"/>
          <w:szCs w:val="22"/>
        </w:rPr>
        <w:t>: Individual-based models with explicit inclusion of the uninfected: If we were to construct a model with both HIV-infected and uninfected persons using the behavioral data, among all likely partnerships formed between persons who do not serosort, the probability that the partner of an infected person is also infected is based on the randomness of selecting an HIV-infected person from among potential partners of eligible age and risk groups to form that partnership. This is equivalent to the prevalence of HIV among all eligible persons, which is the assumption in PATH.</w:t>
      </w:r>
    </w:p>
    <w:p w:rsidR="005F535C" w:rsidRPr="004130F0" w:rsidRDefault="005F535C" w:rsidP="005F535C">
      <w:pPr>
        <w:pStyle w:val="PlainText"/>
        <w:numPr>
          <w:ilvl w:val="0"/>
          <w:numId w:val="18"/>
        </w:numPr>
        <w:spacing w:line="480" w:lineRule="auto"/>
        <w:ind w:left="360"/>
        <w:rPr>
          <w:rFonts w:cs="Arial"/>
          <w:color w:val="000000"/>
          <w:szCs w:val="22"/>
        </w:rPr>
      </w:pPr>
      <w:r w:rsidRPr="004130F0">
        <w:rPr>
          <w:rFonts w:cs="Arial"/>
          <w:color w:val="000000"/>
          <w:szCs w:val="22"/>
        </w:rPr>
        <w:t>Concurrency beyond immediate partner of HIV-infected person:</w:t>
      </w:r>
    </w:p>
    <w:p w:rsidR="005F535C" w:rsidRPr="004130F0" w:rsidRDefault="005F535C" w:rsidP="005F535C">
      <w:pPr>
        <w:pStyle w:val="PlainText"/>
        <w:spacing w:line="480" w:lineRule="auto"/>
        <w:ind w:left="360"/>
        <w:rPr>
          <w:rFonts w:cs="Arial"/>
          <w:color w:val="000000"/>
          <w:szCs w:val="22"/>
        </w:rPr>
      </w:pPr>
      <w:r w:rsidRPr="004130F0">
        <w:rPr>
          <w:rFonts w:cs="Arial"/>
          <w:color w:val="000000"/>
          <w:szCs w:val="22"/>
          <w:u w:val="single"/>
        </w:rPr>
        <w:lastRenderedPageBreak/>
        <w:t>PATH</w:t>
      </w:r>
      <w:r w:rsidRPr="004130F0">
        <w:rPr>
          <w:rFonts w:cs="Arial"/>
          <w:color w:val="000000"/>
          <w:szCs w:val="22"/>
        </w:rPr>
        <w:t>: PATH does not model extended chains of network configurations. It models HIV-infected persons and their immediate partners, but not subsequent partners of those immediate partners. However, an extended chain could be generated purely based on randomness when newly HIV-infected persons are added to the simulation and their concurrency is determined.</w:t>
      </w:r>
    </w:p>
    <w:p w:rsidR="005F535C" w:rsidRPr="004130F0" w:rsidRDefault="005F535C" w:rsidP="005F535C">
      <w:pPr>
        <w:pStyle w:val="PlainText"/>
        <w:spacing w:line="480" w:lineRule="auto"/>
        <w:ind w:left="360"/>
        <w:rPr>
          <w:rFonts w:cs="Arial"/>
          <w:color w:val="000000"/>
          <w:szCs w:val="22"/>
        </w:rPr>
      </w:pPr>
      <w:r w:rsidRPr="004130F0">
        <w:rPr>
          <w:rFonts w:cs="Arial"/>
          <w:color w:val="000000"/>
          <w:szCs w:val="22"/>
          <w:u w:val="single"/>
        </w:rPr>
        <w:t>Traditional method</w:t>
      </w:r>
      <w:r w:rsidRPr="004130F0">
        <w:rPr>
          <w:rFonts w:cs="Arial"/>
          <w:color w:val="000000"/>
          <w:szCs w:val="22"/>
        </w:rPr>
        <w:t>: The data available from surveys measure the concurrency behavior of only an immediate partner and not subsequent partners. Thus, the formation of an extended chain of partnership networks would be based on the random probability of such a scenario occurring, which is the assumption in PATH.</w:t>
      </w:r>
    </w:p>
    <w:p w:rsidR="005F535C" w:rsidRPr="004130F0" w:rsidRDefault="005F535C" w:rsidP="005F535C">
      <w:pPr>
        <w:pStyle w:val="PlainText"/>
        <w:ind w:left="360"/>
        <w:rPr>
          <w:rFonts w:cs="Arial"/>
          <w:i/>
          <w:color w:val="000000"/>
          <w:szCs w:val="22"/>
        </w:rPr>
      </w:pPr>
    </w:p>
    <w:p w:rsidR="005F535C" w:rsidRPr="00F03676" w:rsidRDefault="005F535C" w:rsidP="005F535C">
      <w:pPr>
        <w:spacing w:line="480" w:lineRule="auto"/>
        <w:rPr>
          <w:u w:val="single"/>
        </w:rPr>
      </w:pPr>
      <w:r w:rsidRPr="00F03676">
        <w:rPr>
          <w:u w:val="single"/>
        </w:rPr>
        <w:t>Selection of time-unit</w:t>
      </w:r>
    </w:p>
    <w:p w:rsidR="005F535C" w:rsidRPr="00A53BAD" w:rsidRDefault="005F535C" w:rsidP="005F535C">
      <w:pPr>
        <w:spacing w:line="480" w:lineRule="auto"/>
        <w:ind w:firstLine="720"/>
      </w:pPr>
      <w:r w:rsidRPr="004E61E2">
        <w:t xml:space="preserve">We selected a time unit, dt, so that:  </w:t>
      </w:r>
    </w:p>
    <w:p w:rsidR="005F535C" w:rsidRPr="004E61E2" w:rsidRDefault="005F535C" w:rsidP="005F535C">
      <w:pPr>
        <w:spacing w:line="480" w:lineRule="auto"/>
        <w:ind w:firstLine="720"/>
      </w:pPr>
      <w:r w:rsidRPr="004E61E2">
        <w:object w:dxaOrig="2600" w:dyaOrig="800">
          <v:shape id="_x0000_i1092" type="#_x0000_t75" style="width:130.5pt;height:40.5pt" o:ole="">
            <v:imagedata r:id="rId52" o:title=""/>
          </v:shape>
          <o:OLEObject Type="Embed" ProgID="Equation.DSMT4" ShapeID="_x0000_i1092" DrawAspect="Content" ObjectID="_1563116656" r:id="rId53"/>
        </w:object>
      </w:r>
      <w:r w:rsidRPr="004E61E2">
        <w:t xml:space="preserve">, where </w:t>
      </w:r>
      <w:r w:rsidRPr="004E61E2">
        <w:object w:dxaOrig="200" w:dyaOrig="220">
          <v:shape id="_x0000_i1093" type="#_x0000_t75" style="width:9.75pt;height:11.25pt" o:ole="">
            <v:imagedata r:id="rId54" o:title=""/>
          </v:shape>
          <o:OLEObject Type="Embed" ProgID="Equation.3" ShapeID="_x0000_i1093" DrawAspect="Content" ObjectID="_1563116657" r:id="rId55"/>
        </w:object>
      </w:r>
      <w:r w:rsidRPr="004E61E2">
        <w:t>is very small.</w:t>
      </w:r>
    </w:p>
    <w:p w:rsidR="005F535C" w:rsidRPr="004E61E2" w:rsidRDefault="005F535C" w:rsidP="005F535C">
      <w:pPr>
        <w:spacing w:line="480" w:lineRule="auto"/>
        <w:ind w:firstLine="720"/>
      </w:pPr>
      <w:r w:rsidRPr="004E61E2">
        <w:object w:dxaOrig="1320" w:dyaOrig="400">
          <v:shape id="_x0000_i1094" type="#_x0000_t75" style="width:66.75pt;height:19.5pt" o:ole="">
            <v:imagedata r:id="rId56" o:title=""/>
          </v:shape>
          <o:OLEObject Type="Embed" ProgID="Equation.3" ShapeID="_x0000_i1094" DrawAspect="Content" ObjectID="_1563116658" r:id="rId57"/>
        </w:object>
      </w:r>
      <w:r w:rsidRPr="004E61E2">
        <w:t xml:space="preserve"> represents the joint probability that transmission from i to j and j to k both occur within a time-period dt (note that transmission from j to k is dependent on transmission from i to j). </w:t>
      </w:r>
      <w:r w:rsidRPr="004E61E2">
        <w:object w:dxaOrig="1320" w:dyaOrig="380">
          <v:shape id="_x0000_i1095" type="#_x0000_t75" style="width:66.75pt;height:18pt" o:ole="">
            <v:imagedata r:id="rId58" o:title=""/>
          </v:shape>
          <o:OLEObject Type="Embed" ProgID="Equation.3" ShapeID="_x0000_i1095" DrawAspect="Content" ObjectID="_1563116659" r:id="rId59"/>
        </w:object>
      </w:r>
      <w:r w:rsidRPr="004E61E2">
        <w:t xml:space="preserve"> represents the probability that transmission from i to j and k to j both occur within a period of dt (note transmissions from i to j and k to j are independent events). Applying elementary probability theory:</w:t>
      </w:r>
      <m:oMath>
        <m:r>
          <m:rPr>
            <m:sty m:val="p"/>
          </m:rPr>
          <w:rPr>
            <w:rFonts w:ascii="Cambria Math" w:hAnsi="Cambria Math"/>
          </w:rPr>
          <m:t xml:space="preserve"> </m:t>
        </m:r>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A</m:t>
            </m:r>
          </m:e>
          <m:e>
            <m:r>
              <w:rPr>
                <w:rFonts w:ascii="Cambria Math" w:hAnsi="Cambria Math"/>
              </w:rPr>
              <m:t>B</m:t>
            </m:r>
          </m:e>
        </m:d>
        <m:r>
          <w:rPr>
            <w:rFonts w:ascii="Cambria Math" w:hAnsi="Cambria Math"/>
          </w:rPr>
          <m:t>P</m:t>
        </m:r>
        <m:d>
          <m:dPr>
            <m:ctrlPr>
              <w:rPr>
                <w:rFonts w:ascii="Cambria Math" w:hAnsi="Cambria Math"/>
              </w:rPr>
            </m:ctrlPr>
          </m:dPr>
          <m:e>
            <m:r>
              <w:rPr>
                <w:rFonts w:ascii="Cambria Math" w:hAnsi="Cambria Math"/>
              </w:rPr>
              <m:t>B</m:t>
            </m:r>
          </m:e>
        </m:d>
        <m:r>
          <m:rPr>
            <m:sty m:val="p"/>
          </m:rPr>
          <w:rPr>
            <w:rFonts w:ascii="Cambria Math" w:hAnsi="Cambria Math"/>
          </w:rPr>
          <m:t>,</m:t>
        </m:r>
        <m:r>
          <w:rPr>
            <w:rFonts w:ascii="Cambria Math" w:hAnsi="Cambria Math" w:cs="Arial"/>
            <w:sz w:val="24"/>
            <w:szCs w:val="24"/>
          </w:rPr>
          <m:t xml:space="preserve"> </m:t>
        </m:r>
      </m:oMath>
      <w:r w:rsidRPr="004E61E2">
        <w:t xml:space="preserve">if </w:t>
      </w:r>
      <m:oMath>
        <m:r>
          <w:rPr>
            <w:rFonts w:ascii="Cambria Math" w:hAnsi="Cambria Math"/>
          </w:rPr>
          <m:t>A</m:t>
        </m:r>
        <m:r>
          <m:rPr>
            <m:sty m:val="p"/>
          </m:rPr>
          <w:rPr>
            <w:rFonts w:ascii="Cambria Math" w:hAnsi="Cambria Math"/>
          </w:rPr>
          <m:t xml:space="preserve"> </m:t>
        </m:r>
      </m:oMath>
      <w:r w:rsidRPr="004E61E2">
        <w:t xml:space="preserve">and B are dependent and </w:t>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B</m:t>
            </m:r>
          </m:e>
        </m:d>
      </m:oMath>
      <w:r w:rsidRPr="004E61E2">
        <w:t xml:space="preserve"> if A and B are independent:</w:t>
      </w:r>
    </w:p>
    <w:p w:rsidR="005F535C" w:rsidRPr="004E61E2" w:rsidRDefault="005F535C" w:rsidP="005F535C">
      <w:pPr>
        <w:spacing w:line="480" w:lineRule="auto"/>
        <w:ind w:firstLine="720"/>
      </w:pPr>
      <w:r w:rsidRPr="00F01AF5">
        <w:rPr>
          <w:position w:val="-120"/>
        </w:rPr>
        <w:object w:dxaOrig="7960" w:dyaOrig="2520">
          <v:shape id="_x0000_i1102" type="#_x0000_t75" style="width:398.25pt;height:126pt" o:ole="">
            <v:imagedata r:id="rId60" o:title=""/>
          </v:shape>
          <o:OLEObject Type="Embed" ProgID="Equation.DSMT4" ShapeID="_x0000_i1102" DrawAspect="Content" ObjectID="_1563116660" r:id="rId61"/>
        </w:object>
      </w:r>
    </w:p>
    <w:p w:rsidR="005F535C" w:rsidRPr="004E61E2" w:rsidRDefault="005F535C" w:rsidP="005F535C">
      <w:pPr>
        <w:spacing w:line="480" w:lineRule="auto"/>
        <w:ind w:firstLine="720"/>
      </w:pPr>
      <w:r w:rsidRPr="004E61E2">
        <w:t xml:space="preserve">where, </w:t>
      </w:r>
      <w:r w:rsidRPr="004E61E2">
        <w:object w:dxaOrig="680" w:dyaOrig="400">
          <v:shape id="_x0000_i1103" type="#_x0000_t75" style="width:33.75pt;height:20.25pt" o:ole="">
            <v:imagedata r:id="rId62" o:title=""/>
          </v:shape>
          <o:OLEObject Type="Embed" ProgID="Equation.3" ShapeID="_x0000_i1103" DrawAspect="Content" ObjectID="_1563116661" r:id="rId63"/>
        </w:object>
      </w:r>
      <w:r w:rsidRPr="004E61E2">
        <w:t xml:space="preserve"> equals the probability that </w:t>
      </w:r>
      <w:r w:rsidRPr="004E61E2">
        <w:object w:dxaOrig="200" w:dyaOrig="300">
          <v:shape id="_x0000_i1104" type="#_x0000_t75" style="width:9.75pt;height:15.75pt" o:ole="">
            <v:imagedata r:id="rId64" o:title=""/>
          </v:shape>
          <o:OLEObject Type="Embed" ProgID="Equation.3" ShapeID="_x0000_i1104" DrawAspect="Content" ObjectID="_1563116662" r:id="rId65"/>
        </w:object>
      </w:r>
      <w:r w:rsidRPr="004E61E2">
        <w:t xml:space="preserve"> has concurrent partners</w:t>
      </w:r>
      <w:r>
        <w:t xml:space="preserve">, </w:t>
      </w:r>
      <w:r w:rsidRPr="004E61E2">
        <w:object w:dxaOrig="720" w:dyaOrig="400">
          <v:shape id="_x0000_i1105" type="#_x0000_t75" style="width:36pt;height:20.25pt" o:ole="">
            <v:imagedata r:id="rId66" o:title=""/>
          </v:shape>
          <o:OLEObject Type="Embed" ProgID="Equation.DSMT4" ShapeID="_x0000_i1105" DrawAspect="Content" ObjectID="_1563116663" r:id="rId67"/>
        </w:object>
      </w:r>
      <w:r w:rsidRPr="004E61E2">
        <w:t xml:space="preserve">is </w:t>
      </w:r>
      <w:r>
        <w:t xml:space="preserve">the probability of </w:t>
      </w:r>
      <w:r w:rsidRPr="004E61E2">
        <w:t>its complement, and the remaining terms can be calculated using the Bernoulli process model of sexual behavior (including the number of acts per partner, the proportion of acts covered by condoms, the type of sex</w:t>
      </w:r>
      <w:r>
        <w:t>,</w:t>
      </w:r>
      <w:r w:rsidRPr="004E61E2">
        <w:t xml:space="preserve"> and corresponding per act transmission probabilities). Using the upper bounds of these behavioral attributes, we estimated that if the time unit, dt, were a month, the upper bound for the joint probability of transmission would be 0.21% in the first equation and 0.03% in the second equation. The first equation denotes the error in delaying transmission by a month. The second equation denotes the probability of duplicating transmissions, thus over-estimating new infections which accumulate over time.</w:t>
      </w:r>
    </w:p>
    <w:p w:rsidR="005F535C" w:rsidRPr="004E61E2" w:rsidRDefault="005F535C" w:rsidP="005F535C">
      <w:pPr>
        <w:spacing w:line="480" w:lineRule="auto"/>
        <w:ind w:firstLine="720"/>
      </w:pPr>
      <w:r w:rsidRPr="004E61E2">
        <w:t>To quantify the over-estimation in new infections over a thirty-year period, we calculated new infections under two scenarios, one without the error and the other with the error, and we estimated the percent change in new infections at the end of the thirty-year period. In the first scenario, considering a U.S. HIV transmission rate of 4.6% per year</w:t>
      </w:r>
      <w:r>
        <w:t xml:space="preserve"> (estimated as annual incidence divided by prevalence of HIV, </w:t>
      </w:r>
      <w:r>
        <w:fldChar w:fldCharType="begin"/>
      </w:r>
      <w:r>
        <w:instrText>ADDIN RW.CITE{{352 Prejean,J. 2011; 289 [NoInformation] [No Information]}}</w:instrText>
      </w:r>
      <w:r>
        <w:fldChar w:fldCharType="separate"/>
      </w:r>
      <w:r w:rsidRPr="00A04044">
        <w:t>(5,48)</w:t>
      </w:r>
      <w:r>
        <w:fldChar w:fldCharType="end"/>
      </w:r>
      <w:r>
        <w:t>)</w:t>
      </w:r>
      <w:r w:rsidRPr="004E61E2">
        <w:t>, we determined new infections in month t as (Number HIV-infected persons in month t-1)X (1+ 0.046/12), repeating this every month for 30 years. In the second scenario we determined new infections in month t as (Number HIV-infected persons in month t-1)X (1+ 0.046/12 + 0.03% X HIV-prevalence among MSM), using HIV-prevalence as a proxy for the probability that the concurrent partner will also be HIV-infected. At the end of the thirty</w:t>
      </w:r>
      <w:r>
        <w:t>-</w:t>
      </w:r>
      <w:r w:rsidRPr="004E61E2">
        <w:t xml:space="preserve">year period, the percent difference </w:t>
      </w:r>
      <w:r w:rsidRPr="004E61E2">
        <w:lastRenderedPageBreak/>
        <w:t>in new infections between the two scenarios was 1.3%, i.e., our method over-estimated new infections by about 1.3% over a thirty</w:t>
      </w:r>
      <w:r>
        <w:t>-</w:t>
      </w:r>
      <w:r w:rsidRPr="004E61E2">
        <w:t xml:space="preserve">year period. On the other hand, a weekly time unit, with its even smaller margin of error, is more suitable for the acute phase (approximately the first 3 months of HIV infection), when the per-act transmission probability is high and also changes from week to week. However, using a weekly time unit would require much longer computation time. Therefore, we used a monthly time unit in the non-acute phase and a weekly time unit in the acute phase to accommodate the weekly changes in viral load, which are substantially </w:t>
      </w:r>
      <w:r>
        <w:t xml:space="preserve">larger </w:t>
      </w:r>
      <w:r w:rsidRPr="004E61E2">
        <w:t xml:space="preserve">than that in the non-acute phase. </w:t>
      </w:r>
    </w:p>
    <w:p w:rsidR="005F535C" w:rsidRPr="005F57BB" w:rsidRDefault="005F535C" w:rsidP="005F535C">
      <w:pPr>
        <w:spacing w:line="480" w:lineRule="auto"/>
        <w:rPr>
          <w:b/>
        </w:rPr>
      </w:pPr>
      <w:r w:rsidRPr="005F57BB">
        <w:rPr>
          <w:b/>
        </w:rPr>
        <w:t>Model setup and projections for years 2006 and future</w:t>
      </w:r>
    </w:p>
    <w:p w:rsidR="005F535C" w:rsidRDefault="005F535C" w:rsidP="005F535C">
      <w:pPr>
        <w:spacing w:line="480" w:lineRule="auto"/>
      </w:pPr>
      <w:r>
        <w:t xml:space="preserve">We initially set up the model to represent a cross-sectional view of persons living with HIV in the US in year 2006. That is, the model was set to initiate with 10,000 persons weighted to represent all persons living with HIV in the US in 2006 by sex and age, sexual orientation/transmission risk group (heterosexual male, heterosexual female, and MSM), stage of disease (acute versus non-acute), and diagnostic, care, and treatment status (whether the person had diagnosed infection, was in care, was taking an ART regimen, and had suppressed viral load, </w:t>
      </w:r>
      <w:r w:rsidRPr="00C1297D">
        <w:t>Tables</w:t>
      </w:r>
      <w:r>
        <w:t xml:space="preserve"> S1 and S2).</w:t>
      </w:r>
      <w:r w:rsidRPr="00CA2751">
        <w:t xml:space="preserve"> </w:t>
      </w:r>
      <w:r>
        <w:fldChar w:fldCharType="begin"/>
      </w:r>
      <w:r>
        <w:instrText>ADDIN RW.CITE{{349 Campsmith,M.L. 2010; 352 Prejean,J. 2011; 46 Gardner,E.M. 2011; 263 CentersforDisease,Control 2011; 289 [NoInformation] [No Information]}}</w:instrText>
      </w:r>
      <w:r>
        <w:fldChar w:fldCharType="separate"/>
      </w:r>
      <w:r w:rsidRPr="00A04044">
        <w:t>(4-6,48,49)</w:t>
      </w:r>
      <w:r>
        <w:fldChar w:fldCharType="end"/>
      </w:r>
      <w:r>
        <w:t xml:space="preserve"> Because the age distribution of new infections would likely be different from the age distribution of established infections, we identified the proportion of persons in the model living with HIV in 2006 who were newly infected from years 2004 to 2006, and assigned them the published age distributions of new cases from 2006 to 2008.</w:t>
      </w:r>
      <w:r>
        <w:fldChar w:fldCharType="begin"/>
      </w:r>
      <w:r>
        <w:instrText>ADDIN RW.CITE{{352 Prejean,J. 2011; 289 [NoInformation] [No Information]}}</w:instrText>
      </w:r>
      <w:r>
        <w:fldChar w:fldCharType="separate"/>
      </w:r>
      <w:r w:rsidRPr="00A04044">
        <w:t>(5,48)</w:t>
      </w:r>
      <w:r>
        <w:fldChar w:fldCharType="end"/>
      </w:r>
      <w:r>
        <w:t xml:space="preserve"> We used new infections from 2006 to 2008,</w:t>
      </w:r>
      <w:r>
        <w:fldChar w:fldCharType="begin"/>
      </w:r>
      <w:r>
        <w:instrText>ADDIN RW.CITE{{352 Prejean,J. 2011; 289 [NoInformation] [No Information]}}</w:instrText>
      </w:r>
      <w:r>
        <w:fldChar w:fldCharType="separate"/>
      </w:r>
      <w:r w:rsidRPr="00A04044">
        <w:t>(5,48)</w:t>
      </w:r>
      <w:r>
        <w:fldChar w:fldCharType="end"/>
      </w:r>
      <w:r>
        <w:t xml:space="preserve"> as approximate values for new infections from 2004 to 2006 because we did not have estimates of new infections in 2004 and 2005.</w:t>
      </w:r>
    </w:p>
    <w:p w:rsidR="005F535C" w:rsidRDefault="005F535C" w:rsidP="005F535C">
      <w:pPr>
        <w:spacing w:line="480" w:lineRule="auto"/>
      </w:pPr>
      <w:r>
        <w:t xml:space="preserve">At the start of the simulation, we assumed that, for those already diagnosed of their infection, their CD4 count at diagnosis matched the reported estimates in the US (Table S1), </w:t>
      </w:r>
      <w:r>
        <w:fldChar w:fldCharType="begin"/>
      </w:r>
      <w:r>
        <w:instrText>ADDIN RW.CITE{{290 Hall,H.I. 2006; 166 Buchacz,K. 2012; 489 Althoff,K.N. 2010}}</w:instrText>
      </w:r>
      <w:r>
        <w:fldChar w:fldCharType="separate"/>
      </w:r>
      <w:r w:rsidRPr="00A04044">
        <w:t>(50-52)</w:t>
      </w:r>
      <w:r>
        <w:fldChar w:fldCharType="end"/>
      </w:r>
      <w:r>
        <w:t xml:space="preserve"> 77% of persons in care had linked to care within 3 months of diagnosis, </w:t>
      </w:r>
      <w:r>
        <w:fldChar w:fldCharType="begin"/>
      </w:r>
      <w:r>
        <w:instrText>ADDIN RW.CITE{{354 [NoInformation] 2011}}</w:instrText>
      </w:r>
      <w:r>
        <w:fldChar w:fldCharType="separate"/>
      </w:r>
      <w:r w:rsidRPr="00A04044">
        <w:t>(53)</w:t>
      </w:r>
      <w:r>
        <w:fldChar w:fldCharType="end"/>
      </w:r>
      <w:r>
        <w:t xml:space="preserve"> and persons on ART had an equal probability of being on one of the 3 suppressive ART regimens or salvage therapy. </w:t>
      </w:r>
    </w:p>
    <w:p w:rsidR="005F535C" w:rsidRDefault="005F535C" w:rsidP="005F535C">
      <w:pPr>
        <w:spacing w:line="480" w:lineRule="auto"/>
      </w:pPr>
      <w:r w:rsidRPr="002069CF">
        <w:rPr>
          <w:u w:val="single"/>
        </w:rPr>
        <w:lastRenderedPageBreak/>
        <w:t>Age mixing</w:t>
      </w:r>
      <w:r w:rsidRPr="00CE3A3C">
        <w:t xml:space="preserve"> </w:t>
      </w:r>
    </w:p>
    <w:p w:rsidR="005F535C" w:rsidRDefault="005F535C" w:rsidP="005F535C">
      <w:pPr>
        <w:spacing w:line="480" w:lineRule="auto"/>
      </w:pPr>
      <w:r w:rsidRPr="00CE3A3C">
        <w:t>The</w:t>
      </w:r>
      <w:r>
        <w:t xml:space="preserve"> age of the initial HIV-infected population was distributed to match the reported age distribution of all people living with HIV in the US in 2006. The age of partners of newly infected persons was determined only when they were infected and added to the simulation. Ages were assigned such that the age distribution of new infections matched that reported in the US.</w:t>
      </w:r>
      <w:r w:rsidRPr="004130F0">
        <w:rPr>
          <w:rFonts w:cs="Calibri"/>
          <w:color w:val="000000"/>
          <w:sz w:val="20"/>
          <w:szCs w:val="20"/>
        </w:rPr>
        <w:t xml:space="preserve"> </w:t>
      </w:r>
      <w:r>
        <w:fldChar w:fldCharType="begin"/>
      </w:r>
      <w:r>
        <w:instrText>ADDIN RW.CITE{{352 Prejean,J. 2011; 289 [NoInformation] [No Information]}}</w:instrText>
      </w:r>
      <w:r>
        <w:fldChar w:fldCharType="separate"/>
      </w:r>
      <w:r w:rsidRPr="00A04044">
        <w:t>(5,48)</w:t>
      </w:r>
      <w:r>
        <w:fldChar w:fldCharType="end"/>
      </w:r>
      <w:r>
        <w:t xml:space="preserve"> </w:t>
      </w:r>
    </w:p>
    <w:p w:rsidR="005F535C" w:rsidRPr="005F57BB" w:rsidRDefault="005F535C" w:rsidP="005F535C">
      <w:pPr>
        <w:spacing w:line="480" w:lineRule="auto"/>
        <w:rPr>
          <w:u w:val="single"/>
        </w:rPr>
      </w:pPr>
      <w:r>
        <w:rPr>
          <w:u w:val="single"/>
        </w:rPr>
        <w:t xml:space="preserve">Diagnosis, </w:t>
      </w:r>
      <w:r w:rsidRPr="005F57BB">
        <w:rPr>
          <w:u w:val="single"/>
        </w:rPr>
        <w:t>initiation</w:t>
      </w:r>
      <w:r w:rsidRPr="00B52852">
        <w:rPr>
          <w:u w:val="single"/>
        </w:rPr>
        <w:t xml:space="preserve"> </w:t>
      </w:r>
      <w:r w:rsidRPr="005F57BB">
        <w:rPr>
          <w:u w:val="single"/>
        </w:rPr>
        <w:t>of care and treatment</w:t>
      </w:r>
      <w:r>
        <w:rPr>
          <w:u w:val="single"/>
        </w:rPr>
        <w:t>, and dropping out of and re-entry into care and treatment</w:t>
      </w:r>
    </w:p>
    <w:p w:rsidR="005F535C" w:rsidRDefault="005F535C" w:rsidP="005F535C">
      <w:pPr>
        <w:spacing w:line="480" w:lineRule="auto"/>
        <w:rPr>
          <w:b/>
        </w:rPr>
      </w:pPr>
      <w:r>
        <w:t>During the simulation for years 2006 to 2011, the number of persons with diagnosed infection, linked to care, retained in care, and initiating ART was controlled to match the observed proportions of persons aware of their infection, in-care, and taking an ART regimen (</w:t>
      </w:r>
      <w:r w:rsidRPr="00C1297D">
        <w:t>Table</w:t>
      </w:r>
      <w:r>
        <w:t xml:space="preserve"> S2). That is, we simulated diagnosis, linkage to care and treatment, and dropping out of care and re-entry into care and treatment as follows: Each month, the simulation determined the number of persons with diagnosed infection as equal to the target proportion aware of their infection times the number of persons living with HIV minus the number of persons already aware of their infection. Among those who newly became aware, the target proportions were entered into care immediately and started on an ART regimen. Next, the simulation determined whether the number of persons on an ART regimen was in excess or below the required proportion on an ART regimen. If it was below, the simulation determined the number of persons to move from those not in care into care and treatment. If it was in excess, additional persons were dropped out of care/treatment (randomly picked from those in care not taking an ART regimen and those in care taking a regimen) determined by the target proportion aware and not in care times the number of persons living with HIV minus the number of persons aware and not in care. For persons who dropped out, the simulation kept track of their status at the time of drop-out (i.e., either taking or not taking an ART regimen) and assigned a time for their re-entry such that, when that time arrived, the person would be re-initiated into care or treatment based on their status at drop-out. The time for re-</w:t>
      </w:r>
      <w:r>
        <w:lastRenderedPageBreak/>
        <w:t xml:space="preserve">entry was assumed to be within 1 to 2 years for 45% of those who dropped out. </w:t>
      </w:r>
      <w:r>
        <w:fldChar w:fldCharType="begin"/>
      </w:r>
      <w:r>
        <w:instrText>ADDIN RW.CITE{{46 Gardner,E.M. 2011}}</w:instrText>
      </w:r>
      <w:r>
        <w:fldChar w:fldCharType="separate"/>
      </w:r>
      <w:r w:rsidRPr="00A04044">
        <w:t>(6)</w:t>
      </w:r>
      <w:r>
        <w:fldChar w:fldCharType="end"/>
      </w:r>
      <w:r>
        <w:t xml:space="preserve"> Due to lack of data on the remaining 55%, we assumed 40% would re-enter when their CD4 count decreased to 200 cells/µL and 15% when their CD4 count decreased to 40 cells/µL. </w:t>
      </w:r>
    </w:p>
    <w:p w:rsidR="005F535C" w:rsidRPr="005E0EAF" w:rsidRDefault="005F535C" w:rsidP="005F535C">
      <w:pPr>
        <w:spacing w:line="480" w:lineRule="auto"/>
        <w:rPr>
          <w:b/>
        </w:rPr>
      </w:pPr>
      <w:r w:rsidRPr="005E0EAF">
        <w:rPr>
          <w:b/>
        </w:rPr>
        <w:t xml:space="preserve">Calibration </w:t>
      </w:r>
    </w:p>
    <w:p w:rsidR="005F535C" w:rsidRPr="005E0EAF" w:rsidRDefault="005F535C" w:rsidP="005F535C">
      <w:pPr>
        <w:spacing w:line="480" w:lineRule="auto"/>
        <w:ind w:firstLine="720"/>
      </w:pPr>
      <w:bookmarkStart w:id="3" w:name="_Hlk483837077"/>
      <w:r w:rsidRPr="005E0EAF">
        <w:t>The one remaining unknown measure for which no data were available is the distribution of sex acts between male and female partners of men</w:t>
      </w:r>
      <w:r>
        <w:t xml:space="preserve"> who have sex with men and women (MSMW)</w:t>
      </w:r>
      <w:r w:rsidRPr="005E0EAF">
        <w:t xml:space="preserve">. </w:t>
      </w:r>
      <w:bookmarkStart w:id="4" w:name="_Hlk483837324"/>
      <w:r w:rsidRPr="005E0EAF">
        <w:t>Therefore, we followed a two-step procedure of validation and calibration.</w:t>
      </w:r>
      <w:bookmarkEnd w:id="3"/>
      <w:r w:rsidRPr="005E0EAF">
        <w:t xml:space="preserve"> In the first step we validated the model by comparing the overall simulated </w:t>
      </w:r>
      <w:r>
        <w:t>new infections with</w:t>
      </w:r>
      <w:r w:rsidRPr="005E0EAF">
        <w:t xml:space="preserve"> surveillance data. In the second</w:t>
      </w:r>
      <w:r>
        <w:t xml:space="preserve"> </w:t>
      </w:r>
      <w:r w:rsidRPr="005E0EAF">
        <w:t xml:space="preserve">step we estimated the unknown measure, i.e., the distribution of sex acts between male and female partners of </w:t>
      </w:r>
      <w:r>
        <w:t>MSMW</w:t>
      </w:r>
      <w:r w:rsidRPr="005E0EAF">
        <w:t xml:space="preserve">, by calibrating to </w:t>
      </w:r>
      <w:r>
        <w:t>new infections</w:t>
      </w:r>
      <w:r w:rsidRPr="005E0EAF">
        <w:t xml:space="preserve"> categorized by sexual orientation. The steps are discussed below in further detail.</w:t>
      </w:r>
    </w:p>
    <w:bookmarkEnd w:id="4"/>
    <w:p w:rsidR="005F535C" w:rsidRPr="005E0EAF" w:rsidRDefault="005F535C" w:rsidP="005F535C">
      <w:pPr>
        <w:spacing w:line="480" w:lineRule="auto"/>
        <w:ind w:firstLine="720"/>
      </w:pPr>
      <w:r w:rsidRPr="005E0EAF">
        <w:t xml:space="preserve">We initially ran </w:t>
      </w:r>
      <w:r>
        <w:t>the simulation from 2007 to 2009</w:t>
      </w:r>
      <w:r w:rsidRPr="005E0EAF">
        <w:t xml:space="preserve"> assuming no mixing between MSM and heterosexuals, i.e., we assumed that all transmissions from MSM</w:t>
      </w:r>
      <w:r>
        <w:t>W</w:t>
      </w:r>
      <w:r w:rsidRPr="005E0EAF">
        <w:t xml:space="preserve"> were to other MSM and not to heterosexual females, as we did not have data on the distribution of sex acts between male and female partners of </w:t>
      </w:r>
      <w:r>
        <w:t>MSMW</w:t>
      </w:r>
      <w:r w:rsidRPr="005E0EAF">
        <w:t>.  We estimated HIV-transmission rates for MSM, heterosexual males, heterosexual females, and the overall transmission rate across all groups in the simulation. The transmission rate from MSM-to-MSM was estimated as follows: ([# of simulated new infections from MSM-only + # of new infections from MSM</w:t>
      </w:r>
      <w:r>
        <w:t>W</w:t>
      </w:r>
      <w:r w:rsidRPr="005E0EAF">
        <w:t>] / [# of MSM-only + # MSM</w:t>
      </w:r>
      <w:r>
        <w:t>W</w:t>
      </w:r>
      <w:r w:rsidRPr="005E0EAF">
        <w:t xml:space="preserve"> in the model living with HIV]). The transmission rate from heterosexual females-to</w:t>
      </w:r>
      <w:r>
        <w:t>-</w:t>
      </w:r>
      <w:r w:rsidRPr="005E0EAF">
        <w:t>males was estimated as the number of simulated new infections in heterosexual males divided by the number of heterosexual females living with HIV.   The transmission rate from heterosexual males-to-females was estimated as the number of simulated new infections in heterosexual females divided by the number of heterosexual males living with HIV (i.e., [# new infections from heterosexual males + # new infections from MSM</w:t>
      </w:r>
      <w:r>
        <w:t>W</w:t>
      </w:r>
      <w:r w:rsidRPr="005E0EAF">
        <w:t xml:space="preserve">] / # heterosexual males).  The </w:t>
      </w:r>
      <w:r w:rsidRPr="005E0EAF">
        <w:lastRenderedPageBreak/>
        <w:t>overall transmission rate was estimated as the total number of new infections divided by the number of persons living with HIV.</w:t>
      </w:r>
    </w:p>
    <w:p w:rsidR="005F535C" w:rsidRDefault="005F535C" w:rsidP="005F535C">
      <w:pPr>
        <w:spacing w:line="480" w:lineRule="auto"/>
        <w:ind w:firstLine="720"/>
      </w:pPr>
      <w:r w:rsidRPr="005E0EAF">
        <w:t>This estimated overall transmission rate using simulated new infections and pe</w:t>
      </w:r>
      <w:r>
        <w:t xml:space="preserve">ople living with HIV was about </w:t>
      </w:r>
      <w:r w:rsidRPr="005E0EAF">
        <w:t xml:space="preserve">9% higher than the transmission rate estimated using the </w:t>
      </w:r>
      <w:r>
        <w:t>incidence-prevalence (</w:t>
      </w:r>
      <w:r w:rsidRPr="005E0EAF">
        <w:t>I/P</w:t>
      </w:r>
      <w:r>
        <w:t>)</w:t>
      </w:r>
      <w:r w:rsidRPr="005E0EAF">
        <w:t xml:space="preserve"> method with surveillance data. We believe this is a small margin of error</w:t>
      </w:r>
      <w:r>
        <w:t>,</w:t>
      </w:r>
      <w:r w:rsidRPr="005E0EAF">
        <w:t xml:space="preserve"> and hence the simulated number validates w</w:t>
      </w:r>
      <w:r>
        <w:t>ell with the surveillance data</w:t>
      </w:r>
      <w:r w:rsidRPr="005E0EAF">
        <w:t xml:space="preserve">. The estimated number of new infections in years 2007 to 2009 also fell within the reported number of new infections. </w:t>
      </w:r>
      <w:r>
        <w:fldChar w:fldCharType="begin"/>
      </w:r>
      <w:r>
        <w:instrText>ADDIN RW.CITE{{352 Prejean,J. 2011}}</w:instrText>
      </w:r>
      <w:r>
        <w:fldChar w:fldCharType="separate"/>
      </w:r>
      <w:r w:rsidRPr="00A04044">
        <w:t>(5)</w:t>
      </w:r>
      <w:r>
        <w:fldChar w:fldCharType="end"/>
      </w:r>
    </w:p>
    <w:p w:rsidR="005F535C" w:rsidRDefault="005F535C" w:rsidP="005F535C">
      <w:pPr>
        <w:spacing w:line="480" w:lineRule="auto"/>
        <w:ind w:firstLine="720"/>
      </w:pPr>
      <w:r>
        <w:t xml:space="preserve">Table S6 shows alternative simulations of the 3-year (2007–2009) annual average of the number of new cases by risk group generated by the model compared to surveillance data. In Simulation 1, we generated infections assuming MSM mixed only with MSM and heterosexuals with heterosexuals, using the model data on heterosexual behaviors. This simulation generated 22% of the new cases among heterosexual females reported in surveillance data, 68% of the cases reported for heterosexual males, and 120% of the cases reported for MSM. </w:t>
      </w:r>
      <w:bookmarkStart w:id="5" w:name="_Hlk483836957"/>
      <w:r>
        <w:t>The gross underestimation of cases in heterosexual females could occur either from inaccurate assumptions in their risky behavior or exposure to HIV. Therefore, we evaluated each case in Simulations 2 and 3, by setting superficially higher risky behavior than observed in 2</w:t>
      </w:r>
      <w:r w:rsidRPr="003777D9">
        <w:t xml:space="preserve"> </w:t>
      </w:r>
      <w:r>
        <w:t xml:space="preserve">and increasing exposure by assuming mixing between MSMW and women in 3. In Simulation 2, we used the same mixing assumptions as in Simulation 1, but we assumed that heterosexuals on average had riskier behavior than indicated by empirical data:  10 partners per year instead of 2, 50% of sex acts were anal instead of 7%, and 0% of all sex acts were protected by condoms instead of 26%.  This superficially high risky behavior still only generated 58% of the new cases reported among heterosexual females, 71% of the new cases reported among heterosexual males, and 121% of the new cases reported among MSM. </w:t>
      </w:r>
      <w:bookmarkEnd w:id="5"/>
      <w:r>
        <w:t>In Simulation 3, we assumed that 21% of MSM were MSM</w:t>
      </w:r>
      <w:r w:rsidRPr="0023140C">
        <w:t xml:space="preserve">W </w:t>
      </w:r>
      <w:r w:rsidRPr="0023140C">
        <w:rPr>
          <w:rFonts w:eastAsia="Times New Roman" w:cs="Calibri"/>
          <w:color w:val="000000"/>
        </w:rPr>
        <w:fldChar w:fldCharType="begin"/>
      </w:r>
      <w:r w:rsidRPr="0023140C">
        <w:rPr>
          <w:rFonts w:eastAsia="Times New Roman" w:cs="Calibri"/>
          <w:color w:val="000000"/>
        </w:rPr>
        <w:instrText>ADDIN RW.CITE{{291 Rosenberg,E.S. 2011; 365 Voetsch,A.C. 2012; 261 Finlayson,T.J. 2011; 568 Friedman,M.R. 2014}}</w:instrText>
      </w:r>
      <w:r w:rsidRPr="0023140C">
        <w:rPr>
          <w:rFonts w:eastAsia="Times New Roman" w:cs="Calibri"/>
          <w:color w:val="000000"/>
        </w:rPr>
        <w:fldChar w:fldCharType="separate"/>
      </w:r>
      <w:r w:rsidRPr="00A04044">
        <w:rPr>
          <w:rFonts w:eastAsia="Times New Roman" w:cs="Calibri"/>
          <w:color w:val="000000"/>
        </w:rPr>
        <w:t>(35,54-56)</w:t>
      </w:r>
      <w:r w:rsidRPr="0023140C">
        <w:rPr>
          <w:rFonts w:eastAsia="Times New Roman" w:cs="Calibri"/>
          <w:color w:val="000000"/>
        </w:rPr>
        <w:fldChar w:fldCharType="end"/>
      </w:r>
      <w:r w:rsidRPr="0023140C">
        <w:t xml:space="preserve">, 80% </w:t>
      </w:r>
      <w:r>
        <w:t xml:space="preserve">of the MSMW acts were with women, and 50% of those were anal acts. With these calibrated values, the </w:t>
      </w:r>
      <w:r>
        <w:lastRenderedPageBreak/>
        <w:t>model generated 91% of the new cases reported among heterosexual females, 77% of the new cases reported among heterosexual males, and 98% of the new cases reported among MSM. This was done by fixing 50% of acts as anal, which was a less sensitive parameter, and trying different values for the distribution of partners as MSM or women to find one that best fit incidence in both MSM and women.</w:t>
      </w:r>
    </w:p>
    <w:p w:rsidR="005F535C" w:rsidRDefault="005F535C" w:rsidP="005F535C">
      <w:pPr>
        <w:spacing w:line="480" w:lineRule="auto"/>
        <w:ind w:firstLine="720"/>
      </w:pPr>
      <w:r>
        <w:t>These calibrated values, which we used in the model, most closely matched surveillance data. When we originally assumed that all MSMW transmissions were to MSM and not heterosexual females (Simulation 1), we underestimated new infections in women by not simulating transmissions from MSMW, and we overestimated new infections in MSM by assigning all transmissions of MSMW to MSM. Even when assuming more risky behavior by heterosexuals (Simulation 2), we were not able to correctly match the number of new infections by risk group with surveillance data. Only by including transmissions from MSMW to heterosexual females could we approximately match the surveillance data.</w:t>
      </w:r>
    </w:p>
    <w:p w:rsidR="005F535C" w:rsidRPr="004130F0" w:rsidRDefault="005F535C" w:rsidP="005F535C">
      <w:pPr>
        <w:pStyle w:val="PlainText"/>
        <w:spacing w:line="480" w:lineRule="auto"/>
        <w:rPr>
          <w:szCs w:val="22"/>
        </w:rPr>
      </w:pPr>
      <w:r>
        <w:rPr>
          <w:b/>
        </w:rPr>
        <w:t>V</w:t>
      </w:r>
      <w:r w:rsidRPr="005E0EAF">
        <w:rPr>
          <w:b/>
        </w:rPr>
        <w:t>alidation</w:t>
      </w:r>
      <w:r w:rsidRPr="004130F0">
        <w:rPr>
          <w:szCs w:val="22"/>
        </w:rPr>
        <w:t xml:space="preserve"> </w:t>
      </w:r>
    </w:p>
    <w:p w:rsidR="005F535C" w:rsidRPr="006F1042" w:rsidRDefault="005F535C" w:rsidP="005F535C">
      <w:pPr>
        <w:pStyle w:val="PlainText"/>
        <w:spacing w:line="480" w:lineRule="auto"/>
        <w:ind w:firstLine="360"/>
        <w:rPr>
          <w:sz w:val="20"/>
          <w:szCs w:val="22"/>
        </w:rPr>
      </w:pPr>
      <w:r w:rsidRPr="00EE4F53">
        <w:rPr>
          <w:szCs w:val="22"/>
        </w:rPr>
        <w:t>When we compared the model’s simulated number of sexual transmissions in the years 2007, 2008</w:t>
      </w:r>
      <w:r>
        <w:rPr>
          <w:szCs w:val="22"/>
        </w:rPr>
        <w:t>,</w:t>
      </w:r>
      <w:r w:rsidRPr="00EE4F53">
        <w:rPr>
          <w:szCs w:val="22"/>
        </w:rPr>
        <w:t xml:space="preserve"> and 2009 against incidence reported by Prejean et al.,</w:t>
      </w:r>
      <w:r>
        <w:rPr>
          <w:szCs w:val="22"/>
        </w:rPr>
        <w:fldChar w:fldCharType="begin"/>
      </w:r>
      <w:r>
        <w:rPr>
          <w:szCs w:val="22"/>
        </w:rPr>
        <w:instrText>ADDIN RW.CITE{{352 Prejean,J. 2011}}</w:instrText>
      </w:r>
      <w:r>
        <w:rPr>
          <w:szCs w:val="22"/>
        </w:rPr>
        <w:fldChar w:fldCharType="separate"/>
      </w:r>
      <w:r w:rsidRPr="00A04044">
        <w:rPr>
          <w:szCs w:val="22"/>
        </w:rPr>
        <w:t>(5)</w:t>
      </w:r>
      <w:r>
        <w:rPr>
          <w:szCs w:val="22"/>
        </w:rPr>
        <w:fldChar w:fldCharType="end"/>
      </w:r>
      <w:r w:rsidRPr="00EE4F53">
        <w:rPr>
          <w:szCs w:val="22"/>
        </w:rPr>
        <w:t xml:space="preserve"> the model’s median estimates in 2007 were between the median published estimate and the lower bound of the 95% confidence interval (Figure S3). The estimates for 2008 and 2009 were close to the median published estimate. </w:t>
      </w:r>
      <w:r>
        <w:rPr>
          <w:szCs w:val="22"/>
        </w:rPr>
        <w:t>Because</w:t>
      </w:r>
      <w:r w:rsidRPr="004130F0">
        <w:rPr>
          <w:szCs w:val="22"/>
        </w:rPr>
        <w:t xml:space="preserve"> CDC’s estimates for new infections are statistically calculated, we compared parameters that are collected as part of surveillance including </w:t>
      </w:r>
      <w:r>
        <w:rPr>
          <w:szCs w:val="22"/>
        </w:rPr>
        <w:t xml:space="preserve">the </w:t>
      </w:r>
      <w:r w:rsidRPr="004130F0">
        <w:rPr>
          <w:szCs w:val="22"/>
        </w:rPr>
        <w:t xml:space="preserve">number of persons </w:t>
      </w:r>
      <w:r>
        <w:rPr>
          <w:szCs w:val="22"/>
        </w:rPr>
        <w:t xml:space="preserve">with </w:t>
      </w:r>
      <w:r w:rsidRPr="004130F0">
        <w:rPr>
          <w:szCs w:val="22"/>
        </w:rPr>
        <w:t>newly diagnosed</w:t>
      </w:r>
      <w:r>
        <w:rPr>
          <w:szCs w:val="22"/>
        </w:rPr>
        <w:t xml:space="preserve"> infection, CD4 cell counts at diagnosis, </w:t>
      </w:r>
      <w:r w:rsidRPr="004130F0">
        <w:rPr>
          <w:szCs w:val="22"/>
        </w:rPr>
        <w:t xml:space="preserve">prevalence of HIV, and </w:t>
      </w:r>
      <w:r>
        <w:rPr>
          <w:szCs w:val="22"/>
        </w:rPr>
        <w:t xml:space="preserve">an </w:t>
      </w:r>
      <w:r w:rsidRPr="004130F0">
        <w:rPr>
          <w:szCs w:val="22"/>
        </w:rPr>
        <w:t>independent estimate of the median number of years from infection to diagnosis (Figure S</w:t>
      </w:r>
      <w:r>
        <w:rPr>
          <w:szCs w:val="22"/>
        </w:rPr>
        <w:t>4</w:t>
      </w:r>
      <w:r w:rsidRPr="004130F0">
        <w:rPr>
          <w:szCs w:val="22"/>
        </w:rPr>
        <w:t xml:space="preserve">). </w:t>
      </w:r>
      <w:r w:rsidRPr="004130F0">
        <w:rPr>
          <w:rFonts w:eastAsia="Times New Roman" w:cs="Arial"/>
          <w:szCs w:val="24"/>
        </w:rPr>
        <w:t xml:space="preserve">The </w:t>
      </w:r>
      <w:r>
        <w:rPr>
          <w:rFonts w:eastAsia="Times New Roman" w:cs="Arial"/>
          <w:szCs w:val="24"/>
        </w:rPr>
        <w:t xml:space="preserve">model’s simulated outcomes </w:t>
      </w:r>
      <w:r w:rsidRPr="004130F0">
        <w:rPr>
          <w:rFonts w:eastAsia="Times New Roman" w:cs="Arial"/>
          <w:szCs w:val="24"/>
        </w:rPr>
        <w:t xml:space="preserve">matched reasonably </w:t>
      </w:r>
      <w:r>
        <w:rPr>
          <w:rFonts w:eastAsia="Times New Roman" w:cs="Arial"/>
          <w:szCs w:val="24"/>
        </w:rPr>
        <w:t xml:space="preserve">well to </w:t>
      </w:r>
      <w:r w:rsidRPr="004130F0">
        <w:rPr>
          <w:rFonts w:eastAsia="Times New Roman" w:cs="Arial"/>
          <w:szCs w:val="24"/>
        </w:rPr>
        <w:t>independe</w:t>
      </w:r>
      <w:r>
        <w:rPr>
          <w:rFonts w:eastAsia="Times New Roman" w:cs="Arial"/>
          <w:szCs w:val="24"/>
        </w:rPr>
        <w:t>nt counts or estimates</w:t>
      </w:r>
      <w:r w:rsidRPr="004130F0">
        <w:rPr>
          <w:rFonts w:eastAsia="Times New Roman" w:cs="Arial"/>
          <w:szCs w:val="24"/>
        </w:rPr>
        <w:t xml:space="preserve"> of the annual number of heterosexuals and MSM newly diagnosed with HIV from 2007 to 2011</w:t>
      </w:r>
      <w:r w:rsidRPr="004130F0">
        <w:rPr>
          <w:rFonts w:eastAsia="Times New Roman" w:cs="Arial"/>
          <w:szCs w:val="24"/>
        </w:rPr>
        <w:fldChar w:fldCharType="begin"/>
      </w:r>
      <w:r w:rsidRPr="004130F0">
        <w:rPr>
          <w:rFonts w:eastAsia="Times New Roman" w:cs="Arial"/>
          <w:szCs w:val="24"/>
        </w:rPr>
        <w:instrText>ADDIN RW.CITE{{623 [NoInformation] [No Information]; 624 [NoInformation] [No Information]}}</w:instrText>
      </w:r>
      <w:r w:rsidRPr="004130F0">
        <w:rPr>
          <w:rFonts w:eastAsia="Times New Roman" w:cs="Arial"/>
          <w:szCs w:val="24"/>
        </w:rPr>
        <w:fldChar w:fldCharType="separate"/>
      </w:r>
      <w:r w:rsidRPr="00A04044">
        <w:rPr>
          <w:rFonts w:eastAsia="Times New Roman" w:cs="Arial"/>
          <w:szCs w:val="24"/>
        </w:rPr>
        <w:t>(1,57)</w:t>
      </w:r>
      <w:r w:rsidRPr="004130F0">
        <w:rPr>
          <w:rFonts w:eastAsia="Times New Roman" w:cs="Arial"/>
          <w:szCs w:val="24"/>
        </w:rPr>
        <w:fldChar w:fldCharType="end"/>
      </w:r>
      <w:r w:rsidRPr="004130F0">
        <w:rPr>
          <w:rFonts w:eastAsia="Times New Roman" w:cs="Arial"/>
          <w:szCs w:val="24"/>
        </w:rPr>
        <w:t xml:space="preserve">, the median CD4 count stratum at diagnosis for heterosexuals and </w:t>
      </w:r>
      <w:r w:rsidRPr="004130F0">
        <w:rPr>
          <w:rFonts w:eastAsia="Times New Roman" w:cs="Arial"/>
          <w:szCs w:val="24"/>
        </w:rPr>
        <w:lastRenderedPageBreak/>
        <w:t>MSM in 2012</w:t>
      </w:r>
      <w:r w:rsidRPr="004130F0">
        <w:rPr>
          <w:rFonts w:eastAsia="Times New Roman" w:cs="Arial"/>
          <w:szCs w:val="24"/>
        </w:rPr>
        <w:fldChar w:fldCharType="begin"/>
      </w:r>
      <w:r w:rsidRPr="004130F0">
        <w:rPr>
          <w:rFonts w:eastAsia="Times New Roman" w:cs="Arial"/>
          <w:szCs w:val="24"/>
        </w:rPr>
        <w:instrText>ADDIN RW.CITE{{507 [NoInformation] [No Information]}}</w:instrText>
      </w:r>
      <w:r w:rsidRPr="004130F0">
        <w:rPr>
          <w:rFonts w:eastAsia="Times New Roman" w:cs="Arial"/>
          <w:szCs w:val="24"/>
        </w:rPr>
        <w:fldChar w:fldCharType="separate"/>
      </w:r>
      <w:r w:rsidRPr="00A04044">
        <w:rPr>
          <w:rFonts w:eastAsia="Times New Roman" w:cs="Arial"/>
          <w:szCs w:val="24"/>
        </w:rPr>
        <w:t>(58)</w:t>
      </w:r>
      <w:r w:rsidRPr="004130F0">
        <w:rPr>
          <w:rFonts w:eastAsia="Times New Roman" w:cs="Arial"/>
          <w:szCs w:val="24"/>
        </w:rPr>
        <w:fldChar w:fldCharType="end"/>
      </w:r>
      <w:r w:rsidRPr="004130F0">
        <w:rPr>
          <w:rFonts w:eastAsia="Times New Roman" w:cs="Arial"/>
          <w:szCs w:val="24"/>
        </w:rPr>
        <w:t xml:space="preserve"> , the number of MSM and heterosexuals living with diagnosed HIV during the years 2009 through 2011</w:t>
      </w:r>
      <w:r w:rsidRPr="004130F0">
        <w:rPr>
          <w:rFonts w:eastAsia="Times New Roman" w:cs="Arial"/>
          <w:szCs w:val="24"/>
        </w:rPr>
        <w:fldChar w:fldCharType="begin"/>
      </w:r>
      <w:r w:rsidRPr="004130F0">
        <w:rPr>
          <w:rFonts w:eastAsia="Times New Roman" w:cs="Arial"/>
          <w:szCs w:val="24"/>
        </w:rPr>
        <w:instrText>ADDIN RW.CITE{{507 [NoInformation] [No Information]}}</w:instrText>
      </w:r>
      <w:r w:rsidRPr="004130F0">
        <w:rPr>
          <w:rFonts w:eastAsia="Times New Roman" w:cs="Arial"/>
          <w:szCs w:val="24"/>
        </w:rPr>
        <w:fldChar w:fldCharType="separate"/>
      </w:r>
      <w:r w:rsidRPr="00A04044">
        <w:rPr>
          <w:rFonts w:eastAsia="Times New Roman" w:cs="Arial"/>
          <w:szCs w:val="24"/>
        </w:rPr>
        <w:t>(58)</w:t>
      </w:r>
      <w:r w:rsidRPr="004130F0">
        <w:rPr>
          <w:rFonts w:eastAsia="Times New Roman" w:cs="Arial"/>
          <w:szCs w:val="24"/>
        </w:rPr>
        <w:fldChar w:fldCharType="end"/>
      </w:r>
      <w:r w:rsidRPr="004130F0">
        <w:rPr>
          <w:rFonts w:eastAsia="Times New Roman" w:cs="Arial"/>
          <w:szCs w:val="24"/>
        </w:rPr>
        <w:t>, and the median number of years, assuming no treatment, from HIV seroconversion to CD4 counts</w:t>
      </w:r>
      <w:r>
        <w:rPr>
          <w:rFonts w:eastAsia="Times New Roman" w:cs="Arial"/>
          <w:szCs w:val="24"/>
        </w:rPr>
        <w:t xml:space="preserve"> &lt;</w:t>
      </w:r>
      <w:r w:rsidRPr="004130F0">
        <w:rPr>
          <w:rFonts w:eastAsia="Times New Roman" w:cs="Arial"/>
          <w:szCs w:val="24"/>
        </w:rPr>
        <w:t>500, &lt;350, and &lt;200.</w:t>
      </w:r>
      <w:r w:rsidRPr="004130F0">
        <w:rPr>
          <w:rFonts w:eastAsia="Times New Roman" w:cs="Arial"/>
          <w:szCs w:val="24"/>
        </w:rPr>
        <w:fldChar w:fldCharType="begin"/>
      </w:r>
      <w:r w:rsidRPr="004130F0">
        <w:rPr>
          <w:rFonts w:eastAsia="Times New Roman" w:cs="Arial"/>
          <w:szCs w:val="24"/>
        </w:rPr>
        <w:instrText>ADDIN RW.CITE{{600 Lodi,S. 2011}}</w:instrText>
      </w:r>
      <w:r w:rsidRPr="004130F0">
        <w:rPr>
          <w:rFonts w:eastAsia="Times New Roman" w:cs="Arial"/>
          <w:szCs w:val="24"/>
        </w:rPr>
        <w:fldChar w:fldCharType="separate"/>
      </w:r>
      <w:r w:rsidRPr="00A04044">
        <w:rPr>
          <w:rFonts w:eastAsia="Times New Roman" w:cs="Arial"/>
          <w:szCs w:val="24"/>
        </w:rPr>
        <w:t>(59)</w:t>
      </w:r>
      <w:r w:rsidRPr="004130F0">
        <w:rPr>
          <w:rFonts w:eastAsia="Times New Roman" w:cs="Arial"/>
          <w:szCs w:val="24"/>
        </w:rPr>
        <w:fldChar w:fldCharType="end"/>
      </w:r>
    </w:p>
    <w:p w:rsidR="005F535C" w:rsidRPr="003C239B" w:rsidRDefault="005F535C" w:rsidP="005F535C">
      <w:pPr>
        <w:spacing w:line="480" w:lineRule="auto"/>
        <w:rPr>
          <w:b/>
        </w:rPr>
      </w:pPr>
      <w:r w:rsidRPr="003C239B">
        <w:rPr>
          <w:b/>
        </w:rPr>
        <w:t>Meta-models of key parameters generated on simulated results from PATH</w:t>
      </w:r>
    </w:p>
    <w:p w:rsidR="005F535C" w:rsidRDefault="005F535C" w:rsidP="005F535C">
      <w:pPr>
        <w:spacing w:line="480" w:lineRule="auto"/>
        <w:rPr>
          <w:rFonts w:cs="Arial"/>
        </w:rPr>
      </w:pPr>
      <w:r>
        <w:t>As discussed in the main paper, we used PATH to determine 3 key output parameters—percent reduction in annual</w:t>
      </w:r>
      <w:r w:rsidRPr="002174FD">
        <w:t xml:space="preserve"> infections</w:t>
      </w:r>
      <w:r>
        <w:t xml:space="preserve"> (</w:t>
      </w:r>
      <w:r w:rsidRPr="00C521B1">
        <w:rPr>
          <w:position w:val="-6"/>
        </w:rPr>
        <w:object w:dxaOrig="139" w:dyaOrig="260">
          <v:shape id="_x0000_i1106" type="#_x0000_t75" style="width:6.75pt;height:12.75pt" o:ole="">
            <v:imagedata r:id="rId68" o:title=""/>
          </v:shape>
          <o:OLEObject Type="Embed" ProgID="Equation.DSMT4" ShapeID="_x0000_i1106" DrawAspect="Content" ObjectID="_1563116664" r:id="rId69"/>
        </w:object>
      </w:r>
      <w:r>
        <w:t>) , percent reduction in annual</w:t>
      </w:r>
      <w:r w:rsidRPr="002174FD">
        <w:t xml:space="preserve"> diagnoses</w:t>
      </w:r>
      <w:r>
        <w:t>(</w:t>
      </w:r>
      <w:r w:rsidRPr="00C521B1">
        <w:rPr>
          <w:position w:val="-6"/>
        </w:rPr>
        <w:object w:dxaOrig="220" w:dyaOrig="279">
          <v:shape id="_x0000_i1107" type="#_x0000_t75" style="width:11.25pt;height:14.25pt" o:ole="">
            <v:imagedata r:id="rId70" o:title=""/>
          </v:shape>
          <o:OLEObject Type="Embed" ProgID="Equation.DSMT4" ShapeID="_x0000_i1107" DrawAspect="Content" ObjectID="_1563116665" r:id="rId71"/>
        </w:object>
      </w:r>
      <w:r>
        <w:t>)</w:t>
      </w:r>
      <w:r w:rsidRPr="002174FD">
        <w:t xml:space="preserve">, </w:t>
      </w:r>
      <w:r>
        <w:t>and the</w:t>
      </w:r>
      <w:r w:rsidRPr="002174FD">
        <w:t xml:space="preserve"> CD</w:t>
      </w:r>
      <w:r>
        <w:t>4 count at diagnosis</w:t>
      </w:r>
      <w:r w:rsidRPr="002174FD">
        <w:t xml:space="preserve"> </w:t>
      </w:r>
      <w:r>
        <w:t>(</w:t>
      </w:r>
      <w:r w:rsidRPr="00C521B1">
        <w:rPr>
          <w:position w:val="-6"/>
        </w:rPr>
        <w:object w:dxaOrig="180" w:dyaOrig="220">
          <v:shape id="_x0000_i1108" type="#_x0000_t75" style="width:9pt;height:11.25pt" o:ole="">
            <v:imagedata r:id="rId72" o:title=""/>
          </v:shape>
          <o:OLEObject Type="Embed" ProgID="Equation.DSMT4" ShapeID="_x0000_i1108" DrawAspect="Content" ObjectID="_1563116666" r:id="rId73"/>
        </w:object>
      </w:r>
      <w:r>
        <w:t>) for different combinations of</w:t>
      </w:r>
      <w:r w:rsidRPr="002174FD">
        <w:t xml:space="preserve"> </w:t>
      </w:r>
      <w:r>
        <w:t>3 input parameters, percentages of PLWH with diagnosed infection (</w:t>
      </w:r>
      <w:r w:rsidRPr="006B4C82">
        <w:rPr>
          <w:position w:val="-4"/>
        </w:rPr>
        <w:object w:dxaOrig="260" w:dyaOrig="260">
          <v:shape id="_x0000_i1109" type="#_x0000_t75" style="width:12.75pt;height:12.75pt" o:ole="">
            <v:imagedata r:id="rId74" o:title=""/>
          </v:shape>
          <o:OLEObject Type="Embed" ProgID="Equation.DSMT4" ShapeID="_x0000_i1109" DrawAspect="Content" ObjectID="_1563116667" r:id="rId75"/>
        </w:object>
      </w:r>
      <w:r>
        <w:t xml:space="preserve">) </w:t>
      </w:r>
      <w:r w:rsidRPr="002174FD">
        <w:t xml:space="preserve">, </w:t>
      </w:r>
      <w:r>
        <w:t xml:space="preserve">persons with newly diagnosed HIV who are </w:t>
      </w:r>
      <w:r w:rsidRPr="002174FD">
        <w:t>linked to care</w:t>
      </w:r>
      <w:r>
        <w:t xml:space="preserve"> within 1 month of diagnosis (</w:t>
      </w:r>
      <w:r w:rsidRPr="00DF5D91">
        <w:rPr>
          <w:position w:val="-4"/>
        </w:rPr>
        <w:object w:dxaOrig="220" w:dyaOrig="260">
          <v:shape id="_x0000_i1110" type="#_x0000_t75" style="width:11.25pt;height:12.75pt" o:ole="">
            <v:imagedata r:id="rId76" o:title=""/>
          </v:shape>
          <o:OLEObject Type="Embed" ProgID="Equation.DSMT4" ShapeID="_x0000_i1110" DrawAspect="Content" ObjectID="_1563116668" r:id="rId77"/>
        </w:object>
      </w:r>
      <w:r>
        <w:t xml:space="preserve">) </w:t>
      </w:r>
      <w:r w:rsidRPr="002174FD">
        <w:t xml:space="preserve"> and </w:t>
      </w:r>
      <w:r>
        <w:t>persons living with HIV who have viral load suppression (</w:t>
      </w:r>
      <w:r w:rsidRPr="00DF5D91">
        <w:rPr>
          <w:position w:val="-6"/>
        </w:rPr>
        <w:object w:dxaOrig="240" w:dyaOrig="279">
          <v:shape id="_x0000_i1111" type="#_x0000_t75" style="width:12pt;height:14.25pt" o:ole="">
            <v:imagedata r:id="rId78" o:title=""/>
          </v:shape>
          <o:OLEObject Type="Embed" ProgID="Equation.DSMT4" ShapeID="_x0000_i1111" DrawAspect="Content" ObjectID="_1563116669" r:id="rId79"/>
        </w:object>
      </w:r>
      <w:r>
        <w:t>)</w:t>
      </w:r>
      <w:r w:rsidRPr="002174FD">
        <w:t>.</w:t>
      </w:r>
      <w:r w:rsidRPr="006B4C82">
        <w:t xml:space="preserve"> </w:t>
      </w:r>
      <w:r>
        <w:t xml:space="preserve">As it is impractical to run PATH for all possible combinations of the 3 input parameters, due to long computational time of individual-based simulation models, we selected 40 combinations of </w:t>
      </w:r>
      <w:r w:rsidRPr="003C239B">
        <w:rPr>
          <w:rFonts w:cs="Arial"/>
          <w:position w:val="-6"/>
        </w:rPr>
        <w:object w:dxaOrig="540" w:dyaOrig="279">
          <v:shape id="_x0000_i1112" type="#_x0000_t75" style="width:27pt;height:14.25pt" o:ole="">
            <v:imagedata r:id="rId80" o:title=""/>
          </v:shape>
          <o:OLEObject Type="Embed" ProgID="Equation.DSMT4" ShapeID="_x0000_i1112" DrawAspect="Content" ObjectID="_1563116670" r:id="rId81"/>
        </w:object>
      </w:r>
      <w:r>
        <w:t>based on the Latin hypercube sampling method and a</w:t>
      </w:r>
      <w:r w:rsidRPr="002174FD">
        <w:t xml:space="preserve">pplied regression modeling to the simulated results </w:t>
      </w:r>
      <w:r>
        <w:t>(</w:t>
      </w:r>
      <w:r w:rsidRPr="00316733">
        <w:rPr>
          <w:rFonts w:cs="Arial"/>
          <w:position w:val="-14"/>
        </w:rPr>
        <w:object w:dxaOrig="1800" w:dyaOrig="380">
          <v:shape id="_x0000_i1113" type="#_x0000_t75" style="width:90pt;height:18.75pt" o:ole="">
            <v:imagedata r:id="rId82" o:title=""/>
          </v:shape>
          <o:OLEObject Type="Embed" ProgID="Equation.DSMT4" ShapeID="_x0000_i1113" DrawAspect="Content" ObjectID="_1563116671" r:id="rId83"/>
        </w:object>
      </w:r>
      <w:r>
        <w:rPr>
          <w:rFonts w:cs="Arial"/>
        </w:rPr>
        <w:t xml:space="preserve">) </w:t>
      </w:r>
      <w:r w:rsidRPr="002174FD">
        <w:t>to generate three meta-models</w:t>
      </w:r>
      <w:r>
        <w:t xml:space="preserve">, </w:t>
      </w:r>
      <w:r w:rsidRPr="00514AE5">
        <w:rPr>
          <w:position w:val="-12"/>
        </w:rPr>
        <w:object w:dxaOrig="4660" w:dyaOrig="400">
          <v:shape id="_x0000_i1114" type="#_x0000_t75" style="width:233.25pt;height:20.25pt" o:ole="">
            <v:imagedata r:id="rId84" o:title=""/>
          </v:shape>
          <o:OLEObject Type="Embed" ProgID="Equation.DSMT4" ShapeID="_x0000_i1114" DrawAspect="Content" ObjectID="_1563116672" r:id="rId85"/>
        </w:object>
      </w:r>
      <w:r w:rsidRPr="002174FD">
        <w:t>, one each for</w:t>
      </w:r>
      <w:r>
        <w:t xml:space="preserve"> the 3 output parameters. </w:t>
      </w:r>
      <w:r w:rsidRPr="00DF5D91">
        <w:t xml:space="preserve">To generate each meta-model, we </w:t>
      </w:r>
      <w:r>
        <w:t>used the MATLAB optimization toolbox to solve for the linear coefficients,</w:t>
      </w:r>
      <w:r w:rsidRPr="00316733">
        <w:rPr>
          <w:rFonts w:cs="Arial"/>
          <w:position w:val="-12"/>
        </w:rPr>
        <w:object w:dxaOrig="680" w:dyaOrig="360">
          <v:shape id="_x0000_i1115" type="#_x0000_t75" style="width:33.75pt;height:18pt" o:ole="">
            <v:imagedata r:id="rId86" o:title=""/>
          </v:shape>
          <o:OLEObject Type="Embed" ProgID="Equation.DSMT4" ShapeID="_x0000_i1115" DrawAspect="Content" ObjectID="_1563116673" r:id="rId87"/>
        </w:object>
      </w:r>
      <w:r>
        <w:rPr>
          <w:rFonts w:cs="Arial"/>
        </w:rPr>
        <w:t xml:space="preserve">, of linear and non-linear terms of </w:t>
      </w:r>
      <w:r w:rsidRPr="004F2CF0">
        <w:rPr>
          <w:rFonts w:cs="Arial"/>
          <w:position w:val="-10"/>
        </w:rPr>
        <w:object w:dxaOrig="740" w:dyaOrig="320">
          <v:shape id="_x0000_i1116" type="#_x0000_t75" style="width:36.75pt;height:15.75pt" o:ole="">
            <v:imagedata r:id="rId88" o:title=""/>
          </v:shape>
          <o:OLEObject Type="Embed" ProgID="Equation.DSMT4" ShapeID="_x0000_i1116" DrawAspect="Content" ObjectID="_1563116674" r:id="rId89"/>
        </w:object>
      </w:r>
      <w:r>
        <w:rPr>
          <w:rFonts w:cs="Arial"/>
        </w:rPr>
        <w:t xml:space="preserve">, e.g., </w:t>
      </w:r>
      <w:r w:rsidRPr="001F39B0">
        <w:rPr>
          <w:rFonts w:cs="Arial"/>
          <w:position w:val="-12"/>
        </w:rPr>
        <w:object w:dxaOrig="6840" w:dyaOrig="400">
          <v:shape id="_x0000_i1117" type="#_x0000_t75" style="width:342pt;height:20.25pt" o:ole="">
            <v:imagedata r:id="rId90" o:title=""/>
          </v:shape>
          <o:OLEObject Type="Embed" ProgID="Equation.DSMT4" ShapeID="_x0000_i1117" DrawAspect="Content" ObjectID="_1563116675" r:id="rId91"/>
        </w:object>
      </w:r>
      <w:r>
        <w:rPr>
          <w:rFonts w:cs="Arial"/>
        </w:rPr>
        <w:t>by minimizing the sum of squared differences in estimations from PATH and the meta-models, i.e., minimize</w:t>
      </w:r>
      <w:r w:rsidRPr="00316733">
        <w:rPr>
          <w:rFonts w:cs="Arial"/>
        </w:rPr>
        <w:t xml:space="preserve"> </w:t>
      </w:r>
      <w:r w:rsidRPr="00316733">
        <w:rPr>
          <w:rFonts w:cs="Arial"/>
          <w:position w:val="-30"/>
        </w:rPr>
        <w:object w:dxaOrig="1460" w:dyaOrig="700">
          <v:shape id="_x0000_i1118" type="#_x0000_t75" style="width:72.75pt;height:35.25pt" o:ole="">
            <v:imagedata r:id="rId92" o:title=""/>
          </v:shape>
          <o:OLEObject Type="Embed" ProgID="Equation.DSMT4" ShapeID="_x0000_i1118" DrawAspect="Content" ObjectID="_1563116676" r:id="rId93"/>
        </w:object>
      </w:r>
      <w:r>
        <w:rPr>
          <w:rFonts w:cs="Arial"/>
        </w:rPr>
        <w:t>, where,</w:t>
      </w:r>
    </w:p>
    <w:p w:rsidR="005F535C" w:rsidRDefault="005F535C" w:rsidP="005F535C">
      <w:pPr>
        <w:spacing w:line="480" w:lineRule="auto"/>
        <w:rPr>
          <w:rFonts w:cs="Arial"/>
        </w:rPr>
      </w:pPr>
      <w:r w:rsidRPr="006C32EA">
        <w:rPr>
          <w:rFonts w:cs="Arial"/>
          <w:position w:val="-14"/>
        </w:rPr>
        <w:object w:dxaOrig="7260" w:dyaOrig="380">
          <v:shape id="_x0000_i1119" type="#_x0000_t75" style="width:363pt;height:18.75pt" o:ole="">
            <v:imagedata r:id="rId94" o:title=""/>
          </v:shape>
          <o:OLEObject Type="Embed" ProgID="Equation.DSMT4" ShapeID="_x0000_i1119" DrawAspect="Content" ObjectID="_1563116677" r:id="rId95"/>
        </w:object>
      </w:r>
      <w:r>
        <w:rPr>
          <w:rFonts w:cs="Arial"/>
        </w:rPr>
        <w:t xml:space="preserve"> </w:t>
      </w:r>
    </w:p>
    <w:p w:rsidR="005F535C" w:rsidRPr="00187D11" w:rsidRDefault="005F535C" w:rsidP="005F535C">
      <w:pPr>
        <w:spacing w:line="480" w:lineRule="auto"/>
        <w:rPr>
          <w:rFonts w:cs="Calibri"/>
        </w:rPr>
      </w:pPr>
      <w:r>
        <w:rPr>
          <w:rFonts w:cs="Arial"/>
        </w:rPr>
        <w:t xml:space="preserve">and </w:t>
      </w:r>
      <w:r w:rsidRPr="00E63169">
        <w:rPr>
          <w:rFonts w:cs="Arial"/>
          <w:position w:val="-14"/>
        </w:rPr>
        <w:object w:dxaOrig="340" w:dyaOrig="420">
          <v:shape id="_x0000_i1120" type="#_x0000_t75" style="width:17.25pt;height:21pt" o:ole="">
            <v:imagedata r:id="rId96" o:title=""/>
          </v:shape>
          <o:OLEObject Type="Embed" ProgID="Equation.DSMT4" ShapeID="_x0000_i1120" DrawAspect="Content" ObjectID="_1563116678" r:id="rId97"/>
        </w:object>
      </w:r>
      <w:r>
        <w:rPr>
          <w:rFonts w:cs="Arial"/>
        </w:rPr>
        <w:t xml:space="preserve"> are estimates of the output parameters estimated using the meta-models</w:t>
      </w:r>
      <w:r w:rsidRPr="005B680D">
        <w:t xml:space="preserve">. For </w:t>
      </w:r>
      <w:r w:rsidRPr="005B680D">
        <w:rPr>
          <w:position w:val="-10"/>
        </w:rPr>
        <w:object w:dxaOrig="460" w:dyaOrig="320">
          <v:shape id="_x0000_i1121" type="#_x0000_t75" style="width:23.25pt;height:15.75pt" o:ole="">
            <v:imagedata r:id="rId98" o:title=""/>
          </v:shape>
          <o:OLEObject Type="Embed" ProgID="Equation.DSMT4" ShapeID="_x0000_i1121" DrawAspect="Content" ObjectID="_1563116679" r:id="rId99"/>
        </w:object>
      </w:r>
      <w:r w:rsidRPr="005B680D">
        <w:t xml:space="preserve"> we evaluated equations with linear (e.g.,</w:t>
      </w:r>
      <w:r w:rsidRPr="005B680D">
        <w:rPr>
          <w:position w:val="-4"/>
        </w:rPr>
        <w:object w:dxaOrig="260" w:dyaOrig="260">
          <v:shape id="_x0000_i1122" type="#_x0000_t75" style="width:12.75pt;height:12.75pt" o:ole="">
            <v:imagedata r:id="rId100" o:title=""/>
          </v:shape>
          <o:OLEObject Type="Embed" ProgID="Equation.DSMT4" ShapeID="_x0000_i1122" DrawAspect="Content" ObjectID="_1563116680" r:id="rId101"/>
        </w:object>
      </w:r>
      <w:r w:rsidRPr="005B680D">
        <w:t xml:space="preserve">), </w:t>
      </w:r>
      <w:r>
        <w:t>quadratic</w:t>
      </w:r>
      <w:r w:rsidRPr="005B680D">
        <w:rPr>
          <w:rFonts w:cs="Arial"/>
        </w:rPr>
        <w:t xml:space="preserve"> (e.g.,</w:t>
      </w:r>
      <w:r w:rsidRPr="005B680D">
        <w:rPr>
          <w:rFonts w:cs="Arial"/>
          <w:position w:val="-4"/>
        </w:rPr>
        <w:object w:dxaOrig="340" w:dyaOrig="300">
          <v:shape id="_x0000_i1123" type="#_x0000_t75" style="width:17.25pt;height:15pt" o:ole="">
            <v:imagedata r:id="rId102" o:title=""/>
          </v:shape>
          <o:OLEObject Type="Embed" ProgID="Equation.DSMT4" ShapeID="_x0000_i1123" DrawAspect="Content" ObjectID="_1563116681" r:id="rId103"/>
        </w:object>
      </w:r>
      <w:r w:rsidRPr="005B680D">
        <w:rPr>
          <w:rFonts w:cs="Arial"/>
        </w:rPr>
        <w:t xml:space="preserve"> ), and interacti</w:t>
      </w:r>
      <w:r>
        <w:rPr>
          <w:rFonts w:cs="Arial"/>
        </w:rPr>
        <w:t>o</w:t>
      </w:r>
      <w:r w:rsidRPr="005B680D">
        <w:rPr>
          <w:rFonts w:cs="Arial"/>
        </w:rPr>
        <w:t>n (</w:t>
      </w:r>
      <w:r>
        <w:rPr>
          <w:rFonts w:cs="Arial"/>
        </w:rPr>
        <w:t xml:space="preserve">e.g., </w:t>
      </w:r>
      <w:r w:rsidRPr="005B680D">
        <w:rPr>
          <w:rFonts w:cs="Arial"/>
        </w:rPr>
        <w:fldChar w:fldCharType="begin"/>
      </w:r>
      <w:r w:rsidRPr="005B680D">
        <w:rPr>
          <w:rFonts w:cs="Arial"/>
        </w:rPr>
        <w:instrText xml:space="preserve"> QUOTE </w:instrText>
      </w:r>
      <m:oMath>
        <m:r>
          <w:rPr>
            <w:rFonts w:ascii="Cambria Math" w:hAnsi="Cambria Math" w:cs="Arial"/>
            <w:sz w:val="24"/>
            <w:szCs w:val="24"/>
          </w:rPr>
          <m:t>DV</m:t>
        </m:r>
      </m:oMath>
      <w:r w:rsidRPr="005B680D">
        <w:rPr>
          <w:rFonts w:cs="Arial"/>
        </w:rPr>
        <w:instrText xml:space="preserve"> </w:instrText>
      </w:r>
      <w:r w:rsidRPr="005B680D">
        <w:rPr>
          <w:rFonts w:cs="Arial"/>
        </w:rPr>
        <w:fldChar w:fldCharType="separate"/>
      </w:r>
      <w:r w:rsidRPr="005B680D">
        <w:rPr>
          <w:rFonts w:cs="Arial"/>
          <w:position w:val="-6"/>
        </w:rPr>
        <w:object w:dxaOrig="440" w:dyaOrig="279">
          <v:shape id="_x0000_i1125" type="#_x0000_t75" style="width:21.75pt;height:14.25pt" o:ole="">
            <v:imagedata r:id="rId104" o:title=""/>
          </v:shape>
          <o:OLEObject Type="Embed" ProgID="Equation.DSMT4" ShapeID="_x0000_i1125" DrawAspect="Content" ObjectID="_1563116682" r:id="rId105"/>
        </w:object>
      </w:r>
      <w:r w:rsidRPr="005B680D">
        <w:rPr>
          <w:rFonts w:cs="Arial"/>
        </w:rPr>
        <w:fldChar w:fldCharType="end"/>
      </w:r>
      <w:r w:rsidRPr="005B680D">
        <w:rPr>
          <w:rFonts w:cs="Arial"/>
        </w:rPr>
        <w:t>) terms</w:t>
      </w:r>
      <w:r w:rsidRPr="00316733">
        <w:rPr>
          <w:rFonts w:cs="Arial"/>
        </w:rPr>
        <w:t xml:space="preserve">. As </w:t>
      </w:r>
      <w:r w:rsidRPr="00316733">
        <w:rPr>
          <w:rFonts w:cs="Arial"/>
        </w:rPr>
        <w:lastRenderedPageBreak/>
        <w:t>each parameter had a different range of values</w:t>
      </w:r>
      <w:r>
        <w:rPr>
          <w:rFonts w:cs="Arial"/>
        </w:rPr>
        <w:t>, before performing the above steps</w:t>
      </w:r>
      <w:r w:rsidRPr="00316733">
        <w:rPr>
          <w:rFonts w:cs="Arial"/>
        </w:rPr>
        <w:t xml:space="preserve"> we </w:t>
      </w:r>
      <w:r>
        <w:rPr>
          <w:rFonts w:cs="Arial"/>
        </w:rPr>
        <w:t xml:space="preserve">first </w:t>
      </w:r>
      <w:r w:rsidRPr="00316733">
        <w:rPr>
          <w:rFonts w:cs="Arial"/>
        </w:rPr>
        <w:t>scaled the range of all three parameters to values between 0 and 100, as is standard practice in the literature</w:t>
      </w:r>
      <w:r w:rsidRPr="00187D11">
        <w:rPr>
          <w:rFonts w:cs="Calibri"/>
        </w:rPr>
        <w:t xml:space="preserve">. </w:t>
      </w:r>
      <w:r w:rsidRPr="00A04044">
        <w:rPr>
          <w:rFonts w:cs="Calibri"/>
        </w:rPr>
        <w:t>To determine the equation that best fit the simulated results, we used the p-values corresponding to each term and R-squared values corresponding to each equation. If the p-value was &lt;0.05, we retained the term; otherwise we removed it from the equation. We also confirmed that the resulting equation had a high R-squared value. The p-values associated with linkage to care terms were not significant</w:t>
      </w:r>
      <w:r>
        <w:rPr>
          <w:rFonts w:cs="Calibri"/>
        </w:rPr>
        <w:t xml:space="preserve"> (p=0.4)</w:t>
      </w:r>
      <w:r w:rsidRPr="00A04044">
        <w:rPr>
          <w:rFonts w:cs="Calibri"/>
        </w:rPr>
        <w:t xml:space="preserve"> for any of the outcomes, so these terms were dropped from all equations.  </w:t>
      </w:r>
      <w:r w:rsidRPr="00187D11">
        <w:rPr>
          <w:rFonts w:cs="Calibri"/>
        </w:rPr>
        <w:t>The meta-models that provided the best fits</w:t>
      </w:r>
      <w:r w:rsidRPr="00720AA4">
        <w:rPr>
          <w:rFonts w:cs="Calibri"/>
        </w:rPr>
        <w:t xml:space="preserve"> (</w:t>
      </w:r>
      <m:oMath>
        <m:sSup>
          <m:sSupPr>
            <m:ctrlPr>
              <w:rPr>
                <w:rFonts w:ascii="Cambria Math" w:hAnsi="Cambria Math"/>
                <w:i/>
                <w:iCs/>
                <w:sz w:val="24"/>
                <w:szCs w:val="24"/>
              </w:rPr>
            </m:ctrlPr>
          </m:sSupPr>
          <m:e>
            <m:r>
              <w:rPr>
                <w:rFonts w:ascii="Cambria Math" w:hAnsi="Cambria Math"/>
                <w:sz w:val="24"/>
                <w:szCs w:val="24"/>
              </w:rPr>
              <m:t>R</m:t>
            </m:r>
          </m:e>
          <m:sup>
            <m:r>
              <w:rPr>
                <w:rFonts w:ascii="Cambria Math" w:hAnsi="Cambria Math"/>
                <w:sz w:val="24"/>
                <w:szCs w:val="24"/>
              </w:rPr>
              <m:t>2</m:t>
            </m:r>
          </m:sup>
        </m:sSup>
      </m:oMath>
      <w:r w:rsidRPr="00A04044">
        <w:rPr>
          <w:rFonts w:cs="Calibri"/>
        </w:rPr>
        <w:t xml:space="preserve"> values &gt;0.9) </w:t>
      </w:r>
      <w:r w:rsidRPr="00187D11">
        <w:rPr>
          <w:rFonts w:cs="Calibri"/>
        </w:rPr>
        <w:t>are as follows:</w:t>
      </w:r>
    </w:p>
    <w:p w:rsidR="005F535C" w:rsidRDefault="005F535C" w:rsidP="005F535C">
      <w:pPr>
        <w:spacing w:line="480" w:lineRule="auto"/>
      </w:pPr>
      <w:r w:rsidRPr="00E63169">
        <w:rPr>
          <w:position w:val="-52"/>
        </w:rPr>
        <w:object w:dxaOrig="4599" w:dyaOrig="1200">
          <v:shape id="_x0000_i1128" type="#_x0000_t75" style="width:230.25pt;height:60pt" o:ole="">
            <v:imagedata r:id="rId106" o:title=""/>
          </v:shape>
          <o:OLEObject Type="Embed" ProgID="Equation.DSMT4" ShapeID="_x0000_i1128" DrawAspect="Content" ObjectID="_1563116683" r:id="rId107"/>
        </w:object>
      </w:r>
      <w:r>
        <w:t xml:space="preserve"> </w:t>
      </w:r>
    </w:p>
    <w:p w:rsidR="005F535C" w:rsidRPr="00186FB3" w:rsidRDefault="005F535C" w:rsidP="005F535C">
      <w:pPr>
        <w:spacing w:line="480" w:lineRule="auto"/>
      </w:pPr>
      <w:r w:rsidRPr="00E63169">
        <w:rPr>
          <w:u w:val="single"/>
        </w:rPr>
        <w:t>Testing the meta-model</w:t>
      </w:r>
      <w:r>
        <w:t xml:space="preserve">: To test the performance of the above meta-models, we randomly selected 40 additional combinations of </w:t>
      </w:r>
      <w:r w:rsidRPr="003C239B">
        <w:rPr>
          <w:rFonts w:cs="Arial"/>
          <w:position w:val="-6"/>
        </w:rPr>
        <w:object w:dxaOrig="540" w:dyaOrig="279">
          <v:shape id="_x0000_i1129" type="#_x0000_t75" style="width:27pt;height:14.25pt" o:ole="">
            <v:imagedata r:id="rId80" o:title=""/>
          </v:shape>
          <o:OLEObject Type="Embed" ProgID="Equation.DSMT4" ShapeID="_x0000_i1129" DrawAspect="Content" ObjectID="_1563116684" r:id="rId108"/>
        </w:object>
      </w:r>
      <w:r>
        <w:rPr>
          <w:rFonts w:cs="Arial"/>
        </w:rPr>
        <w:t>and generated results for each of these combinations using PATH and the above meta-models. Scatter-plots of meta-model estimations of each of the output parameters plotted against PATH estimations generate a straight line of the form y=x, indicating a good fit, with R-square values of 95%, 93%, and 97% respectively, indicating a good fit (Figure S5) .</w:t>
      </w:r>
      <w:r>
        <w:rPr>
          <w:rFonts w:cs="Arial"/>
        </w:rPr>
        <w:br w:type="page"/>
      </w:r>
      <w:r w:rsidRPr="00186FB3">
        <w:lastRenderedPageBreak/>
        <w:t>Figure S1. Schematic overview of the PATH disease progression model</w:t>
      </w:r>
    </w:p>
    <w:p w:rsidR="005F535C" w:rsidRDefault="005F535C" w:rsidP="005F535C">
      <w:pPr>
        <w:spacing w:line="480" w:lineRule="auto"/>
      </w:pPr>
      <w:r>
        <w:rPr>
          <w:noProof/>
        </w:rPr>
        <w:drawing>
          <wp:inline distT="0" distB="0" distL="0" distR="0">
            <wp:extent cx="5762625" cy="5162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762625" cy="5162550"/>
                    </a:xfrm>
                    <a:prstGeom prst="rect">
                      <a:avLst/>
                    </a:prstGeom>
                    <a:noFill/>
                    <a:ln>
                      <a:noFill/>
                    </a:ln>
                  </pic:spPr>
                </pic:pic>
              </a:graphicData>
            </a:graphic>
          </wp:inline>
        </w:drawing>
      </w:r>
    </w:p>
    <w:p w:rsidR="005F535C" w:rsidRDefault="005F535C" w:rsidP="005F535C">
      <w:pPr>
        <w:spacing w:line="480" w:lineRule="auto"/>
        <w:rPr>
          <w:b/>
        </w:rPr>
      </w:pPr>
    </w:p>
    <w:p w:rsidR="005F535C" w:rsidRDefault="005F535C" w:rsidP="005F535C">
      <w:pPr>
        <w:spacing w:line="480" w:lineRule="auto"/>
        <w:rPr>
          <w:b/>
        </w:rPr>
      </w:pPr>
    </w:p>
    <w:p w:rsidR="005F535C" w:rsidRDefault="005F535C" w:rsidP="005F535C">
      <w:pPr>
        <w:spacing w:line="480" w:lineRule="auto"/>
        <w:rPr>
          <w:b/>
        </w:rPr>
      </w:pPr>
    </w:p>
    <w:p w:rsidR="005F535C" w:rsidRDefault="005F535C" w:rsidP="005F535C">
      <w:pPr>
        <w:spacing w:line="480" w:lineRule="auto"/>
        <w:rPr>
          <w:b/>
        </w:rPr>
      </w:pPr>
    </w:p>
    <w:p w:rsidR="005F535C" w:rsidRDefault="005F535C" w:rsidP="005F535C">
      <w:pPr>
        <w:spacing w:line="480" w:lineRule="auto"/>
        <w:rPr>
          <w:b/>
        </w:rPr>
      </w:pPr>
    </w:p>
    <w:p w:rsidR="005F535C" w:rsidRDefault="005F535C" w:rsidP="005F535C">
      <w:pPr>
        <w:spacing w:after="0" w:line="240" w:lineRule="auto"/>
      </w:pPr>
      <w:r w:rsidRPr="00A362F7">
        <w:lastRenderedPageBreak/>
        <w:t xml:space="preserve">Figure </w:t>
      </w:r>
      <w:r>
        <w:t>S</w:t>
      </w:r>
      <w:r w:rsidRPr="00A362F7">
        <w:t>2: A: Actual partnership concurrency, and B: simulation of these partnership concurrenc</w:t>
      </w:r>
      <w:r>
        <w:t>ies</w:t>
      </w:r>
      <w:r w:rsidRPr="00A362F7">
        <w:t xml:space="preserve"> in PATH 2.0</w:t>
      </w:r>
    </w:p>
    <w:p w:rsidR="005F535C" w:rsidRPr="00A362F7" w:rsidRDefault="005F535C" w:rsidP="005F535C">
      <w:pPr>
        <w:spacing w:after="0" w:line="240" w:lineRule="auto"/>
      </w:pPr>
    </w:p>
    <w:p w:rsidR="005F535C" w:rsidRDefault="005F535C" w:rsidP="005F535C">
      <w:pPr>
        <w:spacing w:after="0" w:line="240" w:lineRule="auto"/>
        <w:rPr>
          <w:rFonts w:ascii="Arial" w:hAnsi="Arial" w:cs="Arial"/>
          <w:sz w:val="20"/>
          <w:szCs w:val="24"/>
        </w:rPr>
      </w:pPr>
    </w:p>
    <w:p w:rsidR="005F535C" w:rsidRPr="004E339C" w:rsidRDefault="005F535C" w:rsidP="005F535C">
      <w:pPr>
        <w:spacing w:after="0" w:line="240" w:lineRule="auto"/>
        <w:rPr>
          <w:rFonts w:ascii="Arial" w:hAnsi="Arial" w:cs="Arial"/>
          <w:sz w:val="20"/>
          <w:szCs w:val="24"/>
        </w:rPr>
        <w:sectPr w:rsidR="005F535C" w:rsidRPr="004E339C" w:rsidSect="00314A41">
          <w:headerReference w:type="even" r:id="rId110"/>
          <w:headerReference w:type="default" r:id="rId111"/>
          <w:footerReference w:type="even" r:id="rId112"/>
          <w:footerReference w:type="default" r:id="rId113"/>
          <w:headerReference w:type="first" r:id="rId114"/>
          <w:footerReference w:type="first" r:id="rId115"/>
          <w:pgSz w:w="12240" w:h="15840"/>
          <w:pgMar w:top="1440" w:right="1440" w:bottom="1440" w:left="1440" w:header="720" w:footer="720" w:gutter="0"/>
          <w:cols w:space="720"/>
          <w:titlePg/>
          <w:docGrid w:linePitch="360"/>
        </w:sectPr>
      </w:pPr>
      <w:r>
        <w:rPr>
          <w:rFonts w:ascii="Arial" w:hAnsi="Arial" w:cs="Arial"/>
          <w:noProof/>
          <w:sz w:val="20"/>
          <w:szCs w:val="24"/>
        </w:rPr>
        <w:drawing>
          <wp:inline distT="0" distB="0" distL="0" distR="0">
            <wp:extent cx="6010275" cy="3124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010275" cy="3124200"/>
                    </a:xfrm>
                    <a:prstGeom prst="rect">
                      <a:avLst/>
                    </a:prstGeom>
                    <a:noFill/>
                    <a:ln>
                      <a:noFill/>
                    </a:ln>
                  </pic:spPr>
                </pic:pic>
              </a:graphicData>
            </a:graphic>
          </wp:inline>
        </w:drawing>
      </w:r>
    </w:p>
    <w:p w:rsidR="005F535C" w:rsidRDefault="005F535C" w:rsidP="005F535C">
      <w:pPr>
        <w:pStyle w:val="PlainText"/>
        <w:ind w:left="360"/>
        <w:rPr>
          <w:szCs w:val="22"/>
        </w:rPr>
      </w:pPr>
    </w:p>
    <w:p w:rsidR="005F535C" w:rsidRPr="00745929" w:rsidRDefault="005F535C" w:rsidP="005F535C">
      <w:pPr>
        <w:pStyle w:val="Caption"/>
        <w:rPr>
          <w:rFonts w:cs="Arial"/>
          <w:i w:val="0"/>
          <w:iCs w:val="0"/>
          <w:color w:val="auto"/>
          <w:sz w:val="22"/>
          <w:szCs w:val="22"/>
        </w:rPr>
      </w:pPr>
      <w:r w:rsidRPr="00745929">
        <w:rPr>
          <w:rFonts w:cs="Arial"/>
          <w:i w:val="0"/>
          <w:iCs w:val="0"/>
          <w:color w:val="auto"/>
          <w:sz w:val="22"/>
          <w:szCs w:val="22"/>
        </w:rPr>
        <w:t>Figure S3: Comparing the simulated and reported* number of new HIV infections from sexual transmissions in the United States, 2007 - 2009</w:t>
      </w:r>
    </w:p>
    <w:p w:rsidR="005F535C" w:rsidRDefault="005F535C" w:rsidP="005F535C">
      <w:pPr>
        <w:pStyle w:val="PlainText"/>
        <w:ind w:left="360"/>
        <w:rPr>
          <w:szCs w:val="22"/>
        </w:rPr>
      </w:pPr>
    </w:p>
    <w:p w:rsidR="005F535C" w:rsidRDefault="005F535C" w:rsidP="005F535C">
      <w:pPr>
        <w:pStyle w:val="PlainText"/>
        <w:ind w:left="360"/>
        <w:rPr>
          <w:noProof/>
        </w:rPr>
      </w:pPr>
    </w:p>
    <w:p w:rsidR="005F535C" w:rsidRDefault="005F535C" w:rsidP="005F535C">
      <w:pPr>
        <w:pStyle w:val="PlainText"/>
        <w:ind w:left="360"/>
        <w:rPr>
          <w:noProof/>
        </w:rPr>
      </w:pPr>
      <w:r>
        <w:rPr>
          <w:noProof/>
        </w:rPr>
        <w:drawing>
          <wp:inline distT="0" distB="0" distL="0" distR="0">
            <wp:extent cx="5943600" cy="2998470"/>
            <wp:effectExtent l="0" t="0" r="0" b="1143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5F535C" w:rsidRDefault="005F535C" w:rsidP="005F535C">
      <w:pPr>
        <w:pStyle w:val="PlainText"/>
        <w:ind w:left="360"/>
        <w:rPr>
          <w:noProof/>
        </w:rPr>
      </w:pPr>
    </w:p>
    <w:p w:rsidR="005F535C" w:rsidRDefault="005F535C" w:rsidP="005F535C">
      <w:pPr>
        <w:pStyle w:val="PlainText"/>
        <w:ind w:left="360"/>
        <w:rPr>
          <w:noProof/>
        </w:rPr>
      </w:pPr>
      <w:r>
        <w:rPr>
          <w:noProof/>
        </w:rPr>
        <w:t xml:space="preserve">*Reported numbers are from Prejean et al., 2011 </w:t>
      </w:r>
      <w:r>
        <w:rPr>
          <w:rFonts w:ascii="Arial" w:hAnsi="Arial" w:cs="Arial"/>
          <w:i/>
          <w:iCs/>
          <w:sz w:val="24"/>
          <w:szCs w:val="24"/>
        </w:rPr>
        <w:fldChar w:fldCharType="begin"/>
      </w:r>
      <w:r>
        <w:rPr>
          <w:rFonts w:ascii="Arial" w:hAnsi="Arial" w:cs="Arial"/>
          <w:i/>
          <w:iCs/>
          <w:sz w:val="24"/>
          <w:szCs w:val="24"/>
        </w:rPr>
        <w:instrText>ADDIN RW.CITE{{352 Prejean,J. 2011}}</w:instrText>
      </w:r>
      <w:r>
        <w:rPr>
          <w:rFonts w:ascii="Arial" w:hAnsi="Arial" w:cs="Arial"/>
          <w:i/>
          <w:iCs/>
          <w:sz w:val="24"/>
          <w:szCs w:val="24"/>
        </w:rPr>
        <w:fldChar w:fldCharType="separate"/>
      </w:r>
      <w:r w:rsidRPr="00A04044">
        <w:rPr>
          <w:rFonts w:ascii="Arial" w:hAnsi="Arial" w:cs="Arial"/>
          <w:i/>
          <w:iCs/>
          <w:sz w:val="24"/>
          <w:szCs w:val="24"/>
        </w:rPr>
        <w:t>(5)</w:t>
      </w:r>
      <w:r>
        <w:rPr>
          <w:rFonts w:ascii="Arial" w:hAnsi="Arial" w:cs="Arial"/>
          <w:i/>
          <w:iCs/>
          <w:sz w:val="24"/>
          <w:szCs w:val="24"/>
        </w:rPr>
        <w:fldChar w:fldCharType="end"/>
      </w: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Default="005F535C" w:rsidP="005F535C">
      <w:pPr>
        <w:pStyle w:val="PlainText"/>
        <w:ind w:left="360"/>
        <w:rPr>
          <w:noProof/>
        </w:rPr>
      </w:pPr>
    </w:p>
    <w:p w:rsidR="005F535C" w:rsidRPr="004130F0" w:rsidRDefault="005F535C" w:rsidP="005F535C">
      <w:pPr>
        <w:pStyle w:val="PlainText"/>
        <w:ind w:left="360"/>
        <w:rPr>
          <w:szCs w:val="22"/>
        </w:rPr>
      </w:pPr>
      <w:r w:rsidRPr="004130F0">
        <w:rPr>
          <w:szCs w:val="22"/>
        </w:rPr>
        <w:lastRenderedPageBreak/>
        <w:t>Figure S</w:t>
      </w:r>
      <w:r>
        <w:rPr>
          <w:szCs w:val="22"/>
        </w:rPr>
        <w:t>4</w:t>
      </w:r>
      <w:r w:rsidRPr="004130F0">
        <w:rPr>
          <w:szCs w:val="22"/>
        </w:rPr>
        <w:t>: Model validation- Comparing simulated (PATH 2.0) with observed results in surveillance</w:t>
      </w:r>
      <w:r>
        <w:rPr>
          <w:szCs w:val="22"/>
        </w:rPr>
        <w:t>*</w:t>
      </w:r>
      <w:r w:rsidRPr="004130F0">
        <w:rPr>
          <w:szCs w:val="22"/>
        </w:rPr>
        <w:t xml:space="preserve"> </w:t>
      </w:r>
    </w:p>
    <w:p w:rsidR="005F535C" w:rsidRPr="004130F0" w:rsidRDefault="005F535C" w:rsidP="005F535C">
      <w:pPr>
        <w:pStyle w:val="PlainText"/>
        <w:ind w:left="360"/>
        <w:rPr>
          <w:rFonts w:ascii="Arial" w:hAnsi="Arial" w:cs="Arial"/>
          <w:color w:val="365F91"/>
          <w:sz w:val="24"/>
          <w:szCs w:val="24"/>
        </w:rPr>
      </w:pPr>
      <w:r>
        <w:rPr>
          <w:rFonts w:ascii="Arial" w:eastAsia="Times New Roman" w:hAnsi="Arial" w:cs="Arial"/>
          <w:b/>
          <w:noProof/>
          <w:color w:val="365F91"/>
          <w:sz w:val="24"/>
          <w:szCs w:val="24"/>
          <w:u w:val="single"/>
        </w:rPr>
        <w:drawing>
          <wp:inline distT="0" distB="0" distL="0" distR="0">
            <wp:extent cx="4171950" cy="319087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171950" cy="3190875"/>
                    </a:xfrm>
                    <a:prstGeom prst="rect">
                      <a:avLst/>
                    </a:prstGeom>
                    <a:noFill/>
                    <a:ln w="9525" cmpd="sng">
                      <a:solidFill>
                        <a:srgbClr val="000000"/>
                      </a:solidFill>
                      <a:miter lim="800000"/>
                      <a:headEnd/>
                      <a:tailEnd/>
                    </a:ln>
                    <a:effectLst/>
                  </pic:spPr>
                </pic:pic>
              </a:graphicData>
            </a:graphic>
          </wp:inline>
        </w:drawing>
      </w:r>
    </w:p>
    <w:p w:rsidR="005F535C" w:rsidRDefault="005F535C" w:rsidP="005F535C">
      <w:pPr>
        <w:spacing w:line="480" w:lineRule="auto"/>
      </w:pPr>
      <w:r>
        <w:t xml:space="preserve">*NHSS </w:t>
      </w:r>
      <w:r w:rsidRPr="004130F0">
        <w:fldChar w:fldCharType="begin"/>
      </w:r>
      <w:r w:rsidRPr="004130F0">
        <w:instrText>ADDIN RW.CITE{{623 [NoInformation] [No Information]; 624 [NoInformation] [No Information]; 507 [NoInformation] [No Information]}}</w:instrText>
      </w:r>
      <w:r w:rsidRPr="004130F0">
        <w:fldChar w:fldCharType="separate"/>
      </w:r>
      <w:r w:rsidRPr="00A04044">
        <w:t>(1,57,58)</w:t>
      </w:r>
      <w:r w:rsidRPr="004130F0">
        <w:fldChar w:fldCharType="end"/>
      </w:r>
      <w:r>
        <w:t xml:space="preserve"> or </w:t>
      </w:r>
      <w:r w:rsidRPr="004130F0">
        <w:t xml:space="preserve">literature </w:t>
      </w:r>
      <w:r w:rsidRPr="004130F0">
        <w:fldChar w:fldCharType="begin"/>
      </w:r>
      <w:r w:rsidRPr="004130F0">
        <w:instrText>ADDIN RW.CITE{{600 Lodi,S. 2011}}</w:instrText>
      </w:r>
      <w:r w:rsidRPr="004130F0">
        <w:fldChar w:fldCharType="separate"/>
      </w:r>
      <w:r w:rsidRPr="00A04044">
        <w:t>(59)</w:t>
      </w:r>
      <w:r w:rsidRPr="004130F0">
        <w:fldChar w:fldCharType="end"/>
      </w:r>
      <w:r w:rsidRPr="004130F0">
        <w:t xml:space="preserve"> </w:t>
      </w:r>
    </w:p>
    <w:p w:rsidR="005F535C" w:rsidRDefault="005F535C" w:rsidP="005F535C">
      <w:pPr>
        <w:spacing w:line="480" w:lineRule="auto"/>
      </w:pPr>
    </w:p>
    <w:p w:rsidR="005F535C" w:rsidRDefault="005F535C" w:rsidP="005F535C">
      <w:pPr>
        <w:spacing w:line="480" w:lineRule="auto"/>
      </w:pPr>
    </w:p>
    <w:p w:rsidR="005F535C" w:rsidRDefault="005F535C" w:rsidP="005F535C">
      <w:pPr>
        <w:spacing w:line="480" w:lineRule="auto"/>
      </w:pPr>
    </w:p>
    <w:p w:rsidR="005F535C" w:rsidRDefault="005F535C" w:rsidP="005F535C">
      <w:pPr>
        <w:spacing w:line="480" w:lineRule="auto"/>
      </w:pPr>
    </w:p>
    <w:p w:rsidR="005F535C" w:rsidRDefault="005F535C" w:rsidP="005F535C">
      <w:pPr>
        <w:spacing w:line="480" w:lineRule="auto"/>
      </w:pPr>
    </w:p>
    <w:p w:rsidR="005F535C" w:rsidRDefault="005F535C" w:rsidP="005F535C">
      <w:pPr>
        <w:spacing w:line="480" w:lineRule="auto"/>
      </w:pPr>
    </w:p>
    <w:p w:rsidR="005F535C" w:rsidRDefault="005F535C" w:rsidP="005F535C">
      <w:pPr>
        <w:spacing w:line="480" w:lineRule="auto"/>
      </w:pPr>
    </w:p>
    <w:p w:rsidR="005F535C" w:rsidRDefault="005F535C" w:rsidP="005F535C">
      <w:pPr>
        <w:spacing w:line="480" w:lineRule="auto"/>
      </w:pPr>
    </w:p>
    <w:p w:rsidR="005F535C" w:rsidRDefault="005F535C" w:rsidP="005F535C">
      <w:pPr>
        <w:spacing w:line="480" w:lineRule="auto"/>
      </w:pPr>
    </w:p>
    <w:p w:rsidR="005F535C" w:rsidRDefault="005F535C" w:rsidP="005F535C">
      <w:pPr>
        <w:spacing w:line="240" w:lineRule="auto"/>
      </w:pPr>
      <w:r>
        <w:lastRenderedPageBreak/>
        <w:t>Figure S5: Testing performance of meta-models by plotting meta-model estimations against PATH estimations for 40 combinations of percentages of PLWH with diagnosed infection (D), persons with newly diagnosed HIV who are linked to care within 1 month of diagnosis (L), and persons living with diagnosed HIV who have viral load suppression (V): all three measures generate a line of the form y=x, thus verifying the fits</w:t>
      </w:r>
    </w:p>
    <w:p w:rsidR="005F535C" w:rsidRDefault="005F535C" w:rsidP="005F535C">
      <w:pPr>
        <w:spacing w:after="0" w:line="480" w:lineRule="auto"/>
      </w:pPr>
      <w:r>
        <w:rPr>
          <w:noProof/>
        </w:rPr>
        <w:drawing>
          <wp:inline distT="0" distB="0" distL="0" distR="0">
            <wp:extent cx="4505325" cy="641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505325" cy="6410325"/>
                    </a:xfrm>
                    <a:prstGeom prst="rect">
                      <a:avLst/>
                    </a:prstGeom>
                    <a:noFill/>
                    <a:ln>
                      <a:noFill/>
                    </a:ln>
                  </pic:spPr>
                </pic:pic>
              </a:graphicData>
            </a:graphic>
          </wp:inline>
        </w:drawing>
      </w:r>
    </w:p>
    <w:p w:rsidR="005F535C" w:rsidRDefault="005F535C" w:rsidP="005F535C">
      <w:pPr>
        <w:spacing w:after="0" w:line="240" w:lineRule="auto"/>
      </w:pPr>
      <w:r>
        <w:t xml:space="preserve">Goodness of fit measured for the above 3 graphs by R-square estimate yielded values of 95%, 93%, and 97%, respectively, indicating the meta-models are a good fit. </w:t>
      </w:r>
    </w:p>
    <w:p w:rsidR="005F535C" w:rsidRDefault="005F535C" w:rsidP="005F535C">
      <w:pPr>
        <w:spacing w:line="480" w:lineRule="auto"/>
      </w:pPr>
    </w:p>
    <w:p w:rsidR="005F535C" w:rsidRPr="00186FB3" w:rsidRDefault="005F535C" w:rsidP="005F535C">
      <w:pPr>
        <w:spacing w:line="480" w:lineRule="auto"/>
      </w:pPr>
      <w:r w:rsidRPr="00186FB3">
        <w:lastRenderedPageBreak/>
        <w:t xml:space="preserve">Table S1: Distribution of parameters of people living with HIV in </w:t>
      </w:r>
      <w:r>
        <w:t xml:space="preserve">the </w:t>
      </w:r>
      <w:r w:rsidRPr="00186FB3">
        <w:t>U</w:t>
      </w:r>
      <w:r>
        <w:t xml:space="preserve">nited </w:t>
      </w:r>
      <w:r w:rsidRPr="00186FB3">
        <w:t>S</w:t>
      </w:r>
      <w:r>
        <w:t>tates</w:t>
      </w:r>
      <w:r w:rsidRPr="00186FB3">
        <w:t xml:space="preserve"> in 2006</w:t>
      </w:r>
    </w:p>
    <w:tbl>
      <w:tblPr>
        <w:tblW w:w="7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079"/>
        <w:gridCol w:w="1079"/>
        <w:gridCol w:w="1080"/>
        <w:gridCol w:w="1079"/>
      </w:tblGrid>
      <w:tr w:rsidR="005F535C" w:rsidRPr="004130F0" w:rsidTr="00DE49A9">
        <w:trPr>
          <w:trHeight w:val="205"/>
        </w:trPr>
        <w:tc>
          <w:tcPr>
            <w:tcW w:w="2944" w:type="dxa"/>
            <w:shd w:val="clear" w:color="auto" w:fill="auto"/>
            <w:noWrap/>
            <w:hideMark/>
          </w:tcPr>
          <w:p w:rsidR="005F535C" w:rsidRPr="004130F0" w:rsidRDefault="005F535C" w:rsidP="00DE49A9">
            <w:pPr>
              <w:spacing w:after="0" w:line="240" w:lineRule="auto"/>
              <w:rPr>
                <w:rFonts w:eastAsia="Times New Roman" w:cs="Calibri"/>
                <w:color w:val="000000"/>
                <w:sz w:val="20"/>
              </w:rPr>
            </w:pPr>
          </w:p>
        </w:tc>
        <w:tc>
          <w:tcPr>
            <w:tcW w:w="1079" w:type="dxa"/>
            <w:shd w:val="clear" w:color="auto" w:fill="auto"/>
            <w:noWrap/>
            <w:hideMark/>
          </w:tcPr>
          <w:p w:rsidR="005F535C" w:rsidRPr="004130F0" w:rsidRDefault="005F535C" w:rsidP="00DE49A9">
            <w:pPr>
              <w:spacing w:after="0" w:line="240" w:lineRule="auto"/>
              <w:jc w:val="center"/>
              <w:rPr>
                <w:rFonts w:eastAsia="Times New Roman" w:cs="Calibri"/>
                <w:b/>
                <w:color w:val="000000"/>
                <w:sz w:val="20"/>
              </w:rPr>
            </w:pPr>
            <w:r w:rsidRPr="004130F0">
              <w:rPr>
                <w:rFonts w:eastAsia="Times New Roman" w:cs="Calibri"/>
                <w:b/>
                <w:color w:val="000000"/>
                <w:sz w:val="20"/>
              </w:rPr>
              <w:t>Female</w:t>
            </w:r>
          </w:p>
        </w:tc>
        <w:tc>
          <w:tcPr>
            <w:tcW w:w="1079" w:type="dxa"/>
            <w:shd w:val="clear" w:color="auto" w:fill="auto"/>
            <w:noWrap/>
            <w:hideMark/>
          </w:tcPr>
          <w:p w:rsidR="005F535C" w:rsidRPr="004130F0" w:rsidRDefault="005F535C" w:rsidP="00DE49A9">
            <w:pPr>
              <w:spacing w:after="0" w:line="240" w:lineRule="auto"/>
              <w:jc w:val="center"/>
              <w:rPr>
                <w:rFonts w:eastAsia="Times New Roman" w:cs="Calibri"/>
                <w:b/>
                <w:color w:val="000000"/>
                <w:sz w:val="20"/>
              </w:rPr>
            </w:pPr>
            <w:r w:rsidRPr="004130F0">
              <w:rPr>
                <w:rFonts w:eastAsia="Times New Roman" w:cs="Calibri"/>
                <w:b/>
                <w:color w:val="000000"/>
                <w:sz w:val="20"/>
              </w:rPr>
              <w:t>Male</w:t>
            </w:r>
          </w:p>
        </w:tc>
        <w:tc>
          <w:tcPr>
            <w:tcW w:w="1080" w:type="dxa"/>
            <w:shd w:val="clear" w:color="auto" w:fill="auto"/>
            <w:noWrap/>
            <w:hideMark/>
          </w:tcPr>
          <w:p w:rsidR="005F535C" w:rsidRPr="004130F0" w:rsidRDefault="005F535C" w:rsidP="00DE49A9">
            <w:pPr>
              <w:spacing w:after="0" w:line="240" w:lineRule="auto"/>
              <w:jc w:val="center"/>
              <w:rPr>
                <w:rFonts w:eastAsia="Times New Roman" w:cs="Calibri"/>
                <w:b/>
                <w:color w:val="000000"/>
                <w:sz w:val="20"/>
              </w:rPr>
            </w:pPr>
            <w:r w:rsidRPr="004130F0">
              <w:rPr>
                <w:rFonts w:eastAsia="Times New Roman" w:cs="Calibri"/>
                <w:b/>
                <w:color w:val="000000"/>
                <w:sz w:val="20"/>
              </w:rPr>
              <w:t>MSM</w:t>
            </w:r>
          </w:p>
        </w:tc>
        <w:tc>
          <w:tcPr>
            <w:tcW w:w="1079" w:type="dxa"/>
            <w:shd w:val="clear" w:color="auto" w:fill="auto"/>
            <w:noWrap/>
            <w:hideMark/>
          </w:tcPr>
          <w:p w:rsidR="005F535C" w:rsidRPr="004130F0" w:rsidRDefault="005F535C" w:rsidP="00DE49A9">
            <w:pPr>
              <w:spacing w:after="0" w:line="240" w:lineRule="auto"/>
              <w:jc w:val="center"/>
              <w:rPr>
                <w:rFonts w:eastAsia="Times New Roman" w:cs="Calibri"/>
                <w:b/>
                <w:color w:val="000000"/>
                <w:sz w:val="20"/>
              </w:rPr>
            </w:pPr>
            <w:r w:rsidRPr="004130F0">
              <w:rPr>
                <w:rFonts w:eastAsia="Times New Roman" w:cs="Calibri"/>
                <w:b/>
                <w:color w:val="000000"/>
                <w:sz w:val="20"/>
              </w:rPr>
              <w:t>Source</w:t>
            </w:r>
          </w:p>
        </w:tc>
      </w:tr>
      <w:tr w:rsidR="005F535C" w:rsidRPr="004130F0" w:rsidTr="00DE49A9">
        <w:trPr>
          <w:trHeight w:val="205"/>
        </w:trPr>
        <w:tc>
          <w:tcPr>
            <w:tcW w:w="6182" w:type="dxa"/>
            <w:gridSpan w:val="4"/>
            <w:tcBorders>
              <w:bottom w:val="single" w:sz="4" w:space="0" w:color="auto"/>
            </w:tcBorders>
            <w:shd w:val="clear" w:color="auto" w:fill="auto"/>
            <w:noWrap/>
            <w:hideMark/>
          </w:tcPr>
          <w:p w:rsidR="005F535C" w:rsidRPr="004130F0" w:rsidRDefault="005F535C" w:rsidP="00DE49A9">
            <w:pPr>
              <w:spacing w:after="0" w:line="240" w:lineRule="auto"/>
              <w:rPr>
                <w:rFonts w:eastAsia="Times New Roman" w:cs="Calibri"/>
                <w:b/>
                <w:bCs/>
                <w:color w:val="000000"/>
                <w:sz w:val="20"/>
                <w:szCs w:val="20"/>
              </w:rPr>
            </w:pPr>
            <w:r w:rsidRPr="004130F0">
              <w:rPr>
                <w:rFonts w:eastAsia="Times New Roman" w:cs="Calibri"/>
                <w:b/>
                <w:bCs/>
                <w:color w:val="000000"/>
                <w:sz w:val="20"/>
                <w:szCs w:val="20"/>
              </w:rPr>
              <w:t>Distribution of PLWH in year 2006 by stage</w:t>
            </w:r>
          </w:p>
        </w:tc>
        <w:tc>
          <w:tcPr>
            <w:tcW w:w="1079" w:type="dxa"/>
            <w:tcBorders>
              <w:bottom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r w:rsidRPr="004130F0">
              <w:t xml:space="preserve"> </w:t>
            </w:r>
            <w:r w:rsidRPr="004130F0">
              <w:fldChar w:fldCharType="begin"/>
            </w:r>
            <w:r w:rsidRPr="004130F0">
              <w:instrText>ADDIN RW.CITE{{349 Campsmith,M.L. 2010; 352 Prejean,J. 2011; 46 Gardner,E.M. 2011}}</w:instrText>
            </w:r>
            <w:r w:rsidRPr="004130F0">
              <w:fldChar w:fldCharType="separate"/>
            </w:r>
            <w:r w:rsidRPr="00A04044">
              <w:t>(4-6)</w:t>
            </w:r>
            <w:r w:rsidRPr="004130F0">
              <w:fldChar w:fldCharType="end"/>
            </w:r>
          </w:p>
        </w:tc>
      </w:tr>
      <w:tr w:rsidR="005F535C" w:rsidRPr="004130F0" w:rsidTr="00DE49A9">
        <w:trPr>
          <w:trHeight w:val="205"/>
        </w:trPr>
        <w:tc>
          <w:tcPr>
            <w:tcW w:w="2944" w:type="dxa"/>
            <w:tcBorders>
              <w:top w:val="single" w:sz="4" w:space="0" w:color="auto"/>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18"/>
              </w:rPr>
            </w:pPr>
            <w:r w:rsidRPr="004130F0">
              <w:rPr>
                <w:rFonts w:eastAsia="Times New Roman" w:cs="Calibri"/>
                <w:color w:val="000000"/>
                <w:sz w:val="18"/>
              </w:rPr>
              <w:t>Acute-unaware</w:t>
            </w:r>
          </w:p>
        </w:tc>
        <w:tc>
          <w:tcPr>
            <w:tcW w:w="1079" w:type="dxa"/>
            <w:tcBorders>
              <w:top w:val="single" w:sz="4" w:space="0" w:color="auto"/>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0.16%</w:t>
            </w:r>
          </w:p>
        </w:tc>
        <w:tc>
          <w:tcPr>
            <w:tcW w:w="1079" w:type="dxa"/>
            <w:tcBorders>
              <w:top w:val="single" w:sz="4" w:space="0" w:color="auto"/>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0.07%</w:t>
            </w:r>
          </w:p>
        </w:tc>
        <w:tc>
          <w:tcPr>
            <w:tcW w:w="1080" w:type="dxa"/>
            <w:tcBorders>
              <w:top w:val="single" w:sz="4" w:space="0" w:color="auto"/>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0.43%</w:t>
            </w:r>
          </w:p>
        </w:tc>
        <w:tc>
          <w:tcPr>
            <w:tcW w:w="1079" w:type="dxa"/>
            <w:tcBorders>
              <w:top w:val="single" w:sz="4" w:space="0" w:color="auto"/>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r w:rsidRPr="004130F0">
              <w:rPr>
                <w:rFonts w:eastAsia="Times New Roman" w:cs="Calibri"/>
                <w:color w:val="000000"/>
                <w:sz w:val="20"/>
              </w:rPr>
              <w:t> </w:t>
            </w: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18"/>
              </w:rPr>
            </w:pPr>
            <w:r w:rsidRPr="004130F0">
              <w:rPr>
                <w:rFonts w:eastAsia="Times New Roman" w:cs="Calibri"/>
                <w:color w:val="000000"/>
                <w:sz w:val="18"/>
              </w:rPr>
              <w:t>NonAcute-unaware</w:t>
            </w:r>
          </w:p>
        </w:tc>
        <w:tc>
          <w:tcPr>
            <w:tcW w:w="1079" w:type="dxa"/>
            <w:tcBorders>
              <w:top w:val="nil"/>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5%</w:t>
            </w: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3%</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14%</w:t>
            </w: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18"/>
              </w:rPr>
            </w:pPr>
            <w:r w:rsidRPr="004130F0">
              <w:rPr>
                <w:rFonts w:eastAsia="Times New Roman" w:cs="Calibri"/>
                <w:color w:val="000000"/>
                <w:sz w:val="18"/>
              </w:rPr>
              <w:t>NonAcute Aware- No care</w:t>
            </w:r>
          </w:p>
        </w:tc>
        <w:tc>
          <w:tcPr>
            <w:tcW w:w="1079" w:type="dxa"/>
            <w:tcBorders>
              <w:top w:val="nil"/>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9%</w:t>
            </w: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5%</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24%</w:t>
            </w: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18"/>
              </w:rPr>
            </w:pPr>
            <w:r w:rsidRPr="004130F0">
              <w:rPr>
                <w:rFonts w:eastAsia="Times New Roman" w:cs="Calibri"/>
                <w:color w:val="000000"/>
                <w:sz w:val="18"/>
              </w:rPr>
              <w:t>NonAcute In care- No ART</w:t>
            </w:r>
          </w:p>
        </w:tc>
        <w:tc>
          <w:tcPr>
            <w:tcW w:w="1079" w:type="dxa"/>
            <w:tcBorders>
              <w:top w:val="nil"/>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4%</w:t>
            </w: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2%</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10%</w:t>
            </w: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18"/>
              </w:rPr>
            </w:pPr>
            <w:r w:rsidRPr="004130F0">
              <w:rPr>
                <w:rFonts w:eastAsia="Times New Roman" w:cs="Calibri"/>
                <w:color w:val="000000"/>
                <w:sz w:val="18"/>
              </w:rPr>
              <w:t>NonAcute-On ART- No VLS</w:t>
            </w:r>
          </w:p>
        </w:tc>
        <w:tc>
          <w:tcPr>
            <w:tcW w:w="1079" w:type="dxa"/>
            <w:tcBorders>
              <w:top w:val="nil"/>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w:t>
            </w: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3%</w:t>
            </w: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18"/>
              </w:rPr>
            </w:pPr>
            <w:r w:rsidRPr="004130F0">
              <w:rPr>
                <w:rFonts w:eastAsia="Times New Roman" w:cs="Calibri"/>
                <w:color w:val="000000"/>
                <w:sz w:val="18"/>
              </w:rPr>
              <w:t>NonAcute-On ART-VLS</w:t>
            </w:r>
          </w:p>
        </w:tc>
        <w:tc>
          <w:tcPr>
            <w:tcW w:w="1079" w:type="dxa"/>
            <w:tcBorders>
              <w:top w:val="nil"/>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5%</w:t>
            </w: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2%</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12%</w:t>
            </w: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single" w:sz="4" w:space="0" w:color="auto"/>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18"/>
              </w:rPr>
            </w:pPr>
            <w:r w:rsidRPr="004130F0">
              <w:rPr>
                <w:rFonts w:eastAsia="Times New Roman" w:cs="Calibri"/>
                <w:color w:val="000000"/>
                <w:sz w:val="18"/>
              </w:rPr>
              <w:t>Total</w:t>
            </w:r>
          </w:p>
        </w:tc>
        <w:tc>
          <w:tcPr>
            <w:tcW w:w="1079" w:type="dxa"/>
            <w:tcBorders>
              <w:top w:val="nil"/>
              <w:left w:val="single" w:sz="4" w:space="0" w:color="auto"/>
              <w:bottom w:val="single" w:sz="4" w:space="0" w:color="auto"/>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24%</w:t>
            </w:r>
          </w:p>
        </w:tc>
        <w:tc>
          <w:tcPr>
            <w:tcW w:w="1079" w:type="dxa"/>
            <w:tcBorders>
              <w:top w:val="nil"/>
              <w:left w:val="nil"/>
              <w:bottom w:val="single" w:sz="4" w:space="0" w:color="auto"/>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12%</w:t>
            </w:r>
          </w:p>
        </w:tc>
        <w:tc>
          <w:tcPr>
            <w:tcW w:w="1080" w:type="dxa"/>
            <w:tcBorders>
              <w:top w:val="nil"/>
              <w:left w:val="nil"/>
              <w:bottom w:val="single" w:sz="4" w:space="0" w:color="auto"/>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64%</w:t>
            </w:r>
          </w:p>
        </w:tc>
        <w:tc>
          <w:tcPr>
            <w:tcW w:w="1079" w:type="dxa"/>
            <w:tcBorders>
              <w:top w:val="nil"/>
              <w:left w:val="single" w:sz="4" w:space="0" w:color="auto"/>
              <w:bottom w:val="single" w:sz="4" w:space="0" w:color="auto"/>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single" w:sz="4" w:space="0" w:color="auto"/>
              <w:bottom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b/>
                <w:bCs/>
                <w:color w:val="000000"/>
                <w:sz w:val="20"/>
                <w:szCs w:val="20"/>
              </w:rPr>
            </w:pPr>
            <w:r w:rsidRPr="004130F0">
              <w:rPr>
                <w:rFonts w:eastAsia="Times New Roman" w:cs="Calibri"/>
                <w:b/>
                <w:bCs/>
                <w:color w:val="000000"/>
                <w:sz w:val="20"/>
                <w:szCs w:val="20"/>
              </w:rPr>
              <w:t>Age distribution of PLWH in year 2006</w:t>
            </w:r>
          </w:p>
        </w:tc>
        <w:tc>
          <w:tcPr>
            <w:tcW w:w="3238" w:type="dxa"/>
            <w:gridSpan w:val="3"/>
            <w:tcBorders>
              <w:top w:val="single" w:sz="4" w:space="0" w:color="auto"/>
              <w:bottom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b/>
                <w:bCs/>
                <w:color w:val="000000"/>
                <w:sz w:val="18"/>
                <w:szCs w:val="20"/>
              </w:rPr>
            </w:pPr>
            <w:r w:rsidRPr="004130F0">
              <w:rPr>
                <w:rFonts w:eastAsia="Times New Roman" w:cs="Calibri"/>
                <w:b/>
                <w:bCs/>
                <w:color w:val="000000"/>
                <w:sz w:val="18"/>
                <w:szCs w:val="20"/>
              </w:rPr>
              <w:t>(same for heterosexuals and MSM)</w:t>
            </w:r>
          </w:p>
        </w:tc>
        <w:tc>
          <w:tcPr>
            <w:tcW w:w="1079" w:type="dxa"/>
            <w:tcBorders>
              <w:top w:val="single" w:sz="4" w:space="0" w:color="auto"/>
              <w:bottom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r w:rsidRPr="004130F0">
              <w:fldChar w:fldCharType="begin"/>
            </w:r>
            <w:r w:rsidRPr="004130F0">
              <w:instrText>ADDIN RW.CITE{{352 Prejean,J. 2011; 289 [NoInformation] [No Information]}}</w:instrText>
            </w:r>
            <w:r w:rsidRPr="004130F0">
              <w:fldChar w:fldCharType="separate"/>
            </w:r>
            <w:r w:rsidRPr="00A04044">
              <w:t>(5,48)</w:t>
            </w:r>
            <w:r w:rsidRPr="004130F0">
              <w:fldChar w:fldCharType="end"/>
            </w:r>
          </w:p>
        </w:tc>
      </w:tr>
      <w:tr w:rsidR="005F535C" w:rsidRPr="004130F0" w:rsidTr="00DE49A9">
        <w:trPr>
          <w:trHeight w:val="205"/>
        </w:trPr>
        <w:tc>
          <w:tcPr>
            <w:tcW w:w="2944" w:type="dxa"/>
            <w:tcBorders>
              <w:top w:val="single" w:sz="4" w:space="0" w:color="auto"/>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13-14</w:t>
            </w:r>
          </w:p>
        </w:tc>
        <w:tc>
          <w:tcPr>
            <w:tcW w:w="1079" w:type="dxa"/>
            <w:tcBorders>
              <w:top w:val="single" w:sz="4" w:space="0" w:color="auto"/>
              <w:left w:val="single" w:sz="4" w:space="0" w:color="auto"/>
              <w:bottom w:val="nil"/>
              <w:right w:val="nil"/>
            </w:tcBorders>
            <w:shd w:val="clear" w:color="auto" w:fill="auto"/>
            <w:noWrap/>
          </w:tcPr>
          <w:p w:rsidR="005F535C" w:rsidRPr="004130F0" w:rsidRDefault="005F535C" w:rsidP="00DE49A9">
            <w:pPr>
              <w:spacing w:after="0" w:line="240" w:lineRule="auto"/>
              <w:jc w:val="center"/>
              <w:rPr>
                <w:rFonts w:eastAsia="Times New Roman" w:cs="Calibri"/>
                <w:color w:val="000000"/>
                <w:sz w:val="18"/>
              </w:rPr>
            </w:pPr>
          </w:p>
        </w:tc>
        <w:tc>
          <w:tcPr>
            <w:tcW w:w="1079" w:type="dxa"/>
            <w:tcBorders>
              <w:top w:val="single" w:sz="4" w:space="0" w:color="auto"/>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0.20%</w:t>
            </w:r>
          </w:p>
        </w:tc>
        <w:tc>
          <w:tcPr>
            <w:tcW w:w="1080" w:type="dxa"/>
            <w:tcBorders>
              <w:top w:val="single" w:sz="4" w:space="0" w:color="auto"/>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p>
        </w:tc>
        <w:tc>
          <w:tcPr>
            <w:tcW w:w="1079" w:type="dxa"/>
            <w:tcBorders>
              <w:top w:val="single" w:sz="4" w:space="0" w:color="auto"/>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15-19</w:t>
            </w:r>
          </w:p>
        </w:tc>
        <w:tc>
          <w:tcPr>
            <w:tcW w:w="1079" w:type="dxa"/>
            <w:tcBorders>
              <w:top w:val="nil"/>
              <w:left w:val="single" w:sz="4" w:space="0" w:color="auto"/>
              <w:bottom w:val="nil"/>
              <w:right w:val="nil"/>
            </w:tcBorders>
            <w:shd w:val="clear" w:color="auto" w:fill="auto"/>
            <w:noWrap/>
          </w:tcPr>
          <w:p w:rsidR="005F535C" w:rsidRPr="004130F0" w:rsidRDefault="005F535C" w:rsidP="00DE49A9">
            <w:pPr>
              <w:spacing w:after="0" w:line="240" w:lineRule="auto"/>
              <w:jc w:val="center"/>
              <w:rPr>
                <w:rFonts w:eastAsia="Times New Roman" w:cs="Calibri"/>
                <w:color w:val="000000"/>
                <w:sz w:val="18"/>
              </w:rPr>
            </w:pP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0.90%</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20-24</w:t>
            </w:r>
          </w:p>
        </w:tc>
        <w:tc>
          <w:tcPr>
            <w:tcW w:w="1079" w:type="dxa"/>
            <w:tcBorders>
              <w:top w:val="nil"/>
              <w:left w:val="single" w:sz="4" w:space="0" w:color="auto"/>
              <w:bottom w:val="nil"/>
              <w:right w:val="nil"/>
            </w:tcBorders>
            <w:shd w:val="clear" w:color="auto" w:fill="auto"/>
            <w:noWrap/>
          </w:tcPr>
          <w:p w:rsidR="005F535C" w:rsidRPr="004130F0" w:rsidRDefault="005F535C" w:rsidP="00DE49A9">
            <w:pPr>
              <w:spacing w:after="0" w:line="240" w:lineRule="auto"/>
              <w:jc w:val="center"/>
              <w:rPr>
                <w:rFonts w:eastAsia="Times New Roman" w:cs="Calibri"/>
                <w:color w:val="000000"/>
                <w:sz w:val="18"/>
              </w:rPr>
            </w:pP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3%</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25-29</w:t>
            </w:r>
          </w:p>
        </w:tc>
        <w:tc>
          <w:tcPr>
            <w:tcW w:w="1079" w:type="dxa"/>
            <w:tcBorders>
              <w:top w:val="nil"/>
              <w:left w:val="single" w:sz="4" w:space="0" w:color="auto"/>
              <w:bottom w:val="nil"/>
              <w:right w:val="nil"/>
            </w:tcBorders>
            <w:shd w:val="clear" w:color="auto" w:fill="auto"/>
            <w:noWrap/>
          </w:tcPr>
          <w:p w:rsidR="005F535C" w:rsidRPr="004130F0" w:rsidRDefault="005F535C" w:rsidP="00DE49A9">
            <w:pPr>
              <w:spacing w:after="0" w:line="240" w:lineRule="auto"/>
              <w:jc w:val="center"/>
              <w:rPr>
                <w:rFonts w:eastAsia="Times New Roman" w:cs="Calibri"/>
                <w:color w:val="000000"/>
                <w:sz w:val="18"/>
              </w:rPr>
            </w:pP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6%</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30-34</w:t>
            </w:r>
          </w:p>
        </w:tc>
        <w:tc>
          <w:tcPr>
            <w:tcW w:w="1079" w:type="dxa"/>
            <w:tcBorders>
              <w:top w:val="nil"/>
              <w:left w:val="single" w:sz="4" w:space="0" w:color="auto"/>
              <w:bottom w:val="nil"/>
              <w:right w:val="nil"/>
            </w:tcBorders>
            <w:shd w:val="clear" w:color="auto" w:fill="auto"/>
            <w:noWrap/>
          </w:tcPr>
          <w:p w:rsidR="005F535C" w:rsidRPr="004130F0" w:rsidRDefault="005F535C" w:rsidP="00DE49A9">
            <w:pPr>
              <w:spacing w:after="0" w:line="240" w:lineRule="auto"/>
              <w:jc w:val="center"/>
              <w:rPr>
                <w:rFonts w:eastAsia="Times New Roman" w:cs="Calibri"/>
                <w:color w:val="000000"/>
                <w:sz w:val="18"/>
              </w:rPr>
            </w:pP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9%</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35-39</w:t>
            </w:r>
          </w:p>
        </w:tc>
        <w:tc>
          <w:tcPr>
            <w:tcW w:w="1079" w:type="dxa"/>
            <w:tcBorders>
              <w:top w:val="nil"/>
              <w:left w:val="single" w:sz="4" w:space="0" w:color="auto"/>
              <w:bottom w:val="nil"/>
              <w:right w:val="nil"/>
            </w:tcBorders>
            <w:shd w:val="clear" w:color="auto" w:fill="auto"/>
            <w:noWrap/>
          </w:tcPr>
          <w:p w:rsidR="005F535C" w:rsidRPr="004130F0" w:rsidRDefault="005F535C" w:rsidP="00DE49A9">
            <w:pPr>
              <w:spacing w:after="0" w:line="240" w:lineRule="auto"/>
              <w:jc w:val="center"/>
              <w:rPr>
                <w:rFonts w:eastAsia="Times New Roman" w:cs="Calibri"/>
                <w:color w:val="000000"/>
                <w:sz w:val="18"/>
              </w:rPr>
            </w:pP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15%</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40-44</w:t>
            </w:r>
          </w:p>
        </w:tc>
        <w:tc>
          <w:tcPr>
            <w:tcW w:w="1079" w:type="dxa"/>
            <w:tcBorders>
              <w:top w:val="nil"/>
              <w:left w:val="single" w:sz="4" w:space="0" w:color="auto"/>
              <w:bottom w:val="nil"/>
              <w:right w:val="nil"/>
            </w:tcBorders>
            <w:shd w:val="clear" w:color="auto" w:fill="auto"/>
            <w:noWrap/>
          </w:tcPr>
          <w:p w:rsidR="005F535C" w:rsidRPr="004130F0" w:rsidRDefault="005F535C" w:rsidP="00DE49A9">
            <w:pPr>
              <w:spacing w:after="0" w:line="240" w:lineRule="auto"/>
              <w:jc w:val="center"/>
              <w:rPr>
                <w:rFonts w:eastAsia="Times New Roman" w:cs="Calibri"/>
                <w:color w:val="000000"/>
                <w:sz w:val="18"/>
              </w:rPr>
            </w:pP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21%</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45-49</w:t>
            </w:r>
          </w:p>
        </w:tc>
        <w:tc>
          <w:tcPr>
            <w:tcW w:w="1079" w:type="dxa"/>
            <w:tcBorders>
              <w:top w:val="nil"/>
              <w:left w:val="single" w:sz="4" w:space="0" w:color="auto"/>
              <w:bottom w:val="nil"/>
              <w:right w:val="nil"/>
            </w:tcBorders>
            <w:shd w:val="clear" w:color="auto" w:fill="auto"/>
            <w:noWrap/>
          </w:tcPr>
          <w:p w:rsidR="005F535C" w:rsidRPr="004130F0" w:rsidRDefault="005F535C" w:rsidP="00DE49A9">
            <w:pPr>
              <w:spacing w:after="0" w:line="240" w:lineRule="auto"/>
              <w:jc w:val="center"/>
              <w:rPr>
                <w:rFonts w:eastAsia="Times New Roman" w:cs="Calibri"/>
                <w:color w:val="000000"/>
                <w:sz w:val="18"/>
              </w:rPr>
            </w:pP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19%</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50-54</w:t>
            </w:r>
          </w:p>
        </w:tc>
        <w:tc>
          <w:tcPr>
            <w:tcW w:w="1079" w:type="dxa"/>
            <w:tcBorders>
              <w:top w:val="nil"/>
              <w:left w:val="single" w:sz="4" w:space="0" w:color="auto"/>
              <w:bottom w:val="nil"/>
              <w:right w:val="nil"/>
            </w:tcBorders>
            <w:shd w:val="clear" w:color="auto" w:fill="auto"/>
            <w:noWrap/>
          </w:tcPr>
          <w:p w:rsidR="005F535C" w:rsidRPr="004130F0" w:rsidRDefault="005F535C" w:rsidP="00DE49A9">
            <w:pPr>
              <w:spacing w:after="0" w:line="240" w:lineRule="auto"/>
              <w:jc w:val="center"/>
              <w:rPr>
                <w:rFonts w:eastAsia="Times New Roman" w:cs="Calibri"/>
                <w:color w:val="000000"/>
                <w:sz w:val="18"/>
              </w:rPr>
            </w:pP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13%</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55-59</w:t>
            </w:r>
          </w:p>
        </w:tc>
        <w:tc>
          <w:tcPr>
            <w:tcW w:w="1079" w:type="dxa"/>
            <w:tcBorders>
              <w:top w:val="nil"/>
              <w:left w:val="single" w:sz="4" w:space="0" w:color="auto"/>
              <w:bottom w:val="nil"/>
              <w:right w:val="nil"/>
            </w:tcBorders>
            <w:shd w:val="clear" w:color="auto" w:fill="auto"/>
            <w:noWrap/>
          </w:tcPr>
          <w:p w:rsidR="005F535C" w:rsidRPr="004130F0" w:rsidRDefault="005F535C" w:rsidP="00DE49A9">
            <w:pPr>
              <w:spacing w:after="0" w:line="240" w:lineRule="auto"/>
              <w:jc w:val="center"/>
              <w:rPr>
                <w:rFonts w:eastAsia="Times New Roman" w:cs="Calibri"/>
                <w:color w:val="000000"/>
                <w:sz w:val="18"/>
              </w:rPr>
            </w:pP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7%</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60-64</w:t>
            </w:r>
          </w:p>
        </w:tc>
        <w:tc>
          <w:tcPr>
            <w:tcW w:w="1079" w:type="dxa"/>
            <w:tcBorders>
              <w:top w:val="nil"/>
              <w:left w:val="single" w:sz="4" w:space="0" w:color="auto"/>
              <w:bottom w:val="nil"/>
              <w:right w:val="nil"/>
            </w:tcBorders>
            <w:shd w:val="clear" w:color="auto" w:fill="auto"/>
            <w:noWrap/>
          </w:tcPr>
          <w:p w:rsidR="005F535C" w:rsidRPr="004130F0" w:rsidRDefault="005F535C" w:rsidP="00DE49A9">
            <w:pPr>
              <w:spacing w:after="0" w:line="240" w:lineRule="auto"/>
              <w:jc w:val="center"/>
              <w:rPr>
                <w:rFonts w:eastAsia="Times New Roman" w:cs="Calibri"/>
                <w:color w:val="000000"/>
                <w:sz w:val="18"/>
              </w:rPr>
            </w:pP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3%</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single" w:sz="4" w:space="0" w:color="auto"/>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&gt;=65</w:t>
            </w:r>
          </w:p>
        </w:tc>
        <w:tc>
          <w:tcPr>
            <w:tcW w:w="1079" w:type="dxa"/>
            <w:tcBorders>
              <w:top w:val="nil"/>
              <w:left w:val="single" w:sz="4" w:space="0" w:color="auto"/>
              <w:bottom w:val="single" w:sz="4" w:space="0" w:color="auto"/>
              <w:right w:val="nil"/>
            </w:tcBorders>
            <w:shd w:val="clear" w:color="auto" w:fill="auto"/>
            <w:noWrap/>
          </w:tcPr>
          <w:p w:rsidR="005F535C" w:rsidRPr="004130F0" w:rsidRDefault="005F535C" w:rsidP="00DE49A9">
            <w:pPr>
              <w:spacing w:after="0" w:line="240" w:lineRule="auto"/>
              <w:jc w:val="center"/>
              <w:rPr>
                <w:rFonts w:eastAsia="Times New Roman" w:cs="Calibri"/>
                <w:color w:val="000000"/>
                <w:sz w:val="18"/>
              </w:rPr>
            </w:pPr>
          </w:p>
        </w:tc>
        <w:tc>
          <w:tcPr>
            <w:tcW w:w="1079" w:type="dxa"/>
            <w:tcBorders>
              <w:top w:val="nil"/>
              <w:left w:val="nil"/>
              <w:bottom w:val="single" w:sz="4" w:space="0" w:color="auto"/>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3%</w:t>
            </w:r>
          </w:p>
        </w:tc>
        <w:tc>
          <w:tcPr>
            <w:tcW w:w="1080" w:type="dxa"/>
            <w:tcBorders>
              <w:top w:val="nil"/>
              <w:left w:val="nil"/>
              <w:bottom w:val="single" w:sz="4" w:space="0" w:color="auto"/>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p>
        </w:tc>
        <w:tc>
          <w:tcPr>
            <w:tcW w:w="1079" w:type="dxa"/>
            <w:tcBorders>
              <w:top w:val="nil"/>
              <w:left w:val="single" w:sz="4" w:space="0" w:color="auto"/>
              <w:bottom w:val="single" w:sz="4" w:space="0" w:color="auto"/>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6182" w:type="dxa"/>
            <w:gridSpan w:val="4"/>
            <w:tcBorders>
              <w:top w:val="single" w:sz="4" w:space="0" w:color="auto"/>
              <w:bottom w:val="single" w:sz="4" w:space="0" w:color="auto"/>
            </w:tcBorders>
            <w:shd w:val="clear" w:color="auto" w:fill="auto"/>
            <w:noWrap/>
            <w:hideMark/>
          </w:tcPr>
          <w:p w:rsidR="005F535C" w:rsidRPr="004130F0" w:rsidRDefault="005F535C" w:rsidP="00DE49A9">
            <w:pPr>
              <w:spacing w:after="0" w:line="240" w:lineRule="auto"/>
              <w:rPr>
                <w:rFonts w:eastAsia="Times New Roman" w:cs="Calibri"/>
                <w:b/>
                <w:bCs/>
                <w:color w:val="000000"/>
                <w:sz w:val="20"/>
                <w:szCs w:val="20"/>
              </w:rPr>
            </w:pPr>
            <w:r w:rsidRPr="004130F0">
              <w:rPr>
                <w:rFonts w:eastAsia="Times New Roman" w:cs="Calibri"/>
                <w:b/>
                <w:bCs/>
                <w:color w:val="000000"/>
                <w:sz w:val="20"/>
                <w:szCs w:val="20"/>
              </w:rPr>
              <w:t>Age distribution of new infections each year</w:t>
            </w:r>
          </w:p>
        </w:tc>
        <w:tc>
          <w:tcPr>
            <w:tcW w:w="1079" w:type="dxa"/>
            <w:tcBorders>
              <w:top w:val="single" w:sz="4" w:space="0" w:color="auto"/>
              <w:bottom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r w:rsidRPr="004130F0">
              <w:fldChar w:fldCharType="begin"/>
            </w:r>
            <w:r w:rsidRPr="004130F0">
              <w:instrText>ADDIN RW.CITE{{352 Prejean,J. 2011; 289 [NoInformation] [No Information]}}</w:instrText>
            </w:r>
            <w:r w:rsidRPr="004130F0">
              <w:fldChar w:fldCharType="separate"/>
            </w:r>
            <w:r w:rsidRPr="00A04044">
              <w:t>(5,48)</w:t>
            </w:r>
            <w:r w:rsidRPr="004130F0">
              <w:fldChar w:fldCharType="end"/>
            </w:r>
          </w:p>
        </w:tc>
      </w:tr>
      <w:tr w:rsidR="005F535C" w:rsidRPr="004130F0" w:rsidTr="00DE49A9">
        <w:trPr>
          <w:trHeight w:val="205"/>
        </w:trPr>
        <w:tc>
          <w:tcPr>
            <w:tcW w:w="2944" w:type="dxa"/>
            <w:tcBorders>
              <w:top w:val="single" w:sz="4" w:space="0" w:color="auto"/>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13-14</w:t>
            </w:r>
          </w:p>
        </w:tc>
        <w:tc>
          <w:tcPr>
            <w:tcW w:w="1079" w:type="dxa"/>
            <w:tcBorders>
              <w:top w:val="single" w:sz="4" w:space="0" w:color="auto"/>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0.10%</w:t>
            </w:r>
          </w:p>
        </w:tc>
        <w:tc>
          <w:tcPr>
            <w:tcW w:w="1079" w:type="dxa"/>
            <w:tcBorders>
              <w:top w:val="single" w:sz="4" w:space="0" w:color="auto"/>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0.10%</w:t>
            </w:r>
          </w:p>
        </w:tc>
        <w:tc>
          <w:tcPr>
            <w:tcW w:w="1080" w:type="dxa"/>
            <w:tcBorders>
              <w:top w:val="single" w:sz="4" w:space="0" w:color="auto"/>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0.10%</w:t>
            </w:r>
          </w:p>
        </w:tc>
        <w:tc>
          <w:tcPr>
            <w:tcW w:w="1079" w:type="dxa"/>
            <w:tcBorders>
              <w:top w:val="single" w:sz="4" w:space="0" w:color="auto"/>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15-19</w:t>
            </w:r>
          </w:p>
        </w:tc>
        <w:tc>
          <w:tcPr>
            <w:tcW w:w="1079" w:type="dxa"/>
            <w:tcBorders>
              <w:top w:val="nil"/>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4%</w:t>
            </w: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4%</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4%</w:t>
            </w: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20-24</w:t>
            </w:r>
          </w:p>
        </w:tc>
        <w:tc>
          <w:tcPr>
            <w:tcW w:w="1079" w:type="dxa"/>
            <w:tcBorders>
              <w:top w:val="nil"/>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17%</w:t>
            </w: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17%</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21%</w:t>
            </w: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25-29</w:t>
            </w:r>
          </w:p>
        </w:tc>
        <w:tc>
          <w:tcPr>
            <w:tcW w:w="1079" w:type="dxa"/>
            <w:tcBorders>
              <w:top w:val="nil"/>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15%</w:t>
            </w: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15%</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19%</w:t>
            </w: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30-34</w:t>
            </w:r>
          </w:p>
        </w:tc>
        <w:tc>
          <w:tcPr>
            <w:tcW w:w="1079" w:type="dxa"/>
            <w:tcBorders>
              <w:top w:val="nil"/>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15%</w:t>
            </w: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15%</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15%</w:t>
            </w: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35-39</w:t>
            </w:r>
          </w:p>
        </w:tc>
        <w:tc>
          <w:tcPr>
            <w:tcW w:w="1079" w:type="dxa"/>
            <w:tcBorders>
              <w:top w:val="nil"/>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12%</w:t>
            </w: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12%</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12%</w:t>
            </w: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40-44</w:t>
            </w:r>
          </w:p>
        </w:tc>
        <w:tc>
          <w:tcPr>
            <w:tcW w:w="1079" w:type="dxa"/>
            <w:tcBorders>
              <w:top w:val="nil"/>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11%</w:t>
            </w: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11%</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12%</w:t>
            </w: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45-49</w:t>
            </w:r>
          </w:p>
        </w:tc>
        <w:tc>
          <w:tcPr>
            <w:tcW w:w="1079" w:type="dxa"/>
            <w:tcBorders>
              <w:top w:val="nil"/>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11%</w:t>
            </w: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11%</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9%</w:t>
            </w: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50-54</w:t>
            </w:r>
          </w:p>
        </w:tc>
        <w:tc>
          <w:tcPr>
            <w:tcW w:w="1079" w:type="dxa"/>
            <w:tcBorders>
              <w:top w:val="nil"/>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10%</w:t>
            </w: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10%</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7%</w:t>
            </w: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55-59</w:t>
            </w:r>
          </w:p>
        </w:tc>
        <w:tc>
          <w:tcPr>
            <w:tcW w:w="1079" w:type="dxa"/>
            <w:tcBorders>
              <w:top w:val="nil"/>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5%</w:t>
            </w: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5%</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2%</w:t>
            </w: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60-64</w:t>
            </w:r>
          </w:p>
        </w:tc>
        <w:tc>
          <w:tcPr>
            <w:tcW w:w="1079" w:type="dxa"/>
            <w:tcBorders>
              <w:top w:val="nil"/>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0%</w:t>
            </w: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0%</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0%</w:t>
            </w:r>
          </w:p>
        </w:tc>
        <w:tc>
          <w:tcPr>
            <w:tcW w:w="1079"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2944" w:type="dxa"/>
            <w:tcBorders>
              <w:top w:val="nil"/>
              <w:left w:val="single" w:sz="4" w:space="0" w:color="auto"/>
              <w:bottom w:val="single" w:sz="4" w:space="0" w:color="auto"/>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&gt;=65</w:t>
            </w:r>
          </w:p>
        </w:tc>
        <w:tc>
          <w:tcPr>
            <w:tcW w:w="1079" w:type="dxa"/>
            <w:tcBorders>
              <w:top w:val="nil"/>
              <w:left w:val="single" w:sz="4" w:space="0" w:color="auto"/>
              <w:bottom w:val="single" w:sz="4" w:space="0" w:color="auto"/>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0%</w:t>
            </w:r>
          </w:p>
        </w:tc>
        <w:tc>
          <w:tcPr>
            <w:tcW w:w="1079" w:type="dxa"/>
            <w:tcBorders>
              <w:top w:val="nil"/>
              <w:left w:val="nil"/>
              <w:bottom w:val="single" w:sz="4" w:space="0" w:color="auto"/>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0%</w:t>
            </w:r>
          </w:p>
        </w:tc>
        <w:tc>
          <w:tcPr>
            <w:tcW w:w="1080" w:type="dxa"/>
            <w:tcBorders>
              <w:top w:val="nil"/>
              <w:left w:val="nil"/>
              <w:bottom w:val="single" w:sz="4" w:space="0" w:color="auto"/>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18"/>
              </w:rPr>
            </w:pPr>
            <w:r w:rsidRPr="004130F0">
              <w:rPr>
                <w:rFonts w:eastAsia="Times New Roman" w:cs="Calibri"/>
                <w:color w:val="000000"/>
                <w:sz w:val="18"/>
              </w:rPr>
              <w:t>0%</w:t>
            </w:r>
          </w:p>
        </w:tc>
        <w:tc>
          <w:tcPr>
            <w:tcW w:w="1079" w:type="dxa"/>
            <w:tcBorders>
              <w:top w:val="nil"/>
              <w:left w:val="single" w:sz="4" w:space="0" w:color="auto"/>
              <w:bottom w:val="single" w:sz="4" w:space="0" w:color="auto"/>
              <w:right w:val="single" w:sz="4" w:space="0" w:color="auto"/>
            </w:tcBorders>
            <w:shd w:val="clear" w:color="auto" w:fill="auto"/>
            <w:noWrap/>
            <w:hideMark/>
          </w:tcPr>
          <w:p w:rsidR="005F535C" w:rsidRPr="004130F0" w:rsidRDefault="005F535C" w:rsidP="00DE49A9">
            <w:pPr>
              <w:spacing w:after="0" w:line="240" w:lineRule="auto"/>
              <w:rPr>
                <w:rFonts w:eastAsia="Times New Roman" w:cs="Calibri"/>
                <w:color w:val="000000"/>
                <w:sz w:val="20"/>
              </w:rPr>
            </w:pPr>
          </w:p>
        </w:tc>
      </w:tr>
      <w:tr w:rsidR="005F535C" w:rsidRPr="004130F0" w:rsidTr="00DE49A9">
        <w:trPr>
          <w:trHeight w:val="205"/>
        </w:trPr>
        <w:tc>
          <w:tcPr>
            <w:tcW w:w="7261" w:type="dxa"/>
            <w:gridSpan w:val="5"/>
            <w:tcBorders>
              <w:top w:val="single" w:sz="4" w:space="0" w:color="auto"/>
              <w:bottom w:val="single" w:sz="4" w:space="0" w:color="auto"/>
            </w:tcBorders>
            <w:shd w:val="clear" w:color="auto" w:fill="auto"/>
            <w:noWrap/>
            <w:hideMark/>
          </w:tcPr>
          <w:p w:rsidR="005F535C" w:rsidRPr="004130F0" w:rsidRDefault="005F535C" w:rsidP="00DE49A9">
            <w:pPr>
              <w:spacing w:after="0" w:line="240" w:lineRule="auto"/>
              <w:rPr>
                <w:rFonts w:eastAsia="Times New Roman" w:cs="Calibri"/>
                <w:b/>
                <w:bCs/>
                <w:color w:val="000000"/>
                <w:sz w:val="20"/>
                <w:szCs w:val="20"/>
              </w:rPr>
            </w:pPr>
            <w:r w:rsidRPr="004130F0">
              <w:rPr>
                <w:rFonts w:eastAsia="Times New Roman" w:cs="Calibri"/>
                <w:b/>
                <w:bCs/>
                <w:color w:val="000000"/>
                <w:sz w:val="20"/>
                <w:szCs w:val="20"/>
              </w:rPr>
              <w:t>Distribution of CD4 cell count (cells/μL) at diagnosis for those aware of infection by year 2006</w:t>
            </w:r>
          </w:p>
        </w:tc>
      </w:tr>
      <w:tr w:rsidR="005F535C" w:rsidRPr="004130F0" w:rsidTr="00DE49A9">
        <w:trPr>
          <w:trHeight w:val="71"/>
        </w:trPr>
        <w:tc>
          <w:tcPr>
            <w:tcW w:w="2944" w:type="dxa"/>
            <w:tcBorders>
              <w:top w:val="single" w:sz="4" w:space="0" w:color="auto"/>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r w:rsidRPr="004130F0">
              <w:rPr>
                <w:rFonts w:eastAsia="Times New Roman" w:cs="Calibri"/>
                <w:color w:val="000000"/>
                <w:sz w:val="20"/>
              </w:rPr>
              <w:t>&lt;50</w:t>
            </w:r>
          </w:p>
        </w:tc>
        <w:tc>
          <w:tcPr>
            <w:tcW w:w="1079" w:type="dxa"/>
            <w:tcBorders>
              <w:top w:val="single" w:sz="4" w:space="0" w:color="auto"/>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r w:rsidRPr="004130F0">
              <w:rPr>
                <w:rFonts w:eastAsia="Times New Roman" w:cs="Calibri"/>
                <w:color w:val="000000"/>
                <w:sz w:val="20"/>
              </w:rPr>
              <w:t>10</w:t>
            </w:r>
          </w:p>
        </w:tc>
        <w:tc>
          <w:tcPr>
            <w:tcW w:w="1079" w:type="dxa"/>
            <w:tcBorders>
              <w:top w:val="single" w:sz="4" w:space="0" w:color="auto"/>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r w:rsidRPr="004130F0">
              <w:rPr>
                <w:rFonts w:eastAsia="Times New Roman" w:cs="Calibri"/>
                <w:color w:val="000000"/>
                <w:sz w:val="20"/>
              </w:rPr>
              <w:t>10</w:t>
            </w:r>
          </w:p>
        </w:tc>
        <w:tc>
          <w:tcPr>
            <w:tcW w:w="1080" w:type="dxa"/>
            <w:tcBorders>
              <w:top w:val="single" w:sz="4" w:space="0" w:color="auto"/>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r w:rsidRPr="004130F0">
              <w:rPr>
                <w:rFonts w:eastAsia="Times New Roman" w:cs="Calibri"/>
                <w:color w:val="000000"/>
                <w:sz w:val="20"/>
              </w:rPr>
              <w:t>10</w:t>
            </w:r>
          </w:p>
        </w:tc>
        <w:tc>
          <w:tcPr>
            <w:tcW w:w="1079" w:type="dxa"/>
            <w:tcBorders>
              <w:top w:val="single" w:sz="4" w:space="0" w:color="auto"/>
              <w:left w:val="single" w:sz="4" w:space="0" w:color="auto"/>
              <w:bottom w:val="nil"/>
              <w:right w:val="single" w:sz="4" w:space="0" w:color="auto"/>
            </w:tcBorders>
            <w:shd w:val="clear" w:color="auto" w:fill="auto"/>
            <w:noWrap/>
          </w:tcPr>
          <w:p w:rsidR="005F535C" w:rsidRPr="004130F0" w:rsidRDefault="005F535C" w:rsidP="00DE49A9">
            <w:pPr>
              <w:spacing w:after="0" w:line="240" w:lineRule="auto"/>
              <w:jc w:val="center"/>
              <w:rPr>
                <w:sz w:val="20"/>
              </w:rPr>
            </w:pPr>
            <w:r w:rsidRPr="004130F0">
              <w:rPr>
                <w:sz w:val="20"/>
              </w:rPr>
              <w:fldChar w:fldCharType="begin"/>
            </w:r>
            <w:r w:rsidRPr="004130F0">
              <w:rPr>
                <w:sz w:val="20"/>
              </w:rPr>
              <w:instrText>ADDIN RW.CITE{{290 Hall,H.I. 2006}}</w:instrText>
            </w:r>
            <w:r w:rsidRPr="004130F0">
              <w:rPr>
                <w:sz w:val="20"/>
              </w:rPr>
              <w:fldChar w:fldCharType="separate"/>
            </w:r>
            <w:r w:rsidRPr="00A04044">
              <w:rPr>
                <w:sz w:val="20"/>
              </w:rPr>
              <w:t>(50)</w:t>
            </w:r>
            <w:r w:rsidRPr="004130F0">
              <w:rPr>
                <w:sz w:val="20"/>
              </w:rPr>
              <w:fldChar w:fldCharType="end"/>
            </w: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r w:rsidRPr="004130F0">
              <w:rPr>
                <w:rFonts w:eastAsia="Times New Roman" w:cs="Calibri"/>
                <w:color w:val="000000"/>
                <w:sz w:val="20"/>
              </w:rPr>
              <w:t>50-200</w:t>
            </w:r>
          </w:p>
        </w:tc>
        <w:tc>
          <w:tcPr>
            <w:tcW w:w="1079" w:type="dxa"/>
            <w:tcBorders>
              <w:top w:val="nil"/>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r w:rsidRPr="004130F0">
              <w:rPr>
                <w:rFonts w:eastAsia="Times New Roman" w:cs="Calibri"/>
                <w:color w:val="000000"/>
                <w:sz w:val="20"/>
              </w:rPr>
              <w:t>14</w:t>
            </w: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r w:rsidRPr="004130F0">
              <w:rPr>
                <w:rFonts w:eastAsia="Times New Roman" w:cs="Calibri"/>
                <w:color w:val="000000"/>
                <w:sz w:val="20"/>
              </w:rPr>
              <w:t>14</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r w:rsidRPr="004130F0">
              <w:rPr>
                <w:rFonts w:eastAsia="Times New Roman" w:cs="Calibri"/>
                <w:color w:val="000000"/>
                <w:sz w:val="20"/>
              </w:rPr>
              <w:t>14</w:t>
            </w:r>
          </w:p>
        </w:tc>
        <w:tc>
          <w:tcPr>
            <w:tcW w:w="1079" w:type="dxa"/>
            <w:tcBorders>
              <w:top w:val="nil"/>
              <w:left w:val="single" w:sz="4" w:space="0" w:color="auto"/>
              <w:bottom w:val="nil"/>
              <w:right w:val="single" w:sz="4" w:space="0" w:color="auto"/>
            </w:tcBorders>
            <w:shd w:val="clear" w:color="auto" w:fill="auto"/>
            <w:noWrap/>
          </w:tcPr>
          <w:p w:rsidR="005F535C" w:rsidRPr="004130F0" w:rsidRDefault="005F535C" w:rsidP="00DE49A9">
            <w:pPr>
              <w:spacing w:after="0" w:line="240" w:lineRule="auto"/>
              <w:jc w:val="center"/>
              <w:rPr>
                <w:sz w:val="20"/>
              </w:rPr>
            </w:pPr>
            <w:r w:rsidRPr="004130F0">
              <w:rPr>
                <w:sz w:val="20"/>
              </w:rPr>
              <w:fldChar w:fldCharType="begin"/>
            </w:r>
            <w:r w:rsidRPr="004130F0">
              <w:rPr>
                <w:sz w:val="20"/>
              </w:rPr>
              <w:instrText>ADDIN RW.CITE{{290 Hall,H.I. 2006}}</w:instrText>
            </w:r>
            <w:r w:rsidRPr="004130F0">
              <w:rPr>
                <w:sz w:val="20"/>
              </w:rPr>
              <w:fldChar w:fldCharType="separate"/>
            </w:r>
            <w:r w:rsidRPr="00A04044">
              <w:rPr>
                <w:sz w:val="20"/>
              </w:rPr>
              <w:t>(50)</w:t>
            </w:r>
            <w:r w:rsidRPr="004130F0">
              <w:rPr>
                <w:sz w:val="20"/>
              </w:rPr>
              <w:fldChar w:fldCharType="end"/>
            </w:r>
          </w:p>
        </w:tc>
      </w:tr>
      <w:tr w:rsidR="005F535C" w:rsidRPr="004130F0" w:rsidTr="00DE49A9">
        <w:trPr>
          <w:trHeight w:val="205"/>
        </w:trPr>
        <w:tc>
          <w:tcPr>
            <w:tcW w:w="2944" w:type="dxa"/>
            <w:tcBorders>
              <w:top w:val="nil"/>
              <w:left w:val="single" w:sz="4" w:space="0" w:color="auto"/>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r w:rsidRPr="004130F0">
              <w:rPr>
                <w:rFonts w:eastAsia="Times New Roman" w:cs="Calibri"/>
                <w:color w:val="000000"/>
                <w:sz w:val="20"/>
              </w:rPr>
              <w:t>200-500</w:t>
            </w:r>
          </w:p>
        </w:tc>
        <w:tc>
          <w:tcPr>
            <w:tcW w:w="1079" w:type="dxa"/>
            <w:tcBorders>
              <w:top w:val="nil"/>
              <w:left w:val="single" w:sz="4" w:space="0" w:color="auto"/>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r w:rsidRPr="004130F0">
              <w:rPr>
                <w:rFonts w:eastAsia="Times New Roman" w:cs="Calibri"/>
                <w:color w:val="000000"/>
                <w:sz w:val="20"/>
              </w:rPr>
              <w:t>66</w:t>
            </w:r>
          </w:p>
        </w:tc>
        <w:tc>
          <w:tcPr>
            <w:tcW w:w="1079" w:type="dxa"/>
            <w:tcBorders>
              <w:top w:val="nil"/>
              <w:left w:val="nil"/>
              <w:bottom w:val="nil"/>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r w:rsidRPr="004130F0">
              <w:rPr>
                <w:rFonts w:eastAsia="Times New Roman" w:cs="Calibri"/>
                <w:color w:val="000000"/>
                <w:sz w:val="20"/>
              </w:rPr>
              <w:t>66</w:t>
            </w:r>
          </w:p>
        </w:tc>
        <w:tc>
          <w:tcPr>
            <w:tcW w:w="1080" w:type="dxa"/>
            <w:tcBorders>
              <w:top w:val="nil"/>
              <w:left w:val="nil"/>
              <w:bottom w:val="nil"/>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r w:rsidRPr="004130F0">
              <w:rPr>
                <w:rFonts w:eastAsia="Times New Roman" w:cs="Calibri"/>
                <w:color w:val="000000"/>
                <w:sz w:val="20"/>
              </w:rPr>
              <w:t>51</w:t>
            </w:r>
          </w:p>
        </w:tc>
        <w:tc>
          <w:tcPr>
            <w:tcW w:w="1079" w:type="dxa"/>
            <w:tcBorders>
              <w:top w:val="nil"/>
              <w:left w:val="single" w:sz="4" w:space="0" w:color="auto"/>
              <w:bottom w:val="nil"/>
              <w:right w:val="single" w:sz="4" w:space="0" w:color="auto"/>
            </w:tcBorders>
            <w:shd w:val="clear" w:color="auto" w:fill="auto"/>
            <w:noWrap/>
          </w:tcPr>
          <w:p w:rsidR="005F535C" w:rsidRPr="004130F0" w:rsidRDefault="005F535C" w:rsidP="00DE49A9">
            <w:pPr>
              <w:spacing w:after="0" w:line="240" w:lineRule="auto"/>
              <w:jc w:val="center"/>
              <w:rPr>
                <w:sz w:val="20"/>
              </w:rPr>
            </w:pPr>
            <w:r w:rsidRPr="004130F0">
              <w:rPr>
                <w:sz w:val="20"/>
              </w:rPr>
              <w:fldChar w:fldCharType="begin"/>
            </w:r>
            <w:r w:rsidRPr="004130F0">
              <w:rPr>
                <w:sz w:val="20"/>
              </w:rPr>
              <w:instrText>ADDIN RW.CITE{{166 Buchacz,K. 2012; 489 Althoff,K.N. 2010}}</w:instrText>
            </w:r>
            <w:r w:rsidRPr="004130F0">
              <w:rPr>
                <w:sz w:val="20"/>
              </w:rPr>
              <w:fldChar w:fldCharType="separate"/>
            </w:r>
            <w:r w:rsidRPr="00A04044">
              <w:rPr>
                <w:sz w:val="20"/>
              </w:rPr>
              <w:t>(51,52)</w:t>
            </w:r>
            <w:r w:rsidRPr="004130F0">
              <w:rPr>
                <w:sz w:val="20"/>
              </w:rPr>
              <w:fldChar w:fldCharType="end"/>
            </w:r>
          </w:p>
        </w:tc>
      </w:tr>
      <w:tr w:rsidR="005F535C" w:rsidRPr="004130F0" w:rsidTr="00DE49A9">
        <w:trPr>
          <w:trHeight w:val="64"/>
        </w:trPr>
        <w:tc>
          <w:tcPr>
            <w:tcW w:w="2944" w:type="dxa"/>
            <w:tcBorders>
              <w:top w:val="nil"/>
              <w:left w:val="single" w:sz="4" w:space="0" w:color="auto"/>
              <w:bottom w:val="single" w:sz="4" w:space="0" w:color="auto"/>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r w:rsidRPr="004130F0">
              <w:rPr>
                <w:rFonts w:eastAsia="Times New Roman" w:cs="Calibri"/>
                <w:color w:val="000000"/>
                <w:sz w:val="20"/>
              </w:rPr>
              <w:t>&gt;500</w:t>
            </w:r>
          </w:p>
        </w:tc>
        <w:tc>
          <w:tcPr>
            <w:tcW w:w="1079" w:type="dxa"/>
            <w:tcBorders>
              <w:top w:val="nil"/>
              <w:left w:val="single" w:sz="4" w:space="0" w:color="auto"/>
              <w:bottom w:val="single" w:sz="4" w:space="0" w:color="auto"/>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r w:rsidRPr="004130F0">
              <w:rPr>
                <w:rFonts w:eastAsia="Times New Roman" w:cs="Calibri"/>
                <w:color w:val="000000"/>
                <w:sz w:val="20"/>
              </w:rPr>
              <w:t>10</w:t>
            </w:r>
          </w:p>
        </w:tc>
        <w:tc>
          <w:tcPr>
            <w:tcW w:w="1079" w:type="dxa"/>
            <w:tcBorders>
              <w:top w:val="nil"/>
              <w:left w:val="nil"/>
              <w:bottom w:val="single" w:sz="4" w:space="0" w:color="auto"/>
              <w:right w:val="nil"/>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r w:rsidRPr="004130F0">
              <w:rPr>
                <w:rFonts w:eastAsia="Times New Roman" w:cs="Calibri"/>
                <w:color w:val="000000"/>
                <w:sz w:val="20"/>
              </w:rPr>
              <w:t>10</w:t>
            </w:r>
          </w:p>
        </w:tc>
        <w:tc>
          <w:tcPr>
            <w:tcW w:w="1080" w:type="dxa"/>
            <w:tcBorders>
              <w:top w:val="nil"/>
              <w:left w:val="nil"/>
              <w:bottom w:val="single" w:sz="4" w:space="0" w:color="auto"/>
              <w:right w:val="single" w:sz="4" w:space="0" w:color="auto"/>
            </w:tcBorders>
            <w:shd w:val="clear" w:color="auto" w:fill="auto"/>
            <w:noWrap/>
            <w:hideMark/>
          </w:tcPr>
          <w:p w:rsidR="005F535C" w:rsidRPr="004130F0" w:rsidRDefault="005F535C" w:rsidP="00DE49A9">
            <w:pPr>
              <w:spacing w:after="0" w:line="240" w:lineRule="auto"/>
              <w:jc w:val="center"/>
              <w:rPr>
                <w:rFonts w:eastAsia="Times New Roman" w:cs="Calibri"/>
                <w:color w:val="000000"/>
                <w:sz w:val="20"/>
              </w:rPr>
            </w:pPr>
            <w:r w:rsidRPr="004130F0">
              <w:rPr>
                <w:rFonts w:eastAsia="Times New Roman" w:cs="Calibri"/>
                <w:color w:val="000000"/>
                <w:sz w:val="20"/>
              </w:rPr>
              <w:t>25</w:t>
            </w:r>
          </w:p>
        </w:tc>
        <w:tc>
          <w:tcPr>
            <w:tcW w:w="1079" w:type="dxa"/>
            <w:tcBorders>
              <w:top w:val="nil"/>
              <w:left w:val="single" w:sz="4" w:space="0" w:color="auto"/>
              <w:bottom w:val="single" w:sz="4" w:space="0" w:color="auto"/>
              <w:right w:val="single" w:sz="4" w:space="0" w:color="auto"/>
            </w:tcBorders>
            <w:shd w:val="clear" w:color="auto" w:fill="auto"/>
            <w:noWrap/>
          </w:tcPr>
          <w:p w:rsidR="005F535C" w:rsidRPr="004130F0" w:rsidRDefault="005F535C" w:rsidP="00DE49A9">
            <w:pPr>
              <w:spacing w:after="0" w:line="240" w:lineRule="auto"/>
              <w:jc w:val="center"/>
              <w:rPr>
                <w:sz w:val="20"/>
              </w:rPr>
            </w:pPr>
            <w:r w:rsidRPr="004130F0">
              <w:rPr>
                <w:sz w:val="20"/>
              </w:rPr>
              <w:fldChar w:fldCharType="begin"/>
            </w:r>
            <w:r w:rsidRPr="004130F0">
              <w:rPr>
                <w:sz w:val="20"/>
              </w:rPr>
              <w:instrText>ADDIN RW.CITE{{166 Buchacz,K. 2012; 489 Althoff,K.N. 2010}}</w:instrText>
            </w:r>
            <w:r w:rsidRPr="004130F0">
              <w:rPr>
                <w:sz w:val="20"/>
              </w:rPr>
              <w:fldChar w:fldCharType="separate"/>
            </w:r>
            <w:r w:rsidRPr="00A04044">
              <w:rPr>
                <w:sz w:val="20"/>
              </w:rPr>
              <w:t>(51,52)</w:t>
            </w:r>
            <w:r w:rsidRPr="004130F0">
              <w:rPr>
                <w:sz w:val="20"/>
              </w:rPr>
              <w:fldChar w:fldCharType="end"/>
            </w:r>
          </w:p>
        </w:tc>
      </w:tr>
    </w:tbl>
    <w:p w:rsidR="005F535C" w:rsidRDefault="005F535C" w:rsidP="005F535C">
      <w:pPr>
        <w:spacing w:line="480" w:lineRule="auto"/>
        <w:jc w:val="center"/>
        <w:rPr>
          <w:b/>
        </w:rPr>
      </w:pPr>
    </w:p>
    <w:p w:rsidR="005F535C" w:rsidRDefault="005F535C" w:rsidP="005F535C">
      <w:pPr>
        <w:spacing w:line="480" w:lineRule="auto"/>
        <w:jc w:val="center"/>
        <w:rPr>
          <w:b/>
        </w:rPr>
      </w:pPr>
    </w:p>
    <w:p w:rsidR="005F535C" w:rsidRDefault="005F535C" w:rsidP="005F535C">
      <w:pPr>
        <w:spacing w:line="480" w:lineRule="auto"/>
        <w:jc w:val="center"/>
        <w:rPr>
          <w:b/>
        </w:rPr>
      </w:pPr>
    </w:p>
    <w:p w:rsidR="005F535C" w:rsidRDefault="005F535C" w:rsidP="005F535C">
      <w:pPr>
        <w:spacing w:line="480" w:lineRule="auto"/>
        <w:jc w:val="center"/>
        <w:rPr>
          <w:b/>
        </w:rPr>
      </w:pPr>
    </w:p>
    <w:p w:rsidR="005F535C" w:rsidRPr="00186FB3" w:rsidRDefault="005F535C" w:rsidP="005F535C">
      <w:pPr>
        <w:spacing w:line="480" w:lineRule="auto"/>
      </w:pPr>
      <w:r w:rsidRPr="00186FB3">
        <w:lastRenderedPageBreak/>
        <w:t>Table S2: Distribution of people living with HIV in years 2006 and 2008 by intervention stage</w:t>
      </w:r>
    </w:p>
    <w:tbl>
      <w:tblPr>
        <w:tblW w:w="6215" w:type="dxa"/>
        <w:tblInd w:w="103" w:type="dxa"/>
        <w:tblLook w:val="04A0" w:firstRow="1" w:lastRow="0" w:firstColumn="1" w:lastColumn="0" w:noHBand="0" w:noVBand="1"/>
      </w:tblPr>
      <w:tblGrid>
        <w:gridCol w:w="2885"/>
        <w:gridCol w:w="1440"/>
        <w:gridCol w:w="1890"/>
      </w:tblGrid>
      <w:tr w:rsidR="005F535C" w:rsidRPr="004130F0" w:rsidTr="00DE49A9">
        <w:trPr>
          <w:trHeight w:val="1215"/>
        </w:trPr>
        <w:tc>
          <w:tcPr>
            <w:tcW w:w="2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Intervention Stage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 xml:space="preserve">Year 2006 </w:t>
            </w:r>
            <w:r>
              <w:rPr>
                <w:rFonts w:eastAsia="Times New Roman" w:cs="Calibri"/>
                <w:color w:val="000000"/>
                <w:sz w:val="20"/>
                <w:szCs w:val="20"/>
              </w:rPr>
              <w:fldChar w:fldCharType="begin"/>
            </w:r>
            <w:r>
              <w:rPr>
                <w:rFonts w:eastAsia="Times New Roman" w:cs="Calibri"/>
                <w:color w:val="000000"/>
                <w:sz w:val="20"/>
                <w:szCs w:val="20"/>
              </w:rPr>
              <w:instrText>ADDIN RW.CITE{{46 Gardner,E.M. 2011; 349 Campsmith,M.L. 2010}}</w:instrText>
            </w:r>
            <w:r>
              <w:rPr>
                <w:rFonts w:eastAsia="Times New Roman" w:cs="Calibri"/>
                <w:color w:val="000000"/>
                <w:sz w:val="20"/>
                <w:szCs w:val="20"/>
              </w:rPr>
              <w:fldChar w:fldCharType="separate"/>
            </w:r>
            <w:r w:rsidRPr="00A04044">
              <w:rPr>
                <w:rFonts w:eastAsia="Times New Roman" w:cs="Calibri"/>
                <w:color w:val="000000"/>
                <w:sz w:val="20"/>
                <w:szCs w:val="20"/>
              </w:rPr>
              <w:t>(4,6)</w:t>
            </w:r>
            <w:r>
              <w:rPr>
                <w:rFonts w:eastAsia="Times New Roman" w:cs="Calibri"/>
                <w:color w:val="000000"/>
                <w:sz w:val="20"/>
                <w:szCs w:val="20"/>
              </w:rPr>
              <w:fldChar w:fldCharType="end"/>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 xml:space="preserve">Year 2008 </w:t>
            </w:r>
            <w:r>
              <w:rPr>
                <w:rFonts w:eastAsia="Times New Roman" w:cs="Calibri"/>
                <w:color w:val="000000"/>
                <w:sz w:val="20"/>
                <w:szCs w:val="20"/>
              </w:rPr>
              <w:fldChar w:fldCharType="begin"/>
            </w:r>
            <w:r>
              <w:rPr>
                <w:rFonts w:eastAsia="Times New Roman" w:cs="Calibri"/>
                <w:color w:val="000000"/>
                <w:sz w:val="20"/>
                <w:szCs w:val="20"/>
              </w:rPr>
              <w:instrText>ADDIN RW.CITE{{352 Prejean,J. 2011; 354 [NoInformation] 2011}}</w:instrText>
            </w:r>
            <w:r>
              <w:rPr>
                <w:rFonts w:eastAsia="Times New Roman" w:cs="Calibri"/>
                <w:color w:val="000000"/>
                <w:sz w:val="20"/>
                <w:szCs w:val="20"/>
              </w:rPr>
              <w:fldChar w:fldCharType="separate"/>
            </w:r>
            <w:r w:rsidRPr="00A04044">
              <w:rPr>
                <w:rFonts w:eastAsia="Times New Roman" w:cs="Calibri"/>
                <w:color w:val="000000"/>
                <w:sz w:val="20"/>
                <w:szCs w:val="20"/>
              </w:rPr>
              <w:t>(5,53)</w:t>
            </w:r>
            <w:r>
              <w:rPr>
                <w:rFonts w:eastAsia="Times New Roman" w:cs="Calibri"/>
                <w:color w:val="000000"/>
                <w:sz w:val="20"/>
                <w:szCs w:val="20"/>
              </w:rPr>
              <w:fldChar w:fldCharType="end"/>
            </w:r>
            <w:r w:rsidRPr="00B85327">
              <w:rPr>
                <w:rFonts w:eastAsia="Times New Roman" w:cs="Calibri"/>
                <w:color w:val="000000"/>
                <w:sz w:val="20"/>
                <w:szCs w:val="20"/>
              </w:rPr>
              <w:t xml:space="preserve"> </w:t>
            </w:r>
          </w:p>
        </w:tc>
      </w:tr>
      <w:tr w:rsidR="005F535C" w:rsidRPr="004130F0" w:rsidTr="00DE49A9">
        <w:trPr>
          <w:trHeight w:val="537"/>
        </w:trPr>
        <w:tc>
          <w:tcPr>
            <w:tcW w:w="2885" w:type="dxa"/>
            <w:vMerge w:val="restart"/>
            <w:tcBorders>
              <w:top w:val="nil"/>
              <w:left w:val="single" w:sz="4" w:space="0" w:color="auto"/>
              <w:bottom w:val="single" w:sz="4" w:space="0" w:color="000000"/>
              <w:right w:val="single" w:sz="4" w:space="0" w:color="auto"/>
            </w:tcBorders>
            <w:shd w:val="clear" w:color="auto" w:fill="auto"/>
            <w:vAlign w:val="center"/>
            <w:hideMark/>
          </w:tcPr>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Undiagnosed:</w:t>
            </w:r>
          </w:p>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Heterosexual Female</w:t>
            </w:r>
          </w:p>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Heterosexual Male</w:t>
            </w:r>
          </w:p>
          <w:p w:rsidR="005F535C" w:rsidRPr="00B85327" w:rsidRDefault="005F535C" w:rsidP="00DE49A9">
            <w:pPr>
              <w:spacing w:after="0" w:line="240" w:lineRule="auto"/>
              <w:jc w:val="center"/>
              <w:rPr>
                <w:rFonts w:eastAsia="Times New Roman" w:cs="Calibri"/>
                <w:color w:val="000000"/>
                <w:sz w:val="20"/>
                <w:szCs w:val="20"/>
              </w:rPr>
            </w:pPr>
            <w:r>
              <w:rPr>
                <w:rFonts w:eastAsia="Times New Roman" w:cs="Calibri"/>
                <w:color w:val="000000"/>
                <w:sz w:val="20"/>
                <w:szCs w:val="20"/>
              </w:rPr>
              <w:t>MSM</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21%</w:t>
            </w:r>
          </w:p>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27%</w:t>
            </w:r>
          </w:p>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23%</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20%</w:t>
            </w:r>
          </w:p>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25%</w:t>
            </w:r>
          </w:p>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22%</w:t>
            </w:r>
          </w:p>
        </w:tc>
      </w:tr>
      <w:tr w:rsidR="005F535C" w:rsidRPr="004130F0" w:rsidTr="00DE49A9">
        <w:trPr>
          <w:trHeight w:val="537"/>
        </w:trPr>
        <w:tc>
          <w:tcPr>
            <w:tcW w:w="2885" w:type="dxa"/>
            <w:vMerge/>
            <w:tcBorders>
              <w:top w:val="nil"/>
              <w:left w:val="single" w:sz="4" w:space="0" w:color="auto"/>
              <w:bottom w:val="single" w:sz="4" w:space="0" w:color="000000"/>
              <w:right w:val="single" w:sz="4" w:space="0" w:color="auto"/>
            </w:tcBorders>
            <w:vAlign w:val="center"/>
            <w:hideMark/>
          </w:tcPr>
          <w:p w:rsidR="005F535C" w:rsidRPr="00B85327" w:rsidRDefault="005F535C" w:rsidP="00DE49A9">
            <w:pPr>
              <w:spacing w:after="0" w:line="240" w:lineRule="auto"/>
              <w:rPr>
                <w:rFonts w:eastAsia="Times New Roman" w:cs="Calibri"/>
                <w:color w:val="000000"/>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rsidR="005F535C" w:rsidRPr="00B85327" w:rsidRDefault="005F535C" w:rsidP="00DE49A9">
            <w:pPr>
              <w:spacing w:after="0" w:line="240" w:lineRule="auto"/>
              <w:rPr>
                <w:rFonts w:eastAsia="Times New Roman" w:cs="Calibri"/>
                <w:color w:val="000000"/>
                <w:sz w:val="20"/>
                <w:szCs w:val="20"/>
              </w:rPr>
            </w:pPr>
          </w:p>
        </w:tc>
        <w:tc>
          <w:tcPr>
            <w:tcW w:w="1890" w:type="dxa"/>
            <w:vMerge/>
            <w:tcBorders>
              <w:top w:val="nil"/>
              <w:left w:val="single" w:sz="4" w:space="0" w:color="auto"/>
              <w:bottom w:val="single" w:sz="4" w:space="0" w:color="auto"/>
              <w:right w:val="single" w:sz="4" w:space="0" w:color="auto"/>
            </w:tcBorders>
            <w:vAlign w:val="center"/>
            <w:hideMark/>
          </w:tcPr>
          <w:p w:rsidR="005F535C" w:rsidRPr="00B85327" w:rsidRDefault="005F535C" w:rsidP="00DE49A9">
            <w:pPr>
              <w:spacing w:after="0" w:line="240" w:lineRule="auto"/>
              <w:rPr>
                <w:rFonts w:eastAsia="Times New Roman" w:cs="Calibri"/>
                <w:color w:val="000000"/>
                <w:sz w:val="20"/>
                <w:szCs w:val="20"/>
              </w:rPr>
            </w:pPr>
          </w:p>
        </w:tc>
      </w:tr>
      <w:tr w:rsidR="005F535C" w:rsidRPr="004130F0" w:rsidTr="00DE49A9">
        <w:trPr>
          <w:trHeight w:val="600"/>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Diagnosed but not in care</w:t>
            </w:r>
          </w:p>
        </w:tc>
        <w:tc>
          <w:tcPr>
            <w:tcW w:w="1440" w:type="dxa"/>
            <w:tcBorders>
              <w:top w:val="nil"/>
              <w:left w:val="nil"/>
              <w:bottom w:val="single" w:sz="4" w:space="0" w:color="auto"/>
              <w:right w:val="single" w:sz="4" w:space="0" w:color="auto"/>
            </w:tcBorders>
            <w:shd w:val="clear" w:color="auto" w:fill="auto"/>
            <w:vAlign w:val="center"/>
            <w:hideMark/>
          </w:tcPr>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40%</w:t>
            </w:r>
          </w:p>
        </w:tc>
        <w:tc>
          <w:tcPr>
            <w:tcW w:w="1890" w:type="dxa"/>
            <w:tcBorders>
              <w:top w:val="nil"/>
              <w:left w:val="nil"/>
              <w:bottom w:val="single" w:sz="4" w:space="0" w:color="auto"/>
              <w:right w:val="single" w:sz="4" w:space="0" w:color="auto"/>
            </w:tcBorders>
            <w:shd w:val="clear" w:color="auto" w:fill="auto"/>
            <w:vAlign w:val="center"/>
            <w:hideMark/>
          </w:tcPr>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39%</w:t>
            </w:r>
          </w:p>
        </w:tc>
      </w:tr>
      <w:tr w:rsidR="005F535C" w:rsidRPr="004130F0" w:rsidTr="00DE49A9">
        <w:trPr>
          <w:trHeight w:val="600"/>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In care but not on ART</w:t>
            </w:r>
          </w:p>
        </w:tc>
        <w:tc>
          <w:tcPr>
            <w:tcW w:w="1440" w:type="dxa"/>
            <w:tcBorders>
              <w:top w:val="nil"/>
              <w:left w:val="nil"/>
              <w:bottom w:val="single" w:sz="4" w:space="0" w:color="auto"/>
              <w:right w:val="single" w:sz="4" w:space="0" w:color="auto"/>
            </w:tcBorders>
            <w:shd w:val="clear" w:color="auto" w:fill="auto"/>
            <w:vAlign w:val="center"/>
            <w:hideMark/>
          </w:tcPr>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16%</w:t>
            </w:r>
          </w:p>
        </w:tc>
        <w:tc>
          <w:tcPr>
            <w:tcW w:w="1890" w:type="dxa"/>
            <w:tcBorders>
              <w:top w:val="nil"/>
              <w:left w:val="nil"/>
              <w:bottom w:val="single" w:sz="4" w:space="0" w:color="auto"/>
              <w:right w:val="single" w:sz="4" w:space="0" w:color="auto"/>
            </w:tcBorders>
            <w:shd w:val="clear" w:color="auto" w:fill="auto"/>
            <w:vAlign w:val="center"/>
            <w:hideMark/>
          </w:tcPr>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5%</w:t>
            </w:r>
          </w:p>
        </w:tc>
      </w:tr>
      <w:tr w:rsidR="005F535C" w:rsidRPr="004130F0" w:rsidTr="00DE49A9">
        <w:trPr>
          <w:trHeight w:val="638"/>
        </w:trPr>
        <w:tc>
          <w:tcPr>
            <w:tcW w:w="2885" w:type="dxa"/>
            <w:tcBorders>
              <w:top w:val="nil"/>
              <w:left w:val="single" w:sz="4" w:space="0" w:color="auto"/>
              <w:bottom w:val="single" w:sz="4" w:space="0" w:color="auto"/>
              <w:right w:val="single" w:sz="4" w:space="0" w:color="auto"/>
            </w:tcBorders>
            <w:shd w:val="clear" w:color="auto" w:fill="auto"/>
            <w:vAlign w:val="center"/>
            <w:hideMark/>
          </w:tcPr>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 xml:space="preserve">On ART </w:t>
            </w:r>
          </w:p>
        </w:tc>
        <w:tc>
          <w:tcPr>
            <w:tcW w:w="1440" w:type="dxa"/>
            <w:tcBorders>
              <w:top w:val="nil"/>
              <w:left w:val="nil"/>
              <w:bottom w:val="single" w:sz="4" w:space="0" w:color="auto"/>
              <w:right w:val="single" w:sz="4" w:space="0" w:color="auto"/>
            </w:tcBorders>
            <w:shd w:val="clear" w:color="auto" w:fill="auto"/>
            <w:vAlign w:val="center"/>
            <w:hideMark/>
          </w:tcPr>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24%</w:t>
            </w:r>
          </w:p>
        </w:tc>
        <w:tc>
          <w:tcPr>
            <w:tcW w:w="1890" w:type="dxa"/>
            <w:tcBorders>
              <w:top w:val="nil"/>
              <w:left w:val="nil"/>
              <w:bottom w:val="single" w:sz="4" w:space="0" w:color="auto"/>
              <w:right w:val="single" w:sz="4" w:space="0" w:color="auto"/>
            </w:tcBorders>
            <w:shd w:val="clear" w:color="auto" w:fill="auto"/>
            <w:vAlign w:val="center"/>
            <w:hideMark/>
          </w:tcPr>
          <w:p w:rsidR="005F535C" w:rsidRPr="00B85327" w:rsidRDefault="005F535C" w:rsidP="00DE49A9">
            <w:pPr>
              <w:spacing w:after="0" w:line="240" w:lineRule="auto"/>
              <w:jc w:val="center"/>
              <w:rPr>
                <w:rFonts w:eastAsia="Times New Roman" w:cs="Calibri"/>
                <w:color w:val="000000"/>
                <w:sz w:val="20"/>
                <w:szCs w:val="20"/>
              </w:rPr>
            </w:pPr>
            <w:r w:rsidRPr="00B85327">
              <w:rPr>
                <w:rFonts w:eastAsia="Times New Roman" w:cs="Calibri"/>
                <w:color w:val="000000"/>
                <w:sz w:val="20"/>
                <w:szCs w:val="20"/>
              </w:rPr>
              <w:t>36%</w:t>
            </w:r>
          </w:p>
        </w:tc>
      </w:tr>
    </w:tbl>
    <w:p w:rsidR="005F535C" w:rsidRDefault="005F535C" w:rsidP="005F535C">
      <w:pPr>
        <w:spacing w:line="480" w:lineRule="auto"/>
      </w:pPr>
    </w:p>
    <w:p w:rsidR="005F535C" w:rsidRDefault="005F535C" w:rsidP="005F535C">
      <w:pPr>
        <w:spacing w:line="480" w:lineRule="auto"/>
      </w:pPr>
    </w:p>
    <w:p w:rsidR="005F535C" w:rsidRDefault="005F535C" w:rsidP="005F535C">
      <w:pPr>
        <w:spacing w:line="480" w:lineRule="auto"/>
      </w:pPr>
    </w:p>
    <w:p w:rsidR="005F535C" w:rsidRDefault="005F535C" w:rsidP="005F535C">
      <w:pPr>
        <w:spacing w:line="480" w:lineRule="auto"/>
      </w:pPr>
    </w:p>
    <w:p w:rsidR="005F535C" w:rsidRDefault="005F535C" w:rsidP="005F535C">
      <w:pPr>
        <w:spacing w:line="480" w:lineRule="auto"/>
      </w:pPr>
    </w:p>
    <w:p w:rsidR="005F535C" w:rsidRDefault="005F535C" w:rsidP="005F535C">
      <w:pPr>
        <w:spacing w:line="480" w:lineRule="auto"/>
      </w:pPr>
    </w:p>
    <w:p w:rsidR="005F535C" w:rsidRDefault="005F535C" w:rsidP="005F535C">
      <w:pPr>
        <w:spacing w:line="480" w:lineRule="auto"/>
      </w:pPr>
    </w:p>
    <w:p w:rsidR="005F535C" w:rsidRDefault="005F535C" w:rsidP="005F535C">
      <w:pPr>
        <w:spacing w:line="480" w:lineRule="auto"/>
      </w:pPr>
    </w:p>
    <w:p w:rsidR="005F535C" w:rsidRDefault="005F535C" w:rsidP="005F535C">
      <w:pPr>
        <w:spacing w:line="480" w:lineRule="auto"/>
      </w:pPr>
    </w:p>
    <w:p w:rsidR="005F535C" w:rsidRDefault="005F535C" w:rsidP="005F535C">
      <w:pPr>
        <w:spacing w:line="480" w:lineRule="auto"/>
      </w:pPr>
    </w:p>
    <w:p w:rsidR="005F535C" w:rsidRDefault="005F535C" w:rsidP="005F535C">
      <w:pPr>
        <w:spacing w:line="480" w:lineRule="auto"/>
      </w:pPr>
    </w:p>
    <w:p w:rsidR="005F535C" w:rsidRPr="00186FB3" w:rsidRDefault="005F535C" w:rsidP="005F535C">
      <w:pPr>
        <w:spacing w:line="480" w:lineRule="auto"/>
      </w:pPr>
      <w:r w:rsidRPr="00186FB3">
        <w:lastRenderedPageBreak/>
        <w:t>Table S3: Disease progression parameters</w:t>
      </w:r>
    </w:p>
    <w:tbl>
      <w:tblPr>
        <w:tblW w:w="8060" w:type="dxa"/>
        <w:tblInd w:w="93" w:type="dxa"/>
        <w:tblLook w:val="04A0" w:firstRow="1" w:lastRow="0" w:firstColumn="1" w:lastColumn="0" w:noHBand="0" w:noVBand="1"/>
      </w:tblPr>
      <w:tblGrid>
        <w:gridCol w:w="2860"/>
        <w:gridCol w:w="1860"/>
        <w:gridCol w:w="1820"/>
        <w:gridCol w:w="1520"/>
      </w:tblGrid>
      <w:tr w:rsidR="005F535C" w:rsidRPr="004130F0" w:rsidTr="00DE49A9">
        <w:trPr>
          <w:trHeight w:val="330"/>
        </w:trPr>
        <w:tc>
          <w:tcPr>
            <w:tcW w:w="2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b/>
                <w:bCs/>
                <w:color w:val="000000"/>
                <w:sz w:val="20"/>
                <w:szCs w:val="20"/>
              </w:rPr>
            </w:pPr>
            <w:r w:rsidRPr="004130F0">
              <w:rPr>
                <w:b/>
                <w:bCs/>
                <w:color w:val="000000"/>
                <w:sz w:val="20"/>
                <w:szCs w:val="20"/>
              </w:rPr>
              <w:t>Variable</w:t>
            </w:r>
          </w:p>
        </w:tc>
        <w:tc>
          <w:tcPr>
            <w:tcW w:w="1860" w:type="dxa"/>
            <w:tcBorders>
              <w:top w:val="single" w:sz="8" w:space="0" w:color="auto"/>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b/>
                <w:bCs/>
                <w:color w:val="000000"/>
                <w:sz w:val="20"/>
                <w:szCs w:val="20"/>
              </w:rPr>
            </w:pPr>
            <w:r w:rsidRPr="004130F0">
              <w:rPr>
                <w:b/>
                <w:bCs/>
                <w:color w:val="000000"/>
                <w:sz w:val="20"/>
                <w:szCs w:val="20"/>
              </w:rPr>
              <w:t xml:space="preserve">Mean Value </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b/>
                <w:bCs/>
                <w:color w:val="000000"/>
                <w:sz w:val="20"/>
                <w:szCs w:val="20"/>
              </w:rPr>
            </w:pPr>
            <w:r w:rsidRPr="004130F0">
              <w:rPr>
                <w:b/>
                <w:bCs/>
                <w:color w:val="000000"/>
                <w:sz w:val="20"/>
                <w:szCs w:val="20"/>
              </w:rPr>
              <w:t xml:space="preserve">Range </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b/>
                <w:bCs/>
                <w:color w:val="000000"/>
                <w:sz w:val="20"/>
                <w:szCs w:val="20"/>
              </w:rPr>
            </w:pPr>
            <w:r w:rsidRPr="004130F0">
              <w:rPr>
                <w:b/>
                <w:bCs/>
                <w:color w:val="000000"/>
                <w:sz w:val="20"/>
                <w:szCs w:val="20"/>
              </w:rPr>
              <w:t>Source</w:t>
            </w:r>
          </w:p>
        </w:tc>
      </w:tr>
      <w:tr w:rsidR="005F535C" w:rsidRPr="004130F0" w:rsidTr="00DE49A9">
        <w:trPr>
          <w:trHeight w:val="39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rPr>
                <w:color w:val="000000"/>
                <w:sz w:val="20"/>
                <w:szCs w:val="20"/>
              </w:rPr>
            </w:pPr>
            <w:r w:rsidRPr="004130F0">
              <w:rPr>
                <w:b/>
                <w:bCs/>
                <w:color w:val="000000"/>
                <w:sz w:val="20"/>
                <w:szCs w:val="20"/>
              </w:rPr>
              <w:t>Natural Disease Progression</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90"/>
        </w:trPr>
        <w:tc>
          <w:tcPr>
            <w:tcW w:w="2860" w:type="dxa"/>
            <w:tcBorders>
              <w:top w:val="nil"/>
              <w:left w:val="single" w:sz="8" w:space="0" w:color="auto"/>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r w:rsidRPr="004130F0">
              <w:rPr>
                <w:color w:val="000000"/>
                <w:sz w:val="20"/>
                <w:szCs w:val="20"/>
              </w:rPr>
              <w:t>CD4 cell count when infected (cells/µL)</w:t>
            </w:r>
          </w:p>
        </w:tc>
        <w:tc>
          <w:tcPr>
            <w:tcW w:w="1860" w:type="dxa"/>
            <w:tcBorders>
              <w:top w:val="nil"/>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r w:rsidRPr="004130F0">
              <w:rPr>
                <w:color w:val="000000"/>
                <w:sz w:val="20"/>
                <w:szCs w:val="20"/>
              </w:rPr>
              <w:t>870</w:t>
            </w:r>
          </w:p>
        </w:tc>
        <w:tc>
          <w:tcPr>
            <w:tcW w:w="1820" w:type="dxa"/>
            <w:tcBorders>
              <w:top w:val="nil"/>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r w:rsidRPr="004130F0">
              <w:rPr>
                <w:color w:val="000000"/>
                <w:sz w:val="20"/>
                <w:szCs w:val="20"/>
              </w:rPr>
              <w:t>750 - 900</w:t>
            </w:r>
          </w:p>
        </w:tc>
        <w:tc>
          <w:tcPr>
            <w:tcW w:w="1520" w:type="dxa"/>
            <w:tcBorders>
              <w:top w:val="nil"/>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vertAlign w:val="superscript"/>
              </w:rPr>
            </w:pPr>
            <w:r w:rsidRPr="004130F0">
              <w:rPr>
                <w:color w:val="000000"/>
                <w:sz w:val="20"/>
                <w:szCs w:val="20"/>
                <w:vertAlign w:val="superscript"/>
              </w:rPr>
              <w:fldChar w:fldCharType="begin"/>
            </w:r>
            <w:r w:rsidRPr="004130F0">
              <w:rPr>
                <w:color w:val="000000"/>
                <w:sz w:val="20"/>
                <w:szCs w:val="20"/>
                <w:vertAlign w:val="superscript"/>
              </w:rPr>
              <w:instrText>ADDIN RW.CITE{{180 Turner,BarbaraJ. 1994}}</w:instrText>
            </w:r>
            <w:r w:rsidRPr="004130F0">
              <w:rPr>
                <w:color w:val="000000"/>
                <w:sz w:val="20"/>
                <w:szCs w:val="20"/>
                <w:vertAlign w:val="superscript"/>
              </w:rPr>
              <w:fldChar w:fldCharType="separate"/>
            </w:r>
            <w:r w:rsidRPr="00A04044">
              <w:rPr>
                <w:color w:val="000000"/>
                <w:sz w:val="20"/>
                <w:szCs w:val="20"/>
              </w:rPr>
              <w:t>(9)</w:t>
            </w:r>
            <w:r w:rsidRPr="004130F0">
              <w:rPr>
                <w:color w:val="000000"/>
                <w:sz w:val="20"/>
                <w:szCs w:val="20"/>
                <w:vertAlign w:val="superscript"/>
              </w:rPr>
              <w:fldChar w:fldCharType="end"/>
            </w:r>
          </w:p>
        </w:tc>
      </w:tr>
      <w:tr w:rsidR="005F535C" w:rsidRPr="004130F0" w:rsidTr="00DE49A9">
        <w:trPr>
          <w:trHeight w:val="390"/>
        </w:trPr>
        <w:tc>
          <w:tcPr>
            <w:tcW w:w="2860" w:type="dxa"/>
            <w:tcBorders>
              <w:top w:val="nil"/>
              <w:left w:val="single" w:sz="8" w:space="0" w:color="auto"/>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r w:rsidRPr="004130F0">
              <w:rPr>
                <w:color w:val="000000"/>
                <w:sz w:val="20"/>
                <w:szCs w:val="20"/>
              </w:rPr>
              <w:t>Acute phase HIV viral load (log</w:t>
            </w:r>
            <w:r w:rsidRPr="004130F0">
              <w:rPr>
                <w:color w:val="000000"/>
                <w:sz w:val="20"/>
                <w:szCs w:val="20"/>
                <w:vertAlign w:val="subscript"/>
              </w:rPr>
              <w:t>10</w:t>
            </w:r>
            <w:r w:rsidRPr="004130F0">
              <w:rPr>
                <w:color w:val="000000"/>
                <w:sz w:val="20"/>
                <w:szCs w:val="20"/>
              </w:rPr>
              <w:t xml:space="preserve"> copies/ml)</w:t>
            </w:r>
          </w:p>
        </w:tc>
        <w:tc>
          <w:tcPr>
            <w:tcW w:w="1860" w:type="dxa"/>
            <w:tcBorders>
              <w:top w:val="nil"/>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r w:rsidRPr="004130F0">
              <w:rPr>
                <w:color w:val="000000"/>
                <w:sz w:val="20"/>
                <w:szCs w:val="20"/>
              </w:rPr>
              <w:t>5.3</w:t>
            </w:r>
          </w:p>
        </w:tc>
        <w:tc>
          <w:tcPr>
            <w:tcW w:w="1820" w:type="dxa"/>
            <w:tcBorders>
              <w:top w:val="nil"/>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r w:rsidRPr="004130F0">
              <w:rPr>
                <w:color w:val="000000"/>
                <w:sz w:val="20"/>
                <w:szCs w:val="20"/>
              </w:rPr>
              <w:t>4.4 – 6.2</w:t>
            </w:r>
          </w:p>
        </w:tc>
        <w:tc>
          <w:tcPr>
            <w:tcW w:w="1520" w:type="dxa"/>
            <w:tcBorders>
              <w:top w:val="nil"/>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vertAlign w:val="superscript"/>
              </w:rPr>
            </w:pPr>
            <w:r w:rsidRPr="004130F0">
              <w:rPr>
                <w:color w:val="000000"/>
                <w:sz w:val="20"/>
                <w:szCs w:val="20"/>
                <w:vertAlign w:val="superscript"/>
              </w:rPr>
              <w:fldChar w:fldCharType="begin"/>
            </w:r>
            <w:r w:rsidRPr="004130F0">
              <w:rPr>
                <w:color w:val="000000"/>
                <w:sz w:val="20"/>
                <w:szCs w:val="20"/>
                <w:vertAlign w:val="superscript"/>
              </w:rPr>
              <w:instrText>ADDIN RW.CITE{{179 Schacker,TimothyW. 1998; 178 Schacker,TimothyW. 1996}}</w:instrText>
            </w:r>
            <w:r w:rsidRPr="004130F0">
              <w:rPr>
                <w:color w:val="000000"/>
                <w:sz w:val="20"/>
                <w:szCs w:val="20"/>
                <w:vertAlign w:val="superscript"/>
              </w:rPr>
              <w:fldChar w:fldCharType="separate"/>
            </w:r>
            <w:r w:rsidRPr="00A04044">
              <w:rPr>
                <w:color w:val="000000"/>
                <w:sz w:val="20"/>
                <w:szCs w:val="20"/>
              </w:rPr>
              <w:t>(7,8)</w:t>
            </w:r>
            <w:r w:rsidRPr="004130F0">
              <w:rPr>
                <w:color w:val="000000"/>
                <w:sz w:val="20"/>
                <w:szCs w:val="20"/>
                <w:vertAlign w:val="superscript"/>
              </w:rPr>
              <w:fldChar w:fldCharType="end"/>
            </w:r>
          </w:p>
        </w:tc>
      </w:tr>
      <w:tr w:rsidR="005F535C" w:rsidRPr="004130F0" w:rsidTr="00DE49A9">
        <w:trPr>
          <w:trHeight w:val="390"/>
        </w:trPr>
        <w:tc>
          <w:tcPr>
            <w:tcW w:w="2860" w:type="dxa"/>
            <w:tcBorders>
              <w:top w:val="nil"/>
              <w:left w:val="single" w:sz="8" w:space="0" w:color="auto"/>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r w:rsidRPr="004130F0">
              <w:rPr>
                <w:color w:val="000000"/>
                <w:sz w:val="20"/>
                <w:szCs w:val="20"/>
              </w:rPr>
              <w:t>HIV viral load set point (log</w:t>
            </w:r>
            <w:r w:rsidRPr="004130F0">
              <w:rPr>
                <w:color w:val="000000"/>
                <w:sz w:val="20"/>
                <w:szCs w:val="20"/>
                <w:vertAlign w:val="subscript"/>
              </w:rPr>
              <w:t>10</w:t>
            </w:r>
            <w:r w:rsidRPr="004130F0">
              <w:rPr>
                <w:color w:val="000000"/>
                <w:sz w:val="20"/>
                <w:szCs w:val="20"/>
              </w:rPr>
              <w:t xml:space="preserve"> copies/ml)</w:t>
            </w:r>
          </w:p>
        </w:tc>
        <w:tc>
          <w:tcPr>
            <w:tcW w:w="1860" w:type="dxa"/>
            <w:tcBorders>
              <w:top w:val="nil"/>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r w:rsidRPr="004130F0">
              <w:rPr>
                <w:color w:val="000000"/>
                <w:sz w:val="20"/>
                <w:szCs w:val="20"/>
              </w:rPr>
              <w:t>4.5</w:t>
            </w:r>
          </w:p>
        </w:tc>
        <w:tc>
          <w:tcPr>
            <w:tcW w:w="1820" w:type="dxa"/>
            <w:tcBorders>
              <w:top w:val="nil"/>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r w:rsidRPr="004130F0">
              <w:rPr>
                <w:color w:val="000000"/>
                <w:sz w:val="20"/>
                <w:szCs w:val="20"/>
              </w:rPr>
              <w:t>4.0 – 5.0</w:t>
            </w:r>
          </w:p>
        </w:tc>
        <w:tc>
          <w:tcPr>
            <w:tcW w:w="1520" w:type="dxa"/>
            <w:tcBorders>
              <w:top w:val="nil"/>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vertAlign w:val="superscript"/>
              </w:rPr>
            </w:pPr>
            <w:r w:rsidRPr="004130F0">
              <w:rPr>
                <w:color w:val="000000"/>
                <w:sz w:val="20"/>
                <w:szCs w:val="20"/>
                <w:vertAlign w:val="superscript"/>
              </w:rPr>
              <w:fldChar w:fldCharType="begin"/>
            </w:r>
            <w:r w:rsidRPr="004130F0">
              <w:rPr>
                <w:color w:val="000000"/>
                <w:sz w:val="20"/>
                <w:szCs w:val="20"/>
                <w:vertAlign w:val="superscript"/>
              </w:rPr>
              <w:instrText>ADDIN RW.CITE{{176 Herbeck,JoshuaT. 2008; 490 Vo,ThiTuyetNhung 2008}}</w:instrText>
            </w:r>
            <w:r w:rsidRPr="004130F0">
              <w:rPr>
                <w:color w:val="000000"/>
                <w:sz w:val="20"/>
                <w:szCs w:val="20"/>
                <w:vertAlign w:val="superscript"/>
              </w:rPr>
              <w:fldChar w:fldCharType="separate"/>
            </w:r>
            <w:r w:rsidRPr="00A04044">
              <w:rPr>
                <w:color w:val="000000"/>
                <w:sz w:val="20"/>
                <w:szCs w:val="20"/>
              </w:rPr>
              <w:t>(10,60)</w:t>
            </w:r>
            <w:r w:rsidRPr="004130F0">
              <w:rPr>
                <w:color w:val="000000"/>
                <w:sz w:val="20"/>
                <w:szCs w:val="20"/>
                <w:vertAlign w:val="superscript"/>
              </w:rPr>
              <w:fldChar w:fldCharType="end"/>
            </w:r>
          </w:p>
        </w:tc>
      </w:tr>
      <w:tr w:rsidR="005F535C" w:rsidRPr="004130F0" w:rsidTr="00DE49A9">
        <w:trPr>
          <w:trHeight w:val="390"/>
        </w:trPr>
        <w:tc>
          <w:tcPr>
            <w:tcW w:w="2860" w:type="dxa"/>
            <w:tcBorders>
              <w:top w:val="nil"/>
              <w:left w:val="single" w:sz="8" w:space="0" w:color="auto"/>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r w:rsidRPr="004130F0">
              <w:rPr>
                <w:color w:val="000000"/>
                <w:sz w:val="20"/>
                <w:szCs w:val="20"/>
              </w:rPr>
              <w:t>Natural rate of CD4 cell count decline (cells/µL/quarter) as a function of HIV viral load stratum (log</w:t>
            </w:r>
            <w:r w:rsidRPr="004130F0">
              <w:rPr>
                <w:color w:val="000000"/>
                <w:sz w:val="20"/>
                <w:szCs w:val="20"/>
                <w:vertAlign w:val="subscript"/>
              </w:rPr>
              <w:t>10</w:t>
            </w:r>
            <w:r w:rsidRPr="004130F0">
              <w:rPr>
                <w:color w:val="000000"/>
                <w:sz w:val="20"/>
                <w:szCs w:val="20"/>
              </w:rPr>
              <w:t xml:space="preserve"> copies/ml)</w:t>
            </w:r>
          </w:p>
        </w:tc>
        <w:tc>
          <w:tcPr>
            <w:tcW w:w="1860" w:type="dxa"/>
            <w:tcBorders>
              <w:top w:val="nil"/>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r w:rsidRPr="004130F0">
              <w:rPr>
                <w:color w:val="000000"/>
                <w:sz w:val="20"/>
                <w:szCs w:val="20"/>
              </w:rPr>
              <w:t> </w:t>
            </w:r>
          </w:p>
        </w:tc>
        <w:tc>
          <w:tcPr>
            <w:tcW w:w="1820" w:type="dxa"/>
            <w:tcBorders>
              <w:top w:val="nil"/>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vertAlign w:val="superscript"/>
              </w:rPr>
            </w:pPr>
            <w:r w:rsidRPr="004130F0">
              <w:rPr>
                <w:color w:val="000000"/>
                <w:sz w:val="20"/>
                <w:szCs w:val="20"/>
                <w:vertAlign w:val="superscript"/>
              </w:rPr>
              <w:fldChar w:fldCharType="begin"/>
            </w:r>
            <w:r w:rsidRPr="004130F0">
              <w:rPr>
                <w:color w:val="000000"/>
                <w:sz w:val="20"/>
                <w:szCs w:val="20"/>
                <w:vertAlign w:val="superscript"/>
              </w:rPr>
              <w:instrText>ADDIN RW.CITE{{461 Rodriguez,B. 2006}}</w:instrText>
            </w:r>
            <w:r w:rsidRPr="004130F0">
              <w:rPr>
                <w:color w:val="000000"/>
                <w:sz w:val="20"/>
                <w:szCs w:val="20"/>
                <w:vertAlign w:val="superscript"/>
              </w:rPr>
              <w:fldChar w:fldCharType="separate"/>
            </w:r>
            <w:r w:rsidRPr="00A04044">
              <w:rPr>
                <w:color w:val="000000"/>
                <w:sz w:val="20"/>
                <w:szCs w:val="20"/>
              </w:rPr>
              <w:t>(11)</w:t>
            </w:r>
            <w:r w:rsidRPr="004130F0">
              <w:rPr>
                <w:color w:val="000000"/>
                <w:sz w:val="20"/>
                <w:szCs w:val="20"/>
                <w:vertAlign w:val="superscript"/>
              </w:rPr>
              <w:fldChar w:fldCharType="end"/>
            </w:r>
          </w:p>
        </w:tc>
      </w:tr>
      <w:tr w:rsidR="005F535C" w:rsidRPr="004130F0" w:rsidTr="00DE49A9">
        <w:trPr>
          <w:trHeight w:val="96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2.7</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5.1</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2.4 – 7.8</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FF"/>
                <w:sz w:val="20"/>
                <w:szCs w:val="20"/>
                <w:u w:val="single"/>
              </w:rPr>
            </w:pPr>
            <w:r w:rsidRPr="004130F0">
              <w:rPr>
                <w:color w:val="000000"/>
                <w:sz w:val="20"/>
                <w:szCs w:val="20"/>
              </w:rPr>
              <w:t> </w:t>
            </w:r>
          </w:p>
        </w:tc>
      </w:tr>
      <w:tr w:rsidR="005F535C" w:rsidRPr="004130F0" w:rsidTr="00DE49A9">
        <w:trPr>
          <w:trHeight w:val="64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b/>
                <w:bCs/>
                <w:color w:val="000000"/>
                <w:sz w:val="20"/>
                <w:szCs w:val="20"/>
              </w:rPr>
            </w:pPr>
            <w:r w:rsidRPr="004130F0">
              <w:rPr>
                <w:color w:val="000000"/>
                <w:sz w:val="20"/>
                <w:szCs w:val="20"/>
              </w:rPr>
              <w:t>2.7 – 3.3</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9.9</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7.2 – 12.3</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64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3.3 – 4.0</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12.0</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9.9 – 13.8</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FF"/>
                <w:sz w:val="20"/>
                <w:szCs w:val="20"/>
                <w:u w:val="single"/>
              </w:rPr>
            </w:pPr>
            <w:r w:rsidRPr="004130F0">
              <w:rPr>
                <w:color w:val="000000"/>
                <w:sz w:val="20"/>
                <w:szCs w:val="20"/>
              </w:rPr>
              <w:t> </w:t>
            </w:r>
          </w:p>
        </w:tc>
      </w:tr>
      <w:tr w:rsidR="005F535C" w:rsidRPr="004130F0" w:rsidTr="00DE49A9">
        <w:trPr>
          <w:trHeight w:val="70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4.0 – 4.6</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14.1</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11.7 – 16.2</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70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4.6</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19.5</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17.1 – 21.9</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165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b/>
                <w:bCs/>
                <w:color w:val="000000"/>
                <w:sz w:val="20"/>
                <w:szCs w:val="20"/>
              </w:rPr>
              <w:t>Quarterly Probability of Developing an Opportunistic Infection (OI) (%)</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FF"/>
                <w:sz w:val="20"/>
                <w:szCs w:val="20"/>
                <w:u w:val="single"/>
              </w:rPr>
            </w:pPr>
            <w:r w:rsidRPr="004130F0">
              <w:rPr>
                <w:sz w:val="20"/>
                <w:szCs w:val="20"/>
              </w:rPr>
              <w:fldChar w:fldCharType="begin"/>
            </w:r>
            <w:r w:rsidRPr="004130F0">
              <w:rPr>
                <w:sz w:val="20"/>
                <w:szCs w:val="20"/>
              </w:rPr>
              <w:instrText>ADDIN RW.CITE{{462 Paltiel,A.David 2005; 169 Weinstein,M.C. 2001}}</w:instrText>
            </w:r>
            <w:r w:rsidRPr="004130F0">
              <w:rPr>
                <w:sz w:val="20"/>
                <w:szCs w:val="20"/>
              </w:rPr>
              <w:fldChar w:fldCharType="separate"/>
            </w:r>
            <w:r w:rsidRPr="00A04044">
              <w:rPr>
                <w:sz w:val="20"/>
                <w:szCs w:val="20"/>
              </w:rPr>
              <w:t>(12,13)</w:t>
            </w:r>
            <w:r w:rsidRPr="004130F0">
              <w:rPr>
                <w:sz w:val="20"/>
                <w:szCs w:val="20"/>
              </w:rPr>
              <w:fldChar w:fldCharType="end"/>
            </w:r>
            <w:r w:rsidRPr="004130F0">
              <w:rPr>
                <w:color w:val="0000FF"/>
                <w:sz w:val="20"/>
                <w:szCs w:val="20"/>
                <w:u w:val="single"/>
              </w:rPr>
              <w:t xml:space="preserve">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i/>
                <w:iCs/>
                <w:color w:val="000000"/>
                <w:sz w:val="20"/>
                <w:szCs w:val="20"/>
              </w:rPr>
              <w:t>Pneumocystis pneumonia</w:t>
            </w:r>
            <w:r w:rsidRPr="004130F0">
              <w:rPr>
                <w:color w:val="000000"/>
                <w:sz w:val="20"/>
                <w:szCs w:val="20"/>
              </w:rPr>
              <w:t xml:space="preserve"> (PCP)</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0.1 – 10.7</w:t>
            </w:r>
            <w:r w:rsidRPr="004130F0">
              <w:rPr>
                <w:color w:val="000000"/>
                <w:sz w:val="20"/>
                <w:szCs w:val="20"/>
                <w:vertAlign w:val="superscript"/>
              </w:rPr>
              <w:t>a</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i/>
                <w:iCs/>
                <w:color w:val="000000"/>
                <w:sz w:val="20"/>
                <w:szCs w:val="20"/>
              </w:rPr>
              <w:t>Mycobacterium avium</w:t>
            </w:r>
            <w:r w:rsidRPr="004130F0">
              <w:rPr>
                <w:color w:val="000000"/>
                <w:sz w:val="20"/>
                <w:szCs w:val="20"/>
              </w:rPr>
              <w:t xml:space="preserve"> complex</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0.0 – 3.6</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Toxoplasmosis</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0.0 – 0.8</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Cytomegalovirus infection</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0.0 – 5.5</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lastRenderedPageBreak/>
              <w:t>Fungal infection</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0.0 – 3.3</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1275"/>
        </w:trPr>
        <w:tc>
          <w:tcPr>
            <w:tcW w:w="2860" w:type="dxa"/>
            <w:tcBorders>
              <w:top w:val="nil"/>
              <w:left w:val="single" w:sz="8" w:space="0" w:color="auto"/>
              <w:bottom w:val="single" w:sz="4" w:space="0" w:color="auto"/>
              <w:right w:val="single" w:sz="8" w:space="0" w:color="auto"/>
            </w:tcBorders>
            <w:shd w:val="clear" w:color="auto" w:fill="auto"/>
            <w:vAlign w:val="center"/>
            <w:hideMark/>
          </w:tcPr>
          <w:p w:rsidR="005F535C" w:rsidRPr="004130F0" w:rsidRDefault="005F535C" w:rsidP="00DE49A9">
            <w:pPr>
              <w:jc w:val="center"/>
              <w:rPr>
                <w:b/>
                <w:bCs/>
                <w:color w:val="000000"/>
                <w:sz w:val="20"/>
                <w:szCs w:val="20"/>
              </w:rPr>
            </w:pPr>
            <w:r w:rsidRPr="004130F0">
              <w:rPr>
                <w:color w:val="000000"/>
                <w:sz w:val="20"/>
                <w:szCs w:val="20"/>
              </w:rPr>
              <w:t>Other</w:t>
            </w:r>
          </w:p>
        </w:tc>
        <w:tc>
          <w:tcPr>
            <w:tcW w:w="1860" w:type="dxa"/>
            <w:tcBorders>
              <w:top w:val="nil"/>
              <w:left w:val="nil"/>
              <w:bottom w:val="single" w:sz="4"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0.1 – 11.4</w:t>
            </w:r>
          </w:p>
        </w:tc>
        <w:tc>
          <w:tcPr>
            <w:tcW w:w="1820" w:type="dxa"/>
            <w:tcBorders>
              <w:top w:val="nil"/>
              <w:left w:val="nil"/>
              <w:bottom w:val="single" w:sz="4"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4"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645"/>
        </w:trPr>
        <w:tc>
          <w:tcPr>
            <w:tcW w:w="28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i/>
                <w:iCs/>
                <w:color w:val="000000"/>
                <w:sz w:val="20"/>
                <w:szCs w:val="20"/>
              </w:rPr>
            </w:pPr>
            <w:r w:rsidRPr="004130F0">
              <w:rPr>
                <w:color w:val="000000"/>
                <w:sz w:val="20"/>
                <w:szCs w:val="20"/>
              </w:rPr>
              <w:t>Cumulative probability for all OIs</w:t>
            </w:r>
          </w:p>
        </w:tc>
        <w:tc>
          <w:tcPr>
            <w:tcW w:w="1860" w:type="dxa"/>
            <w:tcBorders>
              <w:top w:val="single" w:sz="4" w:space="0" w:color="auto"/>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0.3 – 35.3</w:t>
            </w:r>
          </w:p>
        </w:tc>
        <w:tc>
          <w:tcPr>
            <w:tcW w:w="1820" w:type="dxa"/>
            <w:tcBorders>
              <w:top w:val="single" w:sz="4" w:space="0" w:color="auto"/>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single" w:sz="4" w:space="0" w:color="auto"/>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64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i/>
                <w:iCs/>
                <w:color w:val="000000"/>
                <w:sz w:val="20"/>
                <w:szCs w:val="20"/>
              </w:rPr>
            </w:pPr>
            <w:r w:rsidRPr="004130F0">
              <w:rPr>
                <w:b/>
                <w:bCs/>
                <w:color w:val="000000"/>
                <w:sz w:val="20"/>
                <w:szCs w:val="20"/>
              </w:rPr>
              <w:t>Quarterly Probability of Death for   Antiretroviral Therapy (ART)-Naïve Individuals (%)</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Sexual transmission: CD4 cell count (cells/µL)</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fldChar w:fldCharType="begin"/>
            </w:r>
            <w:r w:rsidRPr="004130F0">
              <w:rPr>
                <w:color w:val="000000"/>
                <w:sz w:val="20"/>
                <w:szCs w:val="20"/>
              </w:rPr>
              <w:instrText>ADDIN RW.CITE{{185 TheUnitedKingdomCollaborativeHIVCohort(CHIC)Study 2007}}</w:instrText>
            </w:r>
            <w:r w:rsidRPr="004130F0">
              <w:rPr>
                <w:color w:val="000000"/>
                <w:sz w:val="20"/>
                <w:szCs w:val="20"/>
              </w:rPr>
              <w:fldChar w:fldCharType="separate"/>
            </w:r>
            <w:r w:rsidRPr="00A04044">
              <w:rPr>
                <w:color w:val="000000"/>
                <w:sz w:val="20"/>
                <w:szCs w:val="20"/>
              </w:rPr>
              <w:t>(14)</w:t>
            </w:r>
            <w:r w:rsidRPr="004130F0">
              <w:rPr>
                <w:color w:val="000000"/>
                <w:sz w:val="20"/>
                <w:szCs w:val="20"/>
              </w:rPr>
              <w:fldChar w:fldCharType="end"/>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650</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0.043</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500 – 649</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0.05</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350 – 499</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0.08</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64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200 – 349</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0.145</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127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b/>
                <w:bCs/>
                <w:color w:val="000000"/>
                <w:sz w:val="20"/>
                <w:szCs w:val="20"/>
              </w:rPr>
            </w:pPr>
            <w:r w:rsidRPr="004130F0">
              <w:rPr>
                <w:color w:val="000000"/>
                <w:sz w:val="20"/>
                <w:szCs w:val="20"/>
              </w:rPr>
              <w:t>50 – 199</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0.767</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64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&lt; 50</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4.9</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FF"/>
                <w:sz w:val="20"/>
                <w:szCs w:val="20"/>
                <w:u w:val="single"/>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b/>
                <w:bCs/>
                <w:color w:val="000000"/>
                <w:sz w:val="20"/>
                <w:szCs w:val="20"/>
              </w:rPr>
              <w:t>ART Regimens</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Suppressed HIV viral load level (log</w:t>
            </w:r>
            <w:r w:rsidRPr="004130F0">
              <w:rPr>
                <w:color w:val="000000"/>
                <w:sz w:val="20"/>
                <w:szCs w:val="20"/>
                <w:vertAlign w:val="subscript"/>
              </w:rPr>
              <w:t>10</w:t>
            </w:r>
            <w:r w:rsidRPr="004130F0">
              <w:rPr>
                <w:color w:val="000000"/>
                <w:sz w:val="20"/>
                <w:szCs w:val="20"/>
              </w:rPr>
              <w:t xml:space="preserve"> copies/ml)</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1.3</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1.0 – 2.7</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fldChar w:fldCharType="begin"/>
            </w:r>
            <w:r w:rsidRPr="004130F0">
              <w:rPr>
                <w:color w:val="000000"/>
                <w:sz w:val="20"/>
                <w:szCs w:val="20"/>
              </w:rPr>
              <w:instrText>ADDIN RW.CITE{{200 Raboud,JanetM. 1998}}</w:instrText>
            </w:r>
            <w:r w:rsidRPr="004130F0">
              <w:rPr>
                <w:color w:val="000000"/>
                <w:sz w:val="20"/>
                <w:szCs w:val="20"/>
              </w:rPr>
              <w:fldChar w:fldCharType="separate"/>
            </w:r>
            <w:r w:rsidRPr="00A04044">
              <w:rPr>
                <w:color w:val="000000"/>
                <w:sz w:val="20"/>
                <w:szCs w:val="20"/>
              </w:rPr>
              <w:t>(18)</w:t>
            </w:r>
            <w:r w:rsidRPr="004130F0">
              <w:rPr>
                <w:color w:val="000000"/>
                <w:sz w:val="20"/>
                <w:szCs w:val="20"/>
              </w:rPr>
              <w:fldChar w:fldCharType="end"/>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Rebound HIV viral load level (log</w:t>
            </w:r>
            <w:r w:rsidRPr="004130F0">
              <w:rPr>
                <w:color w:val="000000"/>
                <w:sz w:val="20"/>
                <w:szCs w:val="20"/>
                <w:vertAlign w:val="subscript"/>
              </w:rPr>
              <w:t>10</w:t>
            </w:r>
            <w:r w:rsidRPr="004130F0">
              <w:rPr>
                <w:color w:val="000000"/>
                <w:sz w:val="20"/>
                <w:szCs w:val="20"/>
              </w:rPr>
              <w:t xml:space="preserve"> copies/ml)</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3.7</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3.1 – 4.5</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fldChar w:fldCharType="begin"/>
            </w:r>
            <w:r w:rsidRPr="004130F0">
              <w:rPr>
                <w:color w:val="000000"/>
                <w:sz w:val="20"/>
                <w:szCs w:val="20"/>
              </w:rPr>
              <w:instrText>ADDIN RW.CITE{{201 TheUnitedKingdomCollaborativeHIVCohort(CHIC)Study 2008}}</w:instrText>
            </w:r>
            <w:r w:rsidRPr="004130F0">
              <w:rPr>
                <w:color w:val="000000"/>
                <w:sz w:val="20"/>
                <w:szCs w:val="20"/>
              </w:rPr>
              <w:fldChar w:fldCharType="separate"/>
            </w:r>
            <w:r w:rsidRPr="00A04044">
              <w:rPr>
                <w:color w:val="000000"/>
                <w:sz w:val="20"/>
                <w:szCs w:val="20"/>
              </w:rPr>
              <w:t>(19)</w:t>
            </w:r>
            <w:r w:rsidRPr="004130F0">
              <w:rPr>
                <w:color w:val="000000"/>
                <w:sz w:val="20"/>
                <w:szCs w:val="20"/>
              </w:rPr>
              <w:fldChar w:fldCharType="end"/>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Maximum number of ART regimens and regimen drug composition</w:t>
            </w:r>
          </w:p>
          <w:p w:rsidR="005F535C" w:rsidRPr="004130F0" w:rsidRDefault="005F535C" w:rsidP="00DE49A9">
            <w:pPr>
              <w:jc w:val="center"/>
              <w:rPr>
                <w:color w:val="000000"/>
                <w:sz w:val="20"/>
                <w:szCs w:val="20"/>
              </w:rPr>
            </w:pP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rFonts w:cs="Calibri"/>
                <w:color w:val="000000"/>
                <w:sz w:val="20"/>
                <w:szCs w:val="20"/>
              </w:rPr>
            </w:pPr>
            <w:r w:rsidRPr="004130F0">
              <w:rPr>
                <w:color w:val="000000"/>
                <w:sz w:val="20"/>
                <w:szCs w:val="20"/>
              </w:rPr>
              <w:t xml:space="preserve">3 + </w:t>
            </w:r>
            <w:r w:rsidRPr="004130F0">
              <w:rPr>
                <w:rFonts w:cs="Calibri"/>
                <w:color w:val="000000"/>
                <w:sz w:val="20"/>
                <w:szCs w:val="20"/>
              </w:rPr>
              <w:t>Salvage Therapy</w:t>
            </w:r>
            <w:r w:rsidRPr="004130F0">
              <w:rPr>
                <w:color w:val="000000"/>
                <w:sz w:val="20"/>
                <w:szCs w:val="20"/>
              </w:rPr>
              <w:t xml:space="preserve">                           (</w:t>
            </w:r>
            <w:r w:rsidRPr="004130F0">
              <w:rPr>
                <w:rFonts w:cs="Calibri"/>
                <w:color w:val="000000"/>
                <w:sz w:val="20"/>
                <w:szCs w:val="20"/>
              </w:rPr>
              <w:t xml:space="preserve">I. EFV/TDF/FTC; </w:t>
            </w:r>
          </w:p>
          <w:p w:rsidR="005F535C" w:rsidRPr="004130F0" w:rsidRDefault="005F535C" w:rsidP="00DE49A9">
            <w:pPr>
              <w:jc w:val="center"/>
              <w:rPr>
                <w:rFonts w:cs="Calibri"/>
                <w:color w:val="000000"/>
                <w:sz w:val="20"/>
                <w:szCs w:val="20"/>
              </w:rPr>
            </w:pPr>
            <w:r w:rsidRPr="004130F0">
              <w:rPr>
                <w:rFonts w:cs="Calibri"/>
                <w:color w:val="000000"/>
                <w:sz w:val="20"/>
                <w:szCs w:val="20"/>
              </w:rPr>
              <w:t>II. ATV/r</w:t>
            </w:r>
            <w:r w:rsidRPr="004130F0">
              <w:rPr>
                <w:color w:val="000000"/>
                <w:sz w:val="20"/>
                <w:szCs w:val="20"/>
              </w:rPr>
              <w:t xml:space="preserve">+ABC/3TC; </w:t>
            </w:r>
            <w:r w:rsidRPr="004130F0">
              <w:rPr>
                <w:rFonts w:cs="Calibri"/>
                <w:color w:val="000000"/>
                <w:sz w:val="20"/>
                <w:szCs w:val="20"/>
              </w:rPr>
              <w:t>III. RAL+TDF/FTC)</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vertAlign w:val="superscript"/>
              </w:rPr>
              <w:t>b</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xml:space="preserve">Probability of virologic suppression in ART regimens:  </w:t>
            </w:r>
            <w:r w:rsidRPr="004130F0">
              <w:rPr>
                <w:color w:val="000000"/>
                <w:sz w:val="20"/>
                <w:szCs w:val="20"/>
              </w:rPr>
              <w:lastRenderedPageBreak/>
              <w:t>CD4 cell count (cells/µL) at ART initiation</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lastRenderedPageBreak/>
              <w:t> </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rPr>
                <w:color w:val="000000"/>
                <w:sz w:val="20"/>
                <w:szCs w:val="20"/>
              </w:rPr>
            </w:pPr>
            <w:r w:rsidRPr="004130F0">
              <w:rPr>
                <w:color w:val="000000"/>
                <w:sz w:val="20"/>
                <w:szCs w:val="20"/>
              </w:rPr>
              <w:fldChar w:fldCharType="begin"/>
            </w:r>
            <w:r w:rsidRPr="004130F0">
              <w:rPr>
                <w:color w:val="000000"/>
                <w:sz w:val="20"/>
                <w:szCs w:val="20"/>
              </w:rPr>
              <w:instrText>ADDIN RW.CITE{{7 Lennox,J.L. 2009; 5 Lennox,J.L. 2010}}</w:instrText>
            </w:r>
            <w:r w:rsidRPr="004130F0">
              <w:rPr>
                <w:color w:val="000000"/>
                <w:sz w:val="20"/>
                <w:szCs w:val="20"/>
              </w:rPr>
              <w:fldChar w:fldCharType="separate"/>
            </w:r>
            <w:r w:rsidRPr="00A04044">
              <w:rPr>
                <w:color w:val="000000"/>
                <w:sz w:val="20"/>
                <w:szCs w:val="20"/>
              </w:rPr>
              <w:t>(20,21)</w:t>
            </w:r>
            <w:r w:rsidRPr="004130F0">
              <w:rPr>
                <w:color w:val="000000"/>
                <w:sz w:val="20"/>
                <w:szCs w:val="20"/>
              </w:rPr>
              <w:fldChar w:fldCharType="end"/>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&gt;200</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0.84</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96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50 - 200</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0.79</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FF"/>
                <w:sz w:val="20"/>
                <w:szCs w:val="20"/>
                <w:u w:val="single"/>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4"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&lt; 50</w:t>
            </w:r>
          </w:p>
        </w:tc>
        <w:tc>
          <w:tcPr>
            <w:tcW w:w="1860" w:type="dxa"/>
            <w:tcBorders>
              <w:top w:val="nil"/>
              <w:left w:val="nil"/>
              <w:bottom w:val="single" w:sz="4"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0.774</w:t>
            </w:r>
          </w:p>
        </w:tc>
        <w:tc>
          <w:tcPr>
            <w:tcW w:w="1820" w:type="dxa"/>
            <w:tcBorders>
              <w:top w:val="nil"/>
              <w:left w:val="nil"/>
              <w:bottom w:val="single" w:sz="4"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4"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30"/>
        </w:trPr>
        <w:tc>
          <w:tcPr>
            <w:tcW w:w="28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Rate of HIV viral load rebound (% experiencing rebound after one year on first regimen) by  CD4 cell count (cells/µL) at ART initiation</w:t>
            </w:r>
          </w:p>
        </w:tc>
        <w:tc>
          <w:tcPr>
            <w:tcW w:w="1860" w:type="dxa"/>
            <w:tcBorders>
              <w:top w:val="single" w:sz="4" w:space="0" w:color="auto"/>
              <w:left w:val="nil"/>
              <w:bottom w:val="single" w:sz="8" w:space="0" w:color="auto"/>
              <w:right w:val="single" w:sz="8" w:space="0" w:color="auto"/>
            </w:tcBorders>
            <w:shd w:val="clear" w:color="auto" w:fill="auto"/>
            <w:vAlign w:val="center"/>
            <w:hideMark/>
          </w:tcPr>
          <w:p w:rsidR="005F535C" w:rsidRPr="004130F0" w:rsidRDefault="005F535C" w:rsidP="00DE49A9">
            <w:pPr>
              <w:rPr>
                <w:color w:val="000000"/>
                <w:sz w:val="20"/>
                <w:szCs w:val="20"/>
              </w:rPr>
            </w:pPr>
          </w:p>
        </w:tc>
        <w:tc>
          <w:tcPr>
            <w:tcW w:w="1820" w:type="dxa"/>
            <w:tcBorders>
              <w:top w:val="single" w:sz="4" w:space="0" w:color="auto"/>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single" w:sz="4" w:space="0" w:color="auto"/>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sz w:val="20"/>
                <w:szCs w:val="20"/>
              </w:rPr>
              <w:fldChar w:fldCharType="begin"/>
            </w:r>
            <w:r w:rsidRPr="004130F0">
              <w:rPr>
                <w:sz w:val="20"/>
                <w:szCs w:val="20"/>
              </w:rPr>
              <w:instrText>ADDIN RW.CITE{{52 Hogg,R. 2008; 153 Sterne,J.A. 2009}}</w:instrText>
            </w:r>
            <w:r w:rsidRPr="004130F0">
              <w:rPr>
                <w:sz w:val="20"/>
                <w:szCs w:val="20"/>
              </w:rPr>
              <w:fldChar w:fldCharType="separate"/>
            </w:r>
            <w:r w:rsidRPr="00A04044">
              <w:rPr>
                <w:sz w:val="20"/>
                <w:szCs w:val="20"/>
              </w:rPr>
              <w:t>(25,26)</w:t>
            </w:r>
            <w:r w:rsidRPr="004130F0">
              <w:rPr>
                <w:sz w:val="20"/>
                <w:szCs w:val="20"/>
              </w:rPr>
              <w:fldChar w:fldCharType="end"/>
            </w:r>
            <w:r w:rsidRPr="004130F0">
              <w:rPr>
                <w:sz w:val="20"/>
                <w:szCs w:val="20"/>
              </w:rPr>
              <w:t xml:space="preserve">  </w:t>
            </w:r>
            <w:r w:rsidRPr="004130F0">
              <w:rPr>
                <w:color w:val="000000"/>
                <w:sz w:val="20"/>
                <w:szCs w:val="20"/>
              </w:rPr>
              <w:t xml:space="preserve"> (estimated by calibrated to match life-expectancy in cited reference) </w:t>
            </w:r>
          </w:p>
        </w:tc>
      </w:tr>
      <w:tr w:rsidR="005F535C" w:rsidRPr="004130F0" w:rsidTr="00DE49A9">
        <w:trPr>
          <w:trHeight w:val="330"/>
        </w:trPr>
        <w:tc>
          <w:tcPr>
            <w:tcW w:w="2860" w:type="dxa"/>
            <w:tcBorders>
              <w:top w:val="single" w:sz="4" w:space="0" w:color="auto"/>
              <w:left w:val="single" w:sz="8" w:space="0" w:color="auto"/>
              <w:bottom w:val="single" w:sz="8" w:space="0" w:color="auto"/>
              <w:right w:val="single" w:sz="8" w:space="0" w:color="auto"/>
            </w:tcBorders>
            <w:shd w:val="clear" w:color="auto" w:fill="auto"/>
            <w:vAlign w:val="bottom"/>
          </w:tcPr>
          <w:p w:rsidR="005F535C" w:rsidRPr="004130F0" w:rsidRDefault="005F535C" w:rsidP="00DE49A9">
            <w:pPr>
              <w:jc w:val="center"/>
              <w:rPr>
                <w:rFonts w:cs="Calibri"/>
                <w:color w:val="000000"/>
                <w:sz w:val="20"/>
                <w:szCs w:val="20"/>
              </w:rPr>
            </w:pPr>
            <w:r w:rsidRPr="004130F0">
              <w:rPr>
                <w:rFonts w:cs="Calibri"/>
                <w:color w:val="000000"/>
                <w:sz w:val="20"/>
                <w:szCs w:val="20"/>
              </w:rPr>
              <w:t>&lt;100</w:t>
            </w:r>
          </w:p>
        </w:tc>
        <w:tc>
          <w:tcPr>
            <w:tcW w:w="1860" w:type="dxa"/>
            <w:tcBorders>
              <w:top w:val="single" w:sz="4" w:space="0" w:color="auto"/>
              <w:left w:val="nil"/>
              <w:bottom w:val="single" w:sz="8" w:space="0" w:color="auto"/>
              <w:right w:val="single" w:sz="8" w:space="0" w:color="auto"/>
            </w:tcBorders>
            <w:shd w:val="clear" w:color="auto" w:fill="auto"/>
            <w:vAlign w:val="bottom"/>
          </w:tcPr>
          <w:p w:rsidR="005F535C" w:rsidRPr="004130F0" w:rsidRDefault="005F535C" w:rsidP="00DE49A9">
            <w:pPr>
              <w:jc w:val="center"/>
              <w:rPr>
                <w:rFonts w:cs="Calibri"/>
                <w:color w:val="000000"/>
                <w:sz w:val="20"/>
                <w:szCs w:val="20"/>
              </w:rPr>
            </w:pPr>
            <w:r w:rsidRPr="004130F0">
              <w:rPr>
                <w:rFonts w:cs="Calibri"/>
                <w:color w:val="000000"/>
                <w:sz w:val="20"/>
                <w:szCs w:val="20"/>
              </w:rPr>
              <w:t>5</w:t>
            </w:r>
          </w:p>
        </w:tc>
        <w:tc>
          <w:tcPr>
            <w:tcW w:w="1820" w:type="dxa"/>
            <w:tcBorders>
              <w:top w:val="single" w:sz="4" w:space="0" w:color="auto"/>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p>
        </w:tc>
        <w:tc>
          <w:tcPr>
            <w:tcW w:w="1520" w:type="dxa"/>
            <w:tcBorders>
              <w:top w:val="single" w:sz="4" w:space="0" w:color="auto"/>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p>
        </w:tc>
      </w:tr>
      <w:tr w:rsidR="005F535C" w:rsidRPr="004130F0" w:rsidTr="00DE49A9">
        <w:trPr>
          <w:trHeight w:val="330"/>
        </w:trPr>
        <w:tc>
          <w:tcPr>
            <w:tcW w:w="2860" w:type="dxa"/>
            <w:tcBorders>
              <w:top w:val="single" w:sz="4" w:space="0" w:color="auto"/>
              <w:left w:val="single" w:sz="8" w:space="0" w:color="auto"/>
              <w:bottom w:val="single" w:sz="8" w:space="0" w:color="auto"/>
              <w:right w:val="single" w:sz="8" w:space="0" w:color="auto"/>
            </w:tcBorders>
            <w:shd w:val="clear" w:color="auto" w:fill="auto"/>
            <w:vAlign w:val="bottom"/>
          </w:tcPr>
          <w:p w:rsidR="005F535C" w:rsidRPr="004130F0" w:rsidRDefault="005F535C" w:rsidP="00DE49A9">
            <w:pPr>
              <w:jc w:val="center"/>
              <w:rPr>
                <w:rFonts w:cs="Calibri"/>
                <w:color w:val="000000"/>
                <w:sz w:val="20"/>
                <w:szCs w:val="20"/>
              </w:rPr>
            </w:pPr>
            <w:r w:rsidRPr="004130F0">
              <w:rPr>
                <w:rFonts w:cs="Calibri"/>
                <w:color w:val="000000"/>
                <w:sz w:val="20"/>
                <w:szCs w:val="20"/>
              </w:rPr>
              <w:t>100-200</w:t>
            </w:r>
          </w:p>
        </w:tc>
        <w:tc>
          <w:tcPr>
            <w:tcW w:w="1860" w:type="dxa"/>
            <w:tcBorders>
              <w:top w:val="single" w:sz="4" w:space="0" w:color="auto"/>
              <w:left w:val="nil"/>
              <w:bottom w:val="single" w:sz="8" w:space="0" w:color="auto"/>
              <w:right w:val="single" w:sz="8" w:space="0" w:color="auto"/>
            </w:tcBorders>
            <w:shd w:val="clear" w:color="auto" w:fill="auto"/>
            <w:vAlign w:val="bottom"/>
          </w:tcPr>
          <w:p w:rsidR="005F535C" w:rsidRPr="004130F0" w:rsidRDefault="005F535C" w:rsidP="00DE49A9">
            <w:pPr>
              <w:jc w:val="center"/>
              <w:rPr>
                <w:rFonts w:cs="Calibri"/>
                <w:color w:val="000000"/>
                <w:sz w:val="20"/>
                <w:szCs w:val="20"/>
              </w:rPr>
            </w:pPr>
            <w:r w:rsidRPr="004130F0">
              <w:rPr>
                <w:rFonts w:cs="Calibri"/>
                <w:color w:val="000000"/>
                <w:sz w:val="20"/>
                <w:szCs w:val="20"/>
              </w:rPr>
              <w:t>2.45</w:t>
            </w:r>
          </w:p>
        </w:tc>
        <w:tc>
          <w:tcPr>
            <w:tcW w:w="1820" w:type="dxa"/>
            <w:tcBorders>
              <w:top w:val="single" w:sz="4" w:space="0" w:color="auto"/>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p>
        </w:tc>
        <w:tc>
          <w:tcPr>
            <w:tcW w:w="1520" w:type="dxa"/>
            <w:tcBorders>
              <w:top w:val="single" w:sz="4" w:space="0" w:color="auto"/>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p>
        </w:tc>
      </w:tr>
      <w:tr w:rsidR="005F535C" w:rsidRPr="004130F0" w:rsidTr="00DE49A9">
        <w:trPr>
          <w:trHeight w:val="330"/>
        </w:trPr>
        <w:tc>
          <w:tcPr>
            <w:tcW w:w="2860" w:type="dxa"/>
            <w:tcBorders>
              <w:top w:val="single" w:sz="4" w:space="0" w:color="auto"/>
              <w:left w:val="single" w:sz="8" w:space="0" w:color="auto"/>
              <w:bottom w:val="single" w:sz="8" w:space="0" w:color="auto"/>
              <w:right w:val="single" w:sz="8" w:space="0" w:color="auto"/>
            </w:tcBorders>
            <w:shd w:val="clear" w:color="auto" w:fill="auto"/>
            <w:vAlign w:val="bottom"/>
          </w:tcPr>
          <w:p w:rsidR="005F535C" w:rsidRPr="004130F0" w:rsidRDefault="005F535C" w:rsidP="00DE49A9">
            <w:pPr>
              <w:jc w:val="center"/>
              <w:rPr>
                <w:rFonts w:cs="Calibri"/>
                <w:color w:val="000000"/>
                <w:sz w:val="20"/>
                <w:szCs w:val="20"/>
              </w:rPr>
            </w:pPr>
            <w:r w:rsidRPr="004130F0">
              <w:rPr>
                <w:rFonts w:cs="Calibri"/>
                <w:color w:val="000000"/>
                <w:sz w:val="20"/>
                <w:szCs w:val="20"/>
              </w:rPr>
              <w:t>200-300</w:t>
            </w:r>
          </w:p>
        </w:tc>
        <w:tc>
          <w:tcPr>
            <w:tcW w:w="1860" w:type="dxa"/>
            <w:tcBorders>
              <w:top w:val="single" w:sz="4" w:space="0" w:color="auto"/>
              <w:left w:val="nil"/>
              <w:bottom w:val="single" w:sz="8" w:space="0" w:color="auto"/>
              <w:right w:val="single" w:sz="8" w:space="0" w:color="auto"/>
            </w:tcBorders>
            <w:shd w:val="clear" w:color="auto" w:fill="auto"/>
            <w:vAlign w:val="bottom"/>
          </w:tcPr>
          <w:p w:rsidR="005F535C" w:rsidRPr="004130F0" w:rsidRDefault="005F535C" w:rsidP="00DE49A9">
            <w:pPr>
              <w:jc w:val="center"/>
              <w:rPr>
                <w:rFonts w:cs="Calibri"/>
                <w:color w:val="000000"/>
                <w:sz w:val="20"/>
                <w:szCs w:val="20"/>
              </w:rPr>
            </w:pPr>
            <w:r w:rsidRPr="004130F0">
              <w:rPr>
                <w:rFonts w:cs="Calibri"/>
                <w:color w:val="000000"/>
                <w:sz w:val="20"/>
                <w:szCs w:val="20"/>
              </w:rPr>
              <w:t>1.83</w:t>
            </w:r>
          </w:p>
        </w:tc>
        <w:tc>
          <w:tcPr>
            <w:tcW w:w="1820" w:type="dxa"/>
            <w:tcBorders>
              <w:top w:val="single" w:sz="4" w:space="0" w:color="auto"/>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p>
        </w:tc>
        <w:tc>
          <w:tcPr>
            <w:tcW w:w="1520" w:type="dxa"/>
            <w:tcBorders>
              <w:top w:val="single" w:sz="4" w:space="0" w:color="auto"/>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p>
        </w:tc>
      </w:tr>
      <w:tr w:rsidR="005F535C" w:rsidRPr="004130F0" w:rsidTr="00DE49A9">
        <w:trPr>
          <w:trHeight w:val="330"/>
        </w:trPr>
        <w:tc>
          <w:tcPr>
            <w:tcW w:w="2860" w:type="dxa"/>
            <w:tcBorders>
              <w:top w:val="single" w:sz="4" w:space="0" w:color="auto"/>
              <w:left w:val="single" w:sz="8" w:space="0" w:color="auto"/>
              <w:bottom w:val="single" w:sz="8" w:space="0" w:color="auto"/>
              <w:right w:val="single" w:sz="8" w:space="0" w:color="auto"/>
            </w:tcBorders>
            <w:shd w:val="clear" w:color="auto" w:fill="auto"/>
            <w:vAlign w:val="bottom"/>
          </w:tcPr>
          <w:p w:rsidR="005F535C" w:rsidRPr="004130F0" w:rsidRDefault="005F535C" w:rsidP="00DE49A9">
            <w:pPr>
              <w:jc w:val="center"/>
              <w:rPr>
                <w:rFonts w:cs="Calibri"/>
                <w:color w:val="000000"/>
                <w:sz w:val="20"/>
                <w:szCs w:val="20"/>
              </w:rPr>
            </w:pPr>
            <w:r w:rsidRPr="004130F0">
              <w:rPr>
                <w:rFonts w:cs="Calibri"/>
                <w:color w:val="000000"/>
                <w:sz w:val="20"/>
                <w:szCs w:val="20"/>
              </w:rPr>
              <w:t>300-400</w:t>
            </w:r>
          </w:p>
        </w:tc>
        <w:tc>
          <w:tcPr>
            <w:tcW w:w="1860" w:type="dxa"/>
            <w:tcBorders>
              <w:top w:val="single" w:sz="4" w:space="0" w:color="auto"/>
              <w:left w:val="nil"/>
              <w:bottom w:val="single" w:sz="8" w:space="0" w:color="auto"/>
              <w:right w:val="single" w:sz="8" w:space="0" w:color="auto"/>
            </w:tcBorders>
            <w:shd w:val="clear" w:color="auto" w:fill="auto"/>
            <w:vAlign w:val="bottom"/>
          </w:tcPr>
          <w:p w:rsidR="005F535C" w:rsidRPr="004130F0" w:rsidRDefault="005F535C" w:rsidP="00DE49A9">
            <w:pPr>
              <w:jc w:val="center"/>
              <w:rPr>
                <w:rFonts w:cs="Calibri"/>
                <w:color w:val="000000"/>
                <w:sz w:val="20"/>
                <w:szCs w:val="20"/>
              </w:rPr>
            </w:pPr>
            <w:r w:rsidRPr="004130F0">
              <w:rPr>
                <w:rFonts w:cs="Calibri"/>
                <w:color w:val="000000"/>
                <w:sz w:val="20"/>
                <w:szCs w:val="20"/>
              </w:rPr>
              <w:t>1.46</w:t>
            </w:r>
          </w:p>
        </w:tc>
        <w:tc>
          <w:tcPr>
            <w:tcW w:w="1820" w:type="dxa"/>
            <w:tcBorders>
              <w:top w:val="single" w:sz="4" w:space="0" w:color="auto"/>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p>
        </w:tc>
        <w:tc>
          <w:tcPr>
            <w:tcW w:w="1520" w:type="dxa"/>
            <w:tcBorders>
              <w:top w:val="single" w:sz="4" w:space="0" w:color="auto"/>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p>
        </w:tc>
      </w:tr>
      <w:tr w:rsidR="005F535C" w:rsidRPr="004130F0" w:rsidTr="00DE49A9">
        <w:trPr>
          <w:trHeight w:val="330"/>
        </w:trPr>
        <w:tc>
          <w:tcPr>
            <w:tcW w:w="2860" w:type="dxa"/>
            <w:tcBorders>
              <w:top w:val="single" w:sz="4" w:space="0" w:color="auto"/>
              <w:left w:val="single" w:sz="8" w:space="0" w:color="auto"/>
              <w:bottom w:val="single" w:sz="8" w:space="0" w:color="auto"/>
              <w:right w:val="single" w:sz="8" w:space="0" w:color="auto"/>
            </w:tcBorders>
            <w:shd w:val="clear" w:color="auto" w:fill="auto"/>
            <w:vAlign w:val="bottom"/>
          </w:tcPr>
          <w:p w:rsidR="005F535C" w:rsidRPr="004130F0" w:rsidRDefault="005F535C" w:rsidP="00DE49A9">
            <w:pPr>
              <w:jc w:val="center"/>
              <w:rPr>
                <w:rFonts w:cs="Calibri"/>
                <w:color w:val="000000"/>
                <w:sz w:val="20"/>
                <w:szCs w:val="20"/>
              </w:rPr>
            </w:pPr>
            <w:r w:rsidRPr="004130F0">
              <w:rPr>
                <w:rFonts w:cs="Calibri"/>
                <w:color w:val="000000"/>
                <w:sz w:val="20"/>
                <w:szCs w:val="20"/>
              </w:rPr>
              <w:t>400-500</w:t>
            </w:r>
          </w:p>
        </w:tc>
        <w:tc>
          <w:tcPr>
            <w:tcW w:w="1860" w:type="dxa"/>
            <w:tcBorders>
              <w:top w:val="single" w:sz="4" w:space="0" w:color="auto"/>
              <w:left w:val="nil"/>
              <w:bottom w:val="single" w:sz="8" w:space="0" w:color="auto"/>
              <w:right w:val="single" w:sz="8" w:space="0" w:color="auto"/>
            </w:tcBorders>
            <w:shd w:val="clear" w:color="auto" w:fill="auto"/>
            <w:vAlign w:val="bottom"/>
          </w:tcPr>
          <w:p w:rsidR="005F535C" w:rsidRPr="004130F0" w:rsidRDefault="005F535C" w:rsidP="00DE49A9">
            <w:pPr>
              <w:jc w:val="center"/>
              <w:rPr>
                <w:rFonts w:cs="Calibri"/>
                <w:color w:val="000000"/>
                <w:sz w:val="20"/>
                <w:szCs w:val="20"/>
              </w:rPr>
            </w:pPr>
            <w:r w:rsidRPr="004130F0">
              <w:rPr>
                <w:rFonts w:cs="Calibri"/>
                <w:color w:val="000000"/>
                <w:sz w:val="20"/>
                <w:szCs w:val="20"/>
              </w:rPr>
              <w:t>1.45</w:t>
            </w:r>
          </w:p>
        </w:tc>
        <w:tc>
          <w:tcPr>
            <w:tcW w:w="1820" w:type="dxa"/>
            <w:tcBorders>
              <w:top w:val="single" w:sz="4" w:space="0" w:color="auto"/>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p>
        </w:tc>
        <w:tc>
          <w:tcPr>
            <w:tcW w:w="1520" w:type="dxa"/>
            <w:tcBorders>
              <w:top w:val="single" w:sz="4" w:space="0" w:color="auto"/>
              <w:left w:val="nil"/>
              <w:bottom w:val="single" w:sz="8" w:space="0" w:color="auto"/>
              <w:right w:val="single" w:sz="8" w:space="0" w:color="auto"/>
            </w:tcBorders>
            <w:shd w:val="clear" w:color="auto" w:fill="auto"/>
            <w:vAlign w:val="center"/>
          </w:tcPr>
          <w:p w:rsidR="005F535C" w:rsidRPr="004130F0" w:rsidRDefault="005F535C" w:rsidP="00DE49A9">
            <w:pPr>
              <w:jc w:val="center"/>
              <w:rPr>
                <w:color w:val="000000"/>
                <w:sz w:val="20"/>
                <w:szCs w:val="20"/>
              </w:rPr>
            </w:pP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Percent increase in rate of HIV viral load rebound for each successive regimen compared to its previous regimen</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18</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sz w:val="20"/>
                <w:szCs w:val="20"/>
              </w:rPr>
              <w:fldChar w:fldCharType="begin"/>
            </w:r>
            <w:r w:rsidRPr="004130F0">
              <w:rPr>
                <w:sz w:val="20"/>
                <w:szCs w:val="20"/>
              </w:rPr>
              <w:instrText>ADDIN RW.CITE{{3 Smith,C.J. 2009}}</w:instrText>
            </w:r>
            <w:r w:rsidRPr="004130F0">
              <w:rPr>
                <w:sz w:val="20"/>
                <w:szCs w:val="20"/>
              </w:rPr>
              <w:fldChar w:fldCharType="separate"/>
            </w:r>
            <w:r w:rsidRPr="00A04044">
              <w:rPr>
                <w:sz w:val="20"/>
                <w:szCs w:val="20"/>
              </w:rPr>
              <w:t>(28)</w:t>
            </w:r>
            <w:r w:rsidRPr="004130F0">
              <w:rPr>
                <w:sz w:val="20"/>
                <w:szCs w:val="20"/>
              </w:rPr>
              <w:fldChar w:fldCharType="end"/>
            </w:r>
            <w:r w:rsidRPr="004130F0">
              <w:rPr>
                <w:color w:val="000000"/>
                <w:sz w:val="20"/>
                <w:szCs w:val="20"/>
              </w:rPr>
              <w:t xml:space="preserve">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b/>
                <w:bCs/>
                <w:color w:val="000000"/>
                <w:sz w:val="20"/>
                <w:szCs w:val="20"/>
              </w:rPr>
            </w:pPr>
            <w:r w:rsidRPr="004130F0">
              <w:rPr>
                <w:color w:val="000000"/>
                <w:sz w:val="20"/>
                <w:szCs w:val="20"/>
              </w:rPr>
              <w:t>HIV viral load above set-point during salvage therapy (log</w:t>
            </w:r>
            <w:r w:rsidRPr="004130F0">
              <w:rPr>
                <w:color w:val="000000"/>
                <w:sz w:val="20"/>
                <w:szCs w:val="20"/>
                <w:vertAlign w:val="subscript"/>
              </w:rPr>
              <w:t>10</w:t>
            </w:r>
            <w:r w:rsidRPr="004130F0">
              <w:rPr>
                <w:color w:val="000000"/>
                <w:sz w:val="20"/>
                <w:szCs w:val="20"/>
              </w:rPr>
              <w:t xml:space="preserve"> copies/ml)</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0.8</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0.0 – 1.5</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sz w:val="20"/>
                <w:szCs w:val="20"/>
              </w:rPr>
              <w:fldChar w:fldCharType="begin"/>
            </w:r>
            <w:r w:rsidRPr="004130F0">
              <w:rPr>
                <w:sz w:val="20"/>
                <w:szCs w:val="20"/>
              </w:rPr>
              <w:instrText>ADDIN RW.CITE{{105 Sanders,G.D. 2005}}</w:instrText>
            </w:r>
            <w:r w:rsidRPr="004130F0">
              <w:rPr>
                <w:sz w:val="20"/>
                <w:szCs w:val="20"/>
              </w:rPr>
              <w:fldChar w:fldCharType="separate"/>
            </w:r>
            <w:r w:rsidRPr="00A04044">
              <w:rPr>
                <w:sz w:val="20"/>
                <w:szCs w:val="20"/>
              </w:rPr>
              <w:t>(61)</w:t>
            </w:r>
            <w:r w:rsidRPr="004130F0">
              <w:rPr>
                <w:sz w:val="20"/>
                <w:szCs w:val="20"/>
              </w:rPr>
              <w:fldChar w:fldCharType="end"/>
            </w:r>
            <w:r w:rsidRPr="004130F0">
              <w:rPr>
                <w:color w:val="000000"/>
                <w:sz w:val="20"/>
                <w:szCs w:val="20"/>
              </w:rPr>
              <w:t xml:space="preserve"> </w:t>
            </w:r>
          </w:p>
        </w:tc>
      </w:tr>
      <w:tr w:rsidR="005F535C" w:rsidRPr="004130F0" w:rsidTr="00DE49A9">
        <w:trPr>
          <w:trHeight w:val="64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HIV viral load above set-point during salvage therapy after onset of AIDS (log</w:t>
            </w:r>
            <w:r w:rsidRPr="004130F0">
              <w:rPr>
                <w:color w:val="000000"/>
                <w:sz w:val="20"/>
                <w:szCs w:val="20"/>
                <w:vertAlign w:val="subscript"/>
              </w:rPr>
              <w:t>10</w:t>
            </w:r>
            <w:r w:rsidRPr="004130F0">
              <w:rPr>
                <w:color w:val="000000"/>
                <w:sz w:val="20"/>
                <w:szCs w:val="20"/>
              </w:rPr>
              <w:t xml:space="preserve"> copies/ml)</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1</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0.0 – 2.0</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FF"/>
                <w:sz w:val="20"/>
                <w:szCs w:val="20"/>
                <w:u w:val="single"/>
              </w:rPr>
            </w:pPr>
            <w:r w:rsidRPr="004130F0">
              <w:rPr>
                <w:sz w:val="20"/>
                <w:szCs w:val="20"/>
              </w:rPr>
              <w:fldChar w:fldCharType="begin"/>
            </w:r>
            <w:r w:rsidRPr="004130F0">
              <w:rPr>
                <w:sz w:val="20"/>
                <w:szCs w:val="20"/>
              </w:rPr>
              <w:instrText>ADDIN RW.CITE{{105 Sanders,G.D. 2005}}</w:instrText>
            </w:r>
            <w:r w:rsidRPr="004130F0">
              <w:rPr>
                <w:sz w:val="20"/>
                <w:szCs w:val="20"/>
              </w:rPr>
              <w:fldChar w:fldCharType="separate"/>
            </w:r>
            <w:r w:rsidRPr="00A04044">
              <w:rPr>
                <w:sz w:val="20"/>
                <w:szCs w:val="20"/>
              </w:rPr>
              <w:t>(61)</w:t>
            </w:r>
            <w:r w:rsidRPr="004130F0">
              <w:rPr>
                <w:sz w:val="20"/>
                <w:szCs w:val="20"/>
              </w:rPr>
              <w:fldChar w:fldCharType="end"/>
            </w:r>
          </w:p>
        </w:tc>
      </w:tr>
      <w:tr w:rsidR="005F535C" w:rsidRPr="004130F0" w:rsidTr="00DE49A9">
        <w:trPr>
          <w:trHeight w:val="70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Quarterly increase in CD4 cell count during HIV viral load suppression (cells/µL/quarter)</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FF"/>
                <w:sz w:val="20"/>
                <w:szCs w:val="20"/>
                <w:u w:val="single"/>
              </w:rPr>
            </w:pPr>
            <w:r w:rsidRPr="004130F0">
              <w:rPr>
                <w:sz w:val="20"/>
                <w:szCs w:val="20"/>
              </w:rPr>
              <w:fldChar w:fldCharType="begin"/>
            </w:r>
            <w:r w:rsidRPr="004130F0">
              <w:rPr>
                <w:sz w:val="20"/>
                <w:szCs w:val="20"/>
              </w:rPr>
              <w:instrText>ADDIN RW.CITE{{479 Gras,L. 2007}}</w:instrText>
            </w:r>
            <w:r w:rsidRPr="004130F0">
              <w:rPr>
                <w:sz w:val="20"/>
                <w:szCs w:val="20"/>
              </w:rPr>
              <w:fldChar w:fldCharType="separate"/>
            </w:r>
            <w:r w:rsidRPr="00A04044">
              <w:rPr>
                <w:sz w:val="20"/>
                <w:szCs w:val="20"/>
              </w:rPr>
              <w:t>(29)</w:t>
            </w:r>
            <w:r w:rsidRPr="004130F0">
              <w:rPr>
                <w:sz w:val="20"/>
                <w:szCs w:val="20"/>
              </w:rPr>
              <w:fldChar w:fldCharType="end"/>
            </w:r>
            <w:r w:rsidRPr="004130F0">
              <w:rPr>
                <w:color w:val="0000FF"/>
                <w:sz w:val="20"/>
                <w:szCs w:val="20"/>
                <w:u w:val="single"/>
              </w:rPr>
              <w:t xml:space="preserve"> </w:t>
            </w:r>
          </w:p>
        </w:tc>
      </w:tr>
      <w:tr w:rsidR="005F535C" w:rsidRPr="004130F0" w:rsidTr="00DE49A9">
        <w:trPr>
          <w:trHeight w:val="70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Quarters 1 – 2</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68</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FF"/>
                <w:sz w:val="20"/>
                <w:szCs w:val="20"/>
                <w:u w:val="single"/>
              </w:rPr>
            </w:pPr>
            <w:r w:rsidRPr="004130F0">
              <w:rPr>
                <w:color w:val="000000"/>
                <w:sz w:val="20"/>
                <w:szCs w:val="20"/>
              </w:rPr>
              <w:t> </w:t>
            </w:r>
          </w:p>
        </w:tc>
      </w:tr>
      <w:tr w:rsidR="005F535C" w:rsidRPr="004130F0" w:rsidTr="00DE49A9">
        <w:trPr>
          <w:trHeight w:val="64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lastRenderedPageBreak/>
              <w:t>Quarters 3 – 12</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40</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127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Quarters 12+</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Maximum CD4 cell count achieved based on CD4 cell count at initiation of ART (cells/µL)</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sz w:val="20"/>
                <w:szCs w:val="20"/>
              </w:rPr>
              <w:fldChar w:fldCharType="begin"/>
            </w:r>
            <w:r w:rsidRPr="004130F0">
              <w:rPr>
                <w:sz w:val="20"/>
                <w:szCs w:val="20"/>
              </w:rPr>
              <w:instrText>ADDIN RW.CITE{{479 Gras,L. 2007}}</w:instrText>
            </w:r>
            <w:r w:rsidRPr="004130F0">
              <w:rPr>
                <w:sz w:val="20"/>
                <w:szCs w:val="20"/>
              </w:rPr>
              <w:fldChar w:fldCharType="separate"/>
            </w:r>
            <w:r w:rsidRPr="00A04044">
              <w:rPr>
                <w:sz w:val="20"/>
                <w:szCs w:val="20"/>
              </w:rPr>
              <w:t>(29)</w:t>
            </w:r>
            <w:r w:rsidRPr="004130F0">
              <w:rPr>
                <w:sz w:val="20"/>
                <w:szCs w:val="20"/>
              </w:rPr>
              <w:fldChar w:fldCharType="end"/>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&lt; 50</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410</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50 – 200</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548</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127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201 – 350</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660</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159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351 - 500</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780</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FF"/>
                <w:sz w:val="20"/>
                <w:szCs w:val="20"/>
                <w:u w:val="single"/>
              </w:rPr>
            </w:pPr>
            <w:r w:rsidRPr="004130F0">
              <w:rPr>
                <w:color w:val="000000"/>
                <w:sz w:val="20"/>
                <w:szCs w:val="20"/>
              </w:rPr>
              <w:t> </w:t>
            </w:r>
          </w:p>
        </w:tc>
      </w:tr>
      <w:tr w:rsidR="005F535C" w:rsidRPr="004130F0" w:rsidTr="00DE49A9">
        <w:trPr>
          <w:trHeight w:val="102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&gt; 500</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870</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FF"/>
                <w:sz w:val="20"/>
                <w:szCs w:val="20"/>
                <w:u w:val="single"/>
              </w:rPr>
            </w:pPr>
            <w:r w:rsidRPr="004130F0">
              <w:rPr>
                <w:color w:val="000000"/>
                <w:sz w:val="20"/>
                <w:szCs w:val="20"/>
              </w:rPr>
              <w:t> </w:t>
            </w:r>
          </w:p>
        </w:tc>
      </w:tr>
      <w:tr w:rsidR="005F535C" w:rsidRPr="004130F0" w:rsidTr="00DE49A9">
        <w:trPr>
          <w:trHeight w:val="133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b/>
                <w:bCs/>
                <w:color w:val="000000"/>
                <w:sz w:val="20"/>
                <w:szCs w:val="20"/>
              </w:rPr>
              <w:t>Quarterly Probability of Death After Initiation of ART (%)</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FF"/>
                <w:sz w:val="20"/>
                <w:szCs w:val="20"/>
                <w:u w:val="single"/>
              </w:rPr>
            </w:pPr>
            <w:r w:rsidRPr="004130F0">
              <w:rPr>
                <w:noProof/>
                <w:color w:val="000000"/>
                <w:sz w:val="20"/>
                <w:szCs w:val="20"/>
              </w:rPr>
              <w:fldChar w:fldCharType="begin"/>
            </w:r>
            <w:r w:rsidRPr="004130F0">
              <w:rPr>
                <w:noProof/>
                <w:color w:val="000000"/>
                <w:sz w:val="20"/>
                <w:szCs w:val="20"/>
              </w:rPr>
              <w:instrText>ADDIN RW.CITE{{194 AntiretroviralTherapyCohortCollaboration 2007; 193 AntiretroviralTherapyCohortCollaboration 2007}}</w:instrText>
            </w:r>
            <w:r w:rsidRPr="004130F0">
              <w:rPr>
                <w:noProof/>
                <w:color w:val="000000"/>
                <w:sz w:val="20"/>
                <w:szCs w:val="20"/>
              </w:rPr>
              <w:fldChar w:fldCharType="separate"/>
            </w:r>
            <w:r w:rsidRPr="00A04044">
              <w:rPr>
                <w:noProof/>
                <w:color w:val="000000"/>
                <w:sz w:val="20"/>
                <w:szCs w:val="20"/>
              </w:rPr>
              <w:t>(16,17)</w:t>
            </w:r>
            <w:r w:rsidRPr="004130F0">
              <w:rPr>
                <w:noProof/>
                <w:color w:val="000000"/>
                <w:sz w:val="20"/>
                <w:szCs w:val="20"/>
              </w:rPr>
              <w:fldChar w:fldCharType="end"/>
            </w:r>
            <w:r w:rsidRPr="004130F0">
              <w:rPr>
                <w:color w:val="0000FF"/>
                <w:sz w:val="20"/>
                <w:szCs w:val="20"/>
                <w:u w:val="single"/>
              </w:rPr>
              <w:t xml:space="preserve"> </w:t>
            </w:r>
          </w:p>
        </w:tc>
      </w:tr>
      <w:tr w:rsidR="005F535C" w:rsidRPr="004130F0" w:rsidTr="00DE49A9">
        <w:trPr>
          <w:trHeight w:val="127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No AIDS symptoms</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FF"/>
                <w:sz w:val="20"/>
                <w:szCs w:val="20"/>
                <w:u w:val="single"/>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4"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Age 16 – 29 years</w:t>
            </w:r>
          </w:p>
        </w:tc>
        <w:tc>
          <w:tcPr>
            <w:tcW w:w="1860" w:type="dxa"/>
            <w:tcBorders>
              <w:top w:val="nil"/>
              <w:left w:val="nil"/>
              <w:bottom w:val="single" w:sz="4"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0.09 – 0.26</w:t>
            </w:r>
            <w:r w:rsidRPr="004130F0">
              <w:rPr>
                <w:color w:val="000000"/>
                <w:sz w:val="20"/>
                <w:szCs w:val="20"/>
                <w:vertAlign w:val="superscript"/>
              </w:rPr>
              <w:t>c</w:t>
            </w:r>
          </w:p>
        </w:tc>
        <w:tc>
          <w:tcPr>
            <w:tcW w:w="1820" w:type="dxa"/>
            <w:tcBorders>
              <w:top w:val="nil"/>
              <w:left w:val="nil"/>
              <w:bottom w:val="single" w:sz="4"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4"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30"/>
        </w:trPr>
        <w:tc>
          <w:tcPr>
            <w:tcW w:w="28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Age 30 – 39 years</w:t>
            </w:r>
          </w:p>
        </w:tc>
        <w:tc>
          <w:tcPr>
            <w:tcW w:w="1860" w:type="dxa"/>
            <w:tcBorders>
              <w:top w:val="single" w:sz="4" w:space="0" w:color="auto"/>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0.12 – 0.32</w:t>
            </w:r>
          </w:p>
        </w:tc>
        <w:tc>
          <w:tcPr>
            <w:tcW w:w="1820" w:type="dxa"/>
            <w:tcBorders>
              <w:top w:val="single" w:sz="4" w:space="0" w:color="auto"/>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single" w:sz="4" w:space="0" w:color="auto"/>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Age 40 – 49 years</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0.15 – 0.43</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1275"/>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lastRenderedPageBreak/>
              <w:t>Age ≥ 50 years</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0.29 – 0.81</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FF"/>
                <w:sz w:val="20"/>
                <w:szCs w:val="20"/>
                <w:u w:val="single"/>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Clinical symptoms of AIDS</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Age 16 – 29 years</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0.19 – 0.53</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Age 30 – 39 years</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0.25 – 0.69</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Age 40 – 49 years</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0.32 – 0.93</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r w:rsidR="005F535C" w:rsidRPr="004130F0" w:rsidTr="00DE49A9">
        <w:trPr>
          <w:trHeight w:val="330"/>
        </w:trPr>
        <w:tc>
          <w:tcPr>
            <w:tcW w:w="2860" w:type="dxa"/>
            <w:tcBorders>
              <w:top w:val="nil"/>
              <w:left w:val="single" w:sz="8" w:space="0" w:color="auto"/>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Age ≥ 50 years</w:t>
            </w:r>
          </w:p>
        </w:tc>
        <w:tc>
          <w:tcPr>
            <w:tcW w:w="186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0.64 – 1.77</w:t>
            </w:r>
          </w:p>
        </w:tc>
        <w:tc>
          <w:tcPr>
            <w:tcW w:w="18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c>
          <w:tcPr>
            <w:tcW w:w="1520" w:type="dxa"/>
            <w:tcBorders>
              <w:top w:val="nil"/>
              <w:left w:val="nil"/>
              <w:bottom w:val="single" w:sz="8" w:space="0" w:color="auto"/>
              <w:right w:val="single" w:sz="8" w:space="0" w:color="auto"/>
            </w:tcBorders>
            <w:shd w:val="clear" w:color="auto" w:fill="auto"/>
            <w:vAlign w:val="center"/>
            <w:hideMark/>
          </w:tcPr>
          <w:p w:rsidR="005F535C" w:rsidRPr="004130F0" w:rsidRDefault="005F535C" w:rsidP="00DE49A9">
            <w:pPr>
              <w:jc w:val="center"/>
              <w:rPr>
                <w:color w:val="000000"/>
                <w:sz w:val="20"/>
                <w:szCs w:val="20"/>
              </w:rPr>
            </w:pPr>
            <w:r w:rsidRPr="004130F0">
              <w:rPr>
                <w:color w:val="000000"/>
                <w:sz w:val="20"/>
                <w:szCs w:val="20"/>
              </w:rPr>
              <w:t> </w:t>
            </w:r>
          </w:p>
        </w:tc>
      </w:tr>
    </w:tbl>
    <w:p w:rsidR="005F535C" w:rsidRPr="006172F6" w:rsidRDefault="005F535C" w:rsidP="005F535C">
      <w:pPr>
        <w:tabs>
          <w:tab w:val="left" w:pos="8505"/>
        </w:tabs>
        <w:spacing w:after="0"/>
        <w:rPr>
          <w:sz w:val="20"/>
          <w:szCs w:val="20"/>
        </w:rPr>
      </w:pPr>
    </w:p>
    <w:p w:rsidR="005F535C" w:rsidRPr="006172F6" w:rsidRDefault="005F535C" w:rsidP="005F535C">
      <w:pPr>
        <w:tabs>
          <w:tab w:val="left" w:pos="8505"/>
        </w:tabs>
        <w:spacing w:after="0"/>
        <w:rPr>
          <w:sz w:val="20"/>
          <w:szCs w:val="20"/>
        </w:rPr>
      </w:pPr>
      <w:r>
        <w:rPr>
          <w:sz w:val="20"/>
          <w:szCs w:val="20"/>
          <w:vertAlign w:val="superscript"/>
        </w:rPr>
        <w:t>a</w:t>
      </w:r>
      <w:r w:rsidRPr="006172F6">
        <w:rPr>
          <w:sz w:val="20"/>
          <w:szCs w:val="20"/>
        </w:rPr>
        <w:t>The lower and upper bounds for various types of OIs reflect probabilities for CD4 cell counts of &gt; 500 cells/µL and 0 – 50 cells/µL respectively. Probabilities of an OI at intermediate CD4 cell counts lie within these bounds.</w:t>
      </w:r>
    </w:p>
    <w:p w:rsidR="005F535C" w:rsidRPr="006172F6" w:rsidRDefault="005F535C" w:rsidP="005F535C">
      <w:pPr>
        <w:tabs>
          <w:tab w:val="left" w:pos="8505"/>
        </w:tabs>
        <w:spacing w:after="0"/>
        <w:rPr>
          <w:sz w:val="20"/>
          <w:szCs w:val="20"/>
        </w:rPr>
      </w:pPr>
      <w:r>
        <w:rPr>
          <w:sz w:val="20"/>
          <w:szCs w:val="20"/>
          <w:vertAlign w:val="superscript"/>
        </w:rPr>
        <w:t>b</w:t>
      </w:r>
      <w:r w:rsidRPr="006172F6">
        <w:rPr>
          <w:sz w:val="20"/>
          <w:szCs w:val="20"/>
        </w:rPr>
        <w:t>Expert opinion (2009); EFV/TDF/FTC = efavirenz/tenofovir/emtricitabine, ATV/r = atazanavir/ritonavir, ABC/3TC = abacavir/lamivudine, RAL = raltegravir</w:t>
      </w:r>
    </w:p>
    <w:p w:rsidR="005F535C" w:rsidRPr="006172F6" w:rsidRDefault="005F535C" w:rsidP="005F535C">
      <w:pPr>
        <w:tabs>
          <w:tab w:val="left" w:pos="8505"/>
        </w:tabs>
        <w:spacing w:after="0"/>
        <w:rPr>
          <w:sz w:val="20"/>
          <w:szCs w:val="20"/>
        </w:rPr>
      </w:pPr>
      <w:r>
        <w:rPr>
          <w:sz w:val="20"/>
          <w:szCs w:val="20"/>
          <w:vertAlign w:val="superscript"/>
        </w:rPr>
        <w:t>c</w:t>
      </w:r>
      <w:r w:rsidRPr="006172F6">
        <w:rPr>
          <w:sz w:val="20"/>
          <w:szCs w:val="20"/>
        </w:rPr>
        <w:t>The lower and upper bounds reflect the probability of death for CD4 cell counts ≥ 350 cells/µL and &lt; 25 cells/µL, respectively. Probabilities of death at intermediate CD4 cell counts lie within these bounds.</w:t>
      </w:r>
    </w:p>
    <w:p w:rsidR="005F535C" w:rsidRDefault="005F535C" w:rsidP="005F535C">
      <w:pPr>
        <w:spacing w:line="480" w:lineRule="auto"/>
        <w:rPr>
          <w:b/>
        </w:rPr>
      </w:pPr>
    </w:p>
    <w:p w:rsidR="005F535C" w:rsidRDefault="005F535C" w:rsidP="005F535C">
      <w:pPr>
        <w:spacing w:line="480" w:lineRule="auto"/>
        <w:rPr>
          <w:b/>
        </w:rPr>
      </w:pPr>
    </w:p>
    <w:p w:rsidR="005F535C" w:rsidRDefault="005F535C" w:rsidP="005F535C">
      <w:pPr>
        <w:spacing w:line="480" w:lineRule="auto"/>
        <w:rPr>
          <w:b/>
        </w:rPr>
      </w:pPr>
    </w:p>
    <w:p w:rsidR="005F535C" w:rsidRDefault="005F535C" w:rsidP="005F535C">
      <w:pPr>
        <w:spacing w:line="480" w:lineRule="auto"/>
        <w:rPr>
          <w:b/>
        </w:rPr>
      </w:pPr>
    </w:p>
    <w:p w:rsidR="005F535C" w:rsidRDefault="005F535C" w:rsidP="005F535C">
      <w:pPr>
        <w:spacing w:line="480" w:lineRule="auto"/>
        <w:rPr>
          <w:b/>
        </w:rPr>
      </w:pPr>
    </w:p>
    <w:p w:rsidR="005F535C" w:rsidRDefault="005F535C" w:rsidP="005F535C">
      <w:pPr>
        <w:spacing w:line="480" w:lineRule="auto"/>
        <w:rPr>
          <w:b/>
        </w:rPr>
      </w:pPr>
    </w:p>
    <w:p w:rsidR="005F535C" w:rsidRDefault="005F535C" w:rsidP="005F535C">
      <w:pPr>
        <w:spacing w:line="480" w:lineRule="auto"/>
        <w:rPr>
          <w:b/>
        </w:rPr>
      </w:pPr>
    </w:p>
    <w:p w:rsidR="005F535C" w:rsidRDefault="005F535C" w:rsidP="005F535C">
      <w:pPr>
        <w:spacing w:line="480" w:lineRule="auto"/>
        <w:rPr>
          <w:b/>
        </w:rPr>
      </w:pPr>
    </w:p>
    <w:p w:rsidR="005F535C" w:rsidRDefault="005F535C" w:rsidP="005F535C">
      <w:pPr>
        <w:spacing w:line="480" w:lineRule="auto"/>
        <w:rPr>
          <w:b/>
        </w:rPr>
        <w:sectPr w:rsidR="005F535C" w:rsidSect="009E3391">
          <w:headerReference w:type="even" r:id="rId120"/>
          <w:headerReference w:type="default" r:id="rId121"/>
          <w:footerReference w:type="default" r:id="rId122"/>
          <w:headerReference w:type="first" r:id="rId123"/>
          <w:pgSz w:w="12240" w:h="15840"/>
          <w:pgMar w:top="1440" w:right="1440" w:bottom="1440" w:left="1440" w:header="720" w:footer="720" w:gutter="0"/>
          <w:cols w:space="720"/>
          <w:docGrid w:linePitch="360"/>
        </w:sectPr>
      </w:pPr>
    </w:p>
    <w:p w:rsidR="005F535C" w:rsidRPr="00186FB3" w:rsidRDefault="005F535C" w:rsidP="005F535C">
      <w:pPr>
        <w:spacing w:after="0" w:line="480" w:lineRule="auto"/>
      </w:pPr>
      <w:r w:rsidRPr="00186FB3">
        <w:lastRenderedPageBreak/>
        <w:t>Table S4: Sexual behavior parameters</w:t>
      </w:r>
    </w:p>
    <w:p w:rsidR="005F535C" w:rsidRPr="004130F0" w:rsidRDefault="005F535C" w:rsidP="005F535C">
      <w:pPr>
        <w:spacing w:after="0"/>
        <w:rPr>
          <w:rFonts w:cs="Calibri"/>
          <w:b/>
          <w:color w:val="000000"/>
          <w:szCs w:val="16"/>
        </w:rPr>
      </w:pPr>
      <w:r w:rsidRPr="004130F0">
        <w:rPr>
          <w:rFonts w:cs="Calibri"/>
          <w:b/>
          <w:color w:val="000000"/>
          <w:szCs w:val="16"/>
        </w:rPr>
        <w:t>Parameter</w:t>
      </w:r>
      <w:r w:rsidRPr="004130F0">
        <w:rPr>
          <w:rFonts w:cs="Calibri"/>
          <w:b/>
          <w:color w:val="000000"/>
          <w:szCs w:val="16"/>
        </w:rPr>
        <w:tab/>
      </w:r>
      <w:r w:rsidRPr="004130F0">
        <w:rPr>
          <w:rFonts w:cs="Calibri"/>
          <w:b/>
          <w:color w:val="000000"/>
          <w:szCs w:val="16"/>
        </w:rPr>
        <w:tab/>
      </w:r>
      <w:r w:rsidRPr="004130F0">
        <w:rPr>
          <w:rFonts w:cs="Calibri"/>
          <w:b/>
          <w:color w:val="000000"/>
          <w:szCs w:val="16"/>
        </w:rPr>
        <w:tab/>
      </w:r>
      <w:r w:rsidRPr="004130F0">
        <w:rPr>
          <w:rFonts w:cs="Calibri"/>
          <w:b/>
          <w:color w:val="000000"/>
          <w:szCs w:val="16"/>
        </w:rPr>
        <w:tab/>
      </w:r>
      <w:r w:rsidRPr="004130F0">
        <w:rPr>
          <w:rFonts w:cs="Calibri"/>
          <w:b/>
          <w:color w:val="000000"/>
          <w:szCs w:val="16"/>
        </w:rPr>
        <w:tab/>
      </w:r>
      <w:r w:rsidRPr="004130F0">
        <w:rPr>
          <w:rFonts w:cs="Calibri"/>
          <w:b/>
          <w:color w:val="000000"/>
          <w:szCs w:val="16"/>
        </w:rPr>
        <w:tab/>
      </w:r>
      <w:r w:rsidRPr="004130F0">
        <w:rPr>
          <w:rFonts w:cs="Calibri"/>
          <w:b/>
          <w:color w:val="000000"/>
          <w:szCs w:val="16"/>
        </w:rPr>
        <w:tab/>
      </w:r>
      <w:r w:rsidRPr="004130F0">
        <w:rPr>
          <w:rFonts w:cs="Calibri"/>
          <w:b/>
          <w:color w:val="000000"/>
          <w:szCs w:val="16"/>
        </w:rPr>
        <w:tab/>
      </w:r>
      <w:r w:rsidRPr="004130F0">
        <w:rPr>
          <w:rFonts w:cs="Calibri"/>
          <w:b/>
          <w:color w:val="000000"/>
          <w:szCs w:val="16"/>
        </w:rPr>
        <w:tab/>
      </w:r>
      <w:r w:rsidRPr="004130F0">
        <w:rPr>
          <w:rFonts w:cs="Calibri"/>
          <w:b/>
          <w:color w:val="000000"/>
          <w:szCs w:val="16"/>
        </w:rPr>
        <w:tab/>
      </w:r>
      <w:r w:rsidRPr="004130F0">
        <w:rPr>
          <w:rFonts w:cs="Calibri"/>
          <w:b/>
          <w:color w:val="000000"/>
          <w:szCs w:val="16"/>
        </w:rPr>
        <w:tab/>
        <w:t xml:space="preserve">                     </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023"/>
        <w:gridCol w:w="984"/>
        <w:gridCol w:w="39"/>
        <w:gridCol w:w="893"/>
        <w:gridCol w:w="893"/>
        <w:gridCol w:w="391"/>
        <w:gridCol w:w="502"/>
        <w:gridCol w:w="767"/>
        <w:gridCol w:w="54"/>
        <w:gridCol w:w="410"/>
        <w:gridCol w:w="429"/>
        <w:gridCol w:w="893"/>
        <w:gridCol w:w="767"/>
        <w:gridCol w:w="767"/>
        <w:gridCol w:w="694"/>
        <w:gridCol w:w="73"/>
        <w:gridCol w:w="639"/>
        <w:gridCol w:w="767"/>
        <w:gridCol w:w="665"/>
        <w:gridCol w:w="16"/>
      </w:tblGrid>
      <w:tr w:rsidR="005F535C" w:rsidRPr="004130F0" w:rsidTr="00DE49A9">
        <w:trPr>
          <w:gridAfter w:val="1"/>
          <w:wAfter w:w="16" w:type="dxa"/>
          <w:trHeight w:val="393"/>
          <w:jc w:val="center"/>
        </w:trPr>
        <w:tc>
          <w:tcPr>
            <w:tcW w:w="1942" w:type="dxa"/>
            <w:shd w:val="clear" w:color="auto" w:fill="auto"/>
            <w:noWrap/>
          </w:tcPr>
          <w:p w:rsidR="005F535C" w:rsidRPr="004130F0" w:rsidRDefault="005F535C" w:rsidP="00DE49A9">
            <w:pPr>
              <w:spacing w:after="0" w:line="240" w:lineRule="auto"/>
              <w:jc w:val="center"/>
              <w:rPr>
                <w:rFonts w:eastAsia="Times New Roman" w:cs="Calibri"/>
                <w:b/>
                <w:bCs/>
                <w:color w:val="000000"/>
                <w:sz w:val="14"/>
                <w:szCs w:val="16"/>
              </w:rPr>
            </w:pPr>
            <w:r w:rsidRPr="004130F0">
              <w:rPr>
                <w:rFonts w:cs="Calibri"/>
                <w:b/>
                <w:color w:val="000000"/>
                <w:sz w:val="18"/>
                <w:szCs w:val="16"/>
              </w:rPr>
              <w:t>Main partner for heterosexuals and MSM</w:t>
            </w:r>
          </w:p>
        </w:tc>
        <w:tc>
          <w:tcPr>
            <w:tcW w:w="1023" w:type="dxa"/>
            <w:shd w:val="clear" w:color="auto" w:fill="auto"/>
            <w:noWrap/>
          </w:tcPr>
          <w:p w:rsidR="005F535C" w:rsidRPr="004130F0" w:rsidRDefault="005F535C" w:rsidP="00DE49A9">
            <w:pPr>
              <w:spacing w:after="0" w:line="240" w:lineRule="auto"/>
              <w:jc w:val="center"/>
              <w:rPr>
                <w:rFonts w:eastAsia="Times New Roman" w:cs="Calibri"/>
                <w:b/>
                <w:bCs/>
                <w:color w:val="000000"/>
                <w:sz w:val="14"/>
                <w:szCs w:val="16"/>
              </w:rPr>
            </w:pPr>
          </w:p>
        </w:tc>
        <w:tc>
          <w:tcPr>
            <w:tcW w:w="1023" w:type="dxa"/>
            <w:gridSpan w:val="2"/>
            <w:shd w:val="clear" w:color="auto" w:fill="auto"/>
            <w:noWrap/>
          </w:tcPr>
          <w:p w:rsidR="005F535C" w:rsidRPr="004130F0" w:rsidRDefault="005F535C" w:rsidP="00DE49A9">
            <w:pPr>
              <w:spacing w:after="0" w:line="240" w:lineRule="auto"/>
              <w:jc w:val="center"/>
              <w:rPr>
                <w:rFonts w:eastAsia="Times New Roman" w:cs="Calibri"/>
                <w:b/>
                <w:bCs/>
                <w:color w:val="000000"/>
                <w:sz w:val="14"/>
                <w:szCs w:val="16"/>
              </w:rPr>
            </w:pPr>
          </w:p>
        </w:tc>
        <w:tc>
          <w:tcPr>
            <w:tcW w:w="893" w:type="dxa"/>
            <w:shd w:val="clear" w:color="auto" w:fill="auto"/>
            <w:noWrap/>
          </w:tcPr>
          <w:p w:rsidR="005F535C" w:rsidRPr="004130F0" w:rsidRDefault="005F535C" w:rsidP="00DE49A9">
            <w:pPr>
              <w:spacing w:after="0" w:line="240" w:lineRule="auto"/>
              <w:jc w:val="center"/>
              <w:rPr>
                <w:rFonts w:eastAsia="Times New Roman" w:cs="Calibri"/>
                <w:b/>
                <w:bCs/>
                <w:color w:val="000000"/>
                <w:sz w:val="14"/>
                <w:szCs w:val="16"/>
              </w:rPr>
            </w:pPr>
          </w:p>
        </w:tc>
        <w:tc>
          <w:tcPr>
            <w:tcW w:w="893" w:type="dxa"/>
            <w:shd w:val="clear" w:color="auto" w:fill="auto"/>
            <w:noWrap/>
          </w:tcPr>
          <w:p w:rsidR="005F535C" w:rsidRPr="004130F0" w:rsidRDefault="005F535C" w:rsidP="00DE49A9">
            <w:pPr>
              <w:spacing w:after="0" w:line="240" w:lineRule="auto"/>
              <w:jc w:val="center"/>
              <w:rPr>
                <w:rFonts w:eastAsia="Times New Roman" w:cs="Calibri"/>
                <w:b/>
                <w:bCs/>
                <w:color w:val="000000"/>
                <w:sz w:val="14"/>
                <w:szCs w:val="16"/>
              </w:rPr>
            </w:pPr>
          </w:p>
        </w:tc>
        <w:tc>
          <w:tcPr>
            <w:tcW w:w="893" w:type="dxa"/>
            <w:gridSpan w:val="2"/>
            <w:shd w:val="clear" w:color="auto" w:fill="auto"/>
            <w:noWrap/>
          </w:tcPr>
          <w:p w:rsidR="005F535C" w:rsidRPr="004130F0" w:rsidRDefault="005F535C" w:rsidP="00DE49A9">
            <w:pPr>
              <w:spacing w:after="0" w:line="240" w:lineRule="auto"/>
              <w:jc w:val="center"/>
              <w:rPr>
                <w:rFonts w:eastAsia="Times New Roman" w:cs="Calibri"/>
                <w:b/>
                <w:bCs/>
                <w:color w:val="000000"/>
                <w:sz w:val="14"/>
                <w:szCs w:val="16"/>
              </w:rPr>
            </w:pPr>
          </w:p>
        </w:tc>
        <w:tc>
          <w:tcPr>
            <w:tcW w:w="767" w:type="dxa"/>
            <w:shd w:val="clear" w:color="auto" w:fill="auto"/>
            <w:noWrap/>
          </w:tcPr>
          <w:p w:rsidR="005F535C" w:rsidRPr="004130F0" w:rsidRDefault="005F535C" w:rsidP="00DE49A9">
            <w:pPr>
              <w:spacing w:after="0" w:line="240" w:lineRule="auto"/>
              <w:jc w:val="center"/>
              <w:rPr>
                <w:rFonts w:eastAsia="Times New Roman" w:cs="Calibri"/>
                <w:b/>
                <w:bCs/>
                <w:color w:val="000000"/>
                <w:sz w:val="14"/>
                <w:szCs w:val="16"/>
              </w:rPr>
            </w:pPr>
          </w:p>
        </w:tc>
        <w:tc>
          <w:tcPr>
            <w:tcW w:w="893" w:type="dxa"/>
            <w:gridSpan w:val="3"/>
            <w:shd w:val="clear" w:color="auto" w:fill="auto"/>
            <w:noWrap/>
          </w:tcPr>
          <w:p w:rsidR="005F535C" w:rsidRPr="004130F0" w:rsidRDefault="005F535C" w:rsidP="00DE49A9">
            <w:pPr>
              <w:spacing w:after="0" w:line="240" w:lineRule="auto"/>
              <w:jc w:val="center"/>
              <w:rPr>
                <w:rFonts w:eastAsia="Times New Roman" w:cs="Calibri"/>
                <w:b/>
                <w:bCs/>
                <w:color w:val="000000"/>
                <w:sz w:val="14"/>
                <w:szCs w:val="16"/>
              </w:rPr>
            </w:pPr>
          </w:p>
        </w:tc>
        <w:tc>
          <w:tcPr>
            <w:tcW w:w="893" w:type="dxa"/>
            <w:shd w:val="clear" w:color="auto" w:fill="auto"/>
            <w:noWrap/>
          </w:tcPr>
          <w:p w:rsidR="005F535C" w:rsidRPr="004130F0" w:rsidRDefault="005F535C" w:rsidP="00DE49A9">
            <w:pPr>
              <w:spacing w:after="0" w:line="240" w:lineRule="auto"/>
              <w:jc w:val="center"/>
              <w:rPr>
                <w:rFonts w:eastAsia="Times New Roman" w:cs="Calibri"/>
                <w:b/>
                <w:bCs/>
                <w:color w:val="000000"/>
                <w:sz w:val="14"/>
                <w:szCs w:val="16"/>
              </w:rPr>
            </w:pPr>
          </w:p>
        </w:tc>
        <w:tc>
          <w:tcPr>
            <w:tcW w:w="767" w:type="dxa"/>
            <w:shd w:val="clear" w:color="auto" w:fill="auto"/>
            <w:noWrap/>
          </w:tcPr>
          <w:p w:rsidR="005F535C" w:rsidRPr="004130F0" w:rsidRDefault="005F535C" w:rsidP="00DE49A9">
            <w:pPr>
              <w:spacing w:after="0" w:line="240" w:lineRule="auto"/>
              <w:jc w:val="center"/>
              <w:rPr>
                <w:rFonts w:eastAsia="Times New Roman" w:cs="Calibri"/>
                <w:b/>
                <w:bCs/>
                <w:color w:val="000000"/>
                <w:sz w:val="14"/>
                <w:szCs w:val="16"/>
              </w:rPr>
            </w:pPr>
          </w:p>
        </w:tc>
        <w:tc>
          <w:tcPr>
            <w:tcW w:w="767" w:type="dxa"/>
            <w:shd w:val="clear" w:color="auto" w:fill="auto"/>
            <w:noWrap/>
          </w:tcPr>
          <w:p w:rsidR="005F535C" w:rsidRPr="004130F0" w:rsidRDefault="005F535C" w:rsidP="00DE49A9">
            <w:pPr>
              <w:spacing w:after="0" w:line="240" w:lineRule="auto"/>
              <w:jc w:val="center"/>
              <w:rPr>
                <w:rFonts w:eastAsia="Times New Roman" w:cs="Calibri"/>
                <w:b/>
                <w:bCs/>
                <w:color w:val="000000"/>
                <w:sz w:val="14"/>
                <w:szCs w:val="16"/>
              </w:rPr>
            </w:pPr>
          </w:p>
        </w:tc>
        <w:tc>
          <w:tcPr>
            <w:tcW w:w="767" w:type="dxa"/>
            <w:gridSpan w:val="2"/>
            <w:shd w:val="clear" w:color="auto" w:fill="auto"/>
            <w:noWrap/>
          </w:tcPr>
          <w:p w:rsidR="005F535C" w:rsidRPr="004130F0" w:rsidRDefault="005F535C" w:rsidP="00DE49A9">
            <w:pPr>
              <w:spacing w:after="0" w:line="240" w:lineRule="auto"/>
              <w:jc w:val="center"/>
              <w:rPr>
                <w:rFonts w:eastAsia="Times New Roman" w:cs="Calibri"/>
                <w:b/>
                <w:bCs/>
                <w:color w:val="000000"/>
                <w:sz w:val="14"/>
                <w:szCs w:val="16"/>
              </w:rPr>
            </w:pPr>
          </w:p>
        </w:tc>
        <w:tc>
          <w:tcPr>
            <w:tcW w:w="639" w:type="dxa"/>
            <w:shd w:val="clear" w:color="auto" w:fill="auto"/>
            <w:noWrap/>
          </w:tcPr>
          <w:p w:rsidR="005F535C" w:rsidRPr="004130F0" w:rsidRDefault="005F535C" w:rsidP="00DE49A9">
            <w:pPr>
              <w:spacing w:after="0" w:line="240" w:lineRule="auto"/>
              <w:jc w:val="center"/>
              <w:rPr>
                <w:rFonts w:eastAsia="Times New Roman" w:cs="Calibri"/>
                <w:b/>
                <w:bCs/>
                <w:color w:val="000000"/>
                <w:sz w:val="14"/>
                <w:szCs w:val="16"/>
              </w:rPr>
            </w:pPr>
          </w:p>
        </w:tc>
        <w:tc>
          <w:tcPr>
            <w:tcW w:w="767" w:type="dxa"/>
            <w:shd w:val="clear" w:color="auto" w:fill="auto"/>
            <w:noWrap/>
          </w:tcPr>
          <w:p w:rsidR="005F535C" w:rsidRPr="004130F0" w:rsidRDefault="005F535C" w:rsidP="00DE49A9">
            <w:pPr>
              <w:spacing w:after="0" w:line="240" w:lineRule="auto"/>
              <w:jc w:val="center"/>
              <w:rPr>
                <w:rFonts w:eastAsia="Times New Roman" w:cs="Calibri"/>
                <w:b/>
                <w:bCs/>
                <w:color w:val="000000"/>
                <w:sz w:val="14"/>
                <w:szCs w:val="16"/>
              </w:rPr>
            </w:pPr>
          </w:p>
        </w:tc>
        <w:tc>
          <w:tcPr>
            <w:tcW w:w="665" w:type="dxa"/>
            <w:shd w:val="clear" w:color="auto" w:fill="auto"/>
            <w:noWrap/>
          </w:tcPr>
          <w:p w:rsidR="005F535C" w:rsidRPr="004130F0" w:rsidRDefault="005F535C" w:rsidP="00DE49A9">
            <w:pPr>
              <w:spacing w:after="0" w:line="240" w:lineRule="auto"/>
              <w:jc w:val="center"/>
              <w:rPr>
                <w:rFonts w:eastAsia="Times New Roman" w:cs="Calibri"/>
                <w:color w:val="000000"/>
                <w:sz w:val="14"/>
              </w:rPr>
            </w:pPr>
            <w:r w:rsidRPr="004130F0">
              <w:rPr>
                <w:rFonts w:cs="Calibri"/>
                <w:b/>
                <w:color w:val="000000"/>
                <w:szCs w:val="16"/>
              </w:rPr>
              <w:t>Source</w:t>
            </w: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b/>
                <w:bCs/>
                <w:color w:val="000000"/>
                <w:sz w:val="14"/>
                <w:szCs w:val="16"/>
              </w:rPr>
            </w:pPr>
            <w:r w:rsidRPr="004130F0">
              <w:rPr>
                <w:rFonts w:eastAsia="Times New Roman" w:cs="Calibri"/>
                <w:b/>
                <w:bCs/>
                <w:color w:val="000000"/>
                <w:sz w:val="14"/>
                <w:szCs w:val="16"/>
              </w:rPr>
              <w:t>Age -group</w:t>
            </w:r>
          </w:p>
        </w:tc>
        <w:tc>
          <w:tcPr>
            <w:tcW w:w="1023" w:type="dxa"/>
            <w:shd w:val="clear" w:color="auto" w:fill="auto"/>
            <w:noWrap/>
            <w:hideMark/>
          </w:tcPr>
          <w:p w:rsidR="005F535C" w:rsidRPr="004130F0" w:rsidRDefault="005F535C" w:rsidP="00DE49A9">
            <w:pPr>
              <w:spacing w:after="0" w:line="240" w:lineRule="auto"/>
              <w:jc w:val="center"/>
              <w:rPr>
                <w:rFonts w:eastAsia="Times New Roman" w:cs="Calibri"/>
                <w:b/>
                <w:bCs/>
                <w:color w:val="000000"/>
                <w:sz w:val="14"/>
                <w:szCs w:val="16"/>
              </w:rPr>
            </w:pPr>
            <w:r w:rsidRPr="004130F0">
              <w:rPr>
                <w:rFonts w:eastAsia="Times New Roman" w:cs="Calibri"/>
                <w:b/>
                <w:bCs/>
                <w:color w:val="000000"/>
                <w:sz w:val="14"/>
                <w:szCs w:val="16"/>
              </w:rPr>
              <w:t>13-14</w:t>
            </w:r>
          </w:p>
        </w:tc>
        <w:tc>
          <w:tcPr>
            <w:tcW w:w="1023" w:type="dxa"/>
            <w:gridSpan w:val="2"/>
            <w:shd w:val="clear" w:color="auto" w:fill="auto"/>
            <w:noWrap/>
            <w:hideMark/>
          </w:tcPr>
          <w:p w:rsidR="005F535C" w:rsidRPr="004130F0" w:rsidRDefault="005F535C" w:rsidP="00DE49A9">
            <w:pPr>
              <w:spacing w:after="0" w:line="240" w:lineRule="auto"/>
              <w:jc w:val="center"/>
              <w:rPr>
                <w:rFonts w:eastAsia="Times New Roman" w:cs="Calibri"/>
                <w:b/>
                <w:bCs/>
                <w:color w:val="000000"/>
                <w:sz w:val="14"/>
                <w:szCs w:val="16"/>
              </w:rPr>
            </w:pPr>
            <w:r w:rsidRPr="004130F0">
              <w:rPr>
                <w:rFonts w:eastAsia="Times New Roman" w:cs="Calibri"/>
                <w:b/>
                <w:bCs/>
                <w:color w:val="000000"/>
                <w:sz w:val="14"/>
                <w:szCs w:val="16"/>
              </w:rPr>
              <w:t>15–17</w:t>
            </w: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b/>
                <w:bCs/>
                <w:color w:val="000000"/>
                <w:sz w:val="14"/>
                <w:szCs w:val="16"/>
              </w:rPr>
            </w:pPr>
            <w:r w:rsidRPr="004130F0">
              <w:rPr>
                <w:rFonts w:eastAsia="Times New Roman" w:cs="Calibri"/>
                <w:b/>
                <w:bCs/>
                <w:color w:val="000000"/>
                <w:sz w:val="14"/>
                <w:szCs w:val="16"/>
              </w:rPr>
              <w:t>18–19</w:t>
            </w: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b/>
                <w:bCs/>
                <w:color w:val="000000"/>
                <w:sz w:val="14"/>
                <w:szCs w:val="16"/>
              </w:rPr>
            </w:pPr>
            <w:r w:rsidRPr="004130F0">
              <w:rPr>
                <w:rFonts w:eastAsia="Times New Roman" w:cs="Calibri"/>
                <w:b/>
                <w:bCs/>
                <w:color w:val="000000"/>
                <w:sz w:val="14"/>
                <w:szCs w:val="16"/>
              </w:rPr>
              <w:t>20–24</w:t>
            </w:r>
          </w:p>
        </w:tc>
        <w:tc>
          <w:tcPr>
            <w:tcW w:w="893" w:type="dxa"/>
            <w:gridSpan w:val="2"/>
            <w:shd w:val="clear" w:color="auto" w:fill="auto"/>
            <w:noWrap/>
            <w:hideMark/>
          </w:tcPr>
          <w:p w:rsidR="005F535C" w:rsidRPr="004130F0" w:rsidRDefault="005F535C" w:rsidP="00DE49A9">
            <w:pPr>
              <w:spacing w:after="0" w:line="240" w:lineRule="auto"/>
              <w:jc w:val="center"/>
              <w:rPr>
                <w:rFonts w:eastAsia="Times New Roman" w:cs="Calibri"/>
                <w:b/>
                <w:bCs/>
                <w:color w:val="000000"/>
                <w:sz w:val="14"/>
                <w:szCs w:val="16"/>
              </w:rPr>
            </w:pPr>
            <w:r w:rsidRPr="004130F0">
              <w:rPr>
                <w:rFonts w:eastAsia="Times New Roman" w:cs="Calibri"/>
                <w:b/>
                <w:bCs/>
                <w:color w:val="000000"/>
                <w:sz w:val="14"/>
                <w:szCs w:val="16"/>
              </w:rPr>
              <w:t>25–29</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b/>
                <w:bCs/>
                <w:color w:val="000000"/>
                <w:sz w:val="14"/>
                <w:szCs w:val="16"/>
              </w:rPr>
            </w:pPr>
            <w:r w:rsidRPr="004130F0">
              <w:rPr>
                <w:rFonts w:eastAsia="Times New Roman" w:cs="Calibri"/>
                <w:b/>
                <w:bCs/>
                <w:color w:val="000000"/>
                <w:sz w:val="14"/>
                <w:szCs w:val="16"/>
              </w:rPr>
              <w:t>30–34</w:t>
            </w:r>
          </w:p>
        </w:tc>
        <w:tc>
          <w:tcPr>
            <w:tcW w:w="893" w:type="dxa"/>
            <w:gridSpan w:val="3"/>
            <w:shd w:val="clear" w:color="auto" w:fill="auto"/>
            <w:noWrap/>
            <w:hideMark/>
          </w:tcPr>
          <w:p w:rsidR="005F535C" w:rsidRPr="004130F0" w:rsidRDefault="005F535C" w:rsidP="00DE49A9">
            <w:pPr>
              <w:spacing w:after="0" w:line="240" w:lineRule="auto"/>
              <w:jc w:val="center"/>
              <w:rPr>
                <w:rFonts w:eastAsia="Times New Roman" w:cs="Calibri"/>
                <w:b/>
                <w:bCs/>
                <w:color w:val="000000"/>
                <w:sz w:val="14"/>
                <w:szCs w:val="16"/>
              </w:rPr>
            </w:pPr>
            <w:r w:rsidRPr="004130F0">
              <w:rPr>
                <w:rFonts w:eastAsia="Times New Roman" w:cs="Calibri"/>
                <w:b/>
                <w:bCs/>
                <w:color w:val="000000"/>
                <w:sz w:val="14"/>
                <w:szCs w:val="16"/>
              </w:rPr>
              <w:t>35–39</w:t>
            </w: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b/>
                <w:bCs/>
                <w:color w:val="000000"/>
                <w:sz w:val="14"/>
                <w:szCs w:val="16"/>
              </w:rPr>
            </w:pPr>
            <w:r w:rsidRPr="004130F0">
              <w:rPr>
                <w:rFonts w:eastAsia="Times New Roman" w:cs="Calibri"/>
                <w:b/>
                <w:bCs/>
                <w:color w:val="000000"/>
                <w:sz w:val="14"/>
                <w:szCs w:val="16"/>
              </w:rPr>
              <w:t>40–44</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b/>
                <w:bCs/>
                <w:color w:val="000000"/>
                <w:sz w:val="14"/>
                <w:szCs w:val="16"/>
              </w:rPr>
            </w:pPr>
            <w:r w:rsidRPr="004130F0">
              <w:rPr>
                <w:rFonts w:eastAsia="Times New Roman" w:cs="Calibri"/>
                <w:b/>
                <w:bCs/>
                <w:color w:val="000000"/>
                <w:sz w:val="14"/>
                <w:szCs w:val="16"/>
              </w:rPr>
              <w:t>45-49</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b/>
                <w:bCs/>
                <w:color w:val="000000"/>
                <w:sz w:val="14"/>
                <w:szCs w:val="16"/>
              </w:rPr>
            </w:pPr>
            <w:r w:rsidRPr="004130F0">
              <w:rPr>
                <w:rFonts w:eastAsia="Times New Roman" w:cs="Calibri"/>
                <w:b/>
                <w:bCs/>
                <w:color w:val="000000"/>
                <w:sz w:val="14"/>
                <w:szCs w:val="16"/>
              </w:rPr>
              <w:t>50-54</w:t>
            </w:r>
          </w:p>
        </w:tc>
        <w:tc>
          <w:tcPr>
            <w:tcW w:w="767" w:type="dxa"/>
            <w:gridSpan w:val="2"/>
            <w:shd w:val="clear" w:color="auto" w:fill="auto"/>
            <w:noWrap/>
            <w:hideMark/>
          </w:tcPr>
          <w:p w:rsidR="005F535C" w:rsidRPr="004130F0" w:rsidRDefault="005F535C" w:rsidP="00DE49A9">
            <w:pPr>
              <w:spacing w:after="0" w:line="240" w:lineRule="auto"/>
              <w:jc w:val="center"/>
              <w:rPr>
                <w:rFonts w:eastAsia="Times New Roman" w:cs="Calibri"/>
                <w:b/>
                <w:bCs/>
                <w:color w:val="000000"/>
                <w:sz w:val="14"/>
                <w:szCs w:val="16"/>
              </w:rPr>
            </w:pPr>
            <w:r w:rsidRPr="004130F0">
              <w:rPr>
                <w:rFonts w:eastAsia="Times New Roman" w:cs="Calibri"/>
                <w:b/>
                <w:bCs/>
                <w:color w:val="000000"/>
                <w:sz w:val="14"/>
                <w:szCs w:val="16"/>
              </w:rPr>
              <w:t>55-59</w:t>
            </w:r>
          </w:p>
        </w:tc>
        <w:tc>
          <w:tcPr>
            <w:tcW w:w="639" w:type="dxa"/>
            <w:shd w:val="clear" w:color="auto" w:fill="auto"/>
            <w:noWrap/>
            <w:hideMark/>
          </w:tcPr>
          <w:p w:rsidR="005F535C" w:rsidRPr="004130F0" w:rsidRDefault="005F535C" w:rsidP="00DE49A9">
            <w:pPr>
              <w:spacing w:after="0" w:line="240" w:lineRule="auto"/>
              <w:jc w:val="center"/>
              <w:rPr>
                <w:rFonts w:eastAsia="Times New Roman" w:cs="Calibri"/>
                <w:b/>
                <w:bCs/>
                <w:color w:val="000000"/>
                <w:sz w:val="14"/>
                <w:szCs w:val="16"/>
              </w:rPr>
            </w:pPr>
            <w:r w:rsidRPr="004130F0">
              <w:rPr>
                <w:rFonts w:eastAsia="Times New Roman" w:cs="Calibri"/>
                <w:b/>
                <w:bCs/>
                <w:color w:val="000000"/>
                <w:sz w:val="14"/>
                <w:szCs w:val="16"/>
              </w:rPr>
              <w:t>60-64</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b/>
                <w:bCs/>
                <w:color w:val="000000"/>
                <w:sz w:val="14"/>
                <w:szCs w:val="16"/>
              </w:rPr>
            </w:pPr>
            <w:r w:rsidRPr="004130F0">
              <w:rPr>
                <w:rFonts w:eastAsia="Times New Roman" w:cs="Calibri"/>
                <w:b/>
                <w:bCs/>
                <w:color w:val="000000"/>
                <w:sz w:val="14"/>
                <w:szCs w:val="16"/>
              </w:rPr>
              <w:t>65-70</w:t>
            </w: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rPr>
            </w:pPr>
          </w:p>
        </w:tc>
      </w:tr>
      <w:tr w:rsidR="005F535C" w:rsidRPr="004130F0" w:rsidTr="00DE49A9">
        <w:trPr>
          <w:gridAfter w:val="1"/>
          <w:wAfter w:w="16" w:type="dxa"/>
          <w:trHeight w:val="393"/>
          <w:jc w:val="center"/>
        </w:trPr>
        <w:tc>
          <w:tcPr>
            <w:tcW w:w="1942"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 xml:space="preserve"># main-partners per year </w:t>
            </w:r>
            <w:r w:rsidRPr="004130F0">
              <w:rPr>
                <w:rFonts w:eastAsia="Times New Roman" w:cs="Calibri"/>
                <w:color w:val="000000"/>
                <w:sz w:val="20"/>
                <w:szCs w:val="16"/>
                <w:vertAlign w:val="superscript"/>
              </w:rPr>
              <w:t>a</w:t>
            </w:r>
          </w:p>
        </w:tc>
        <w:tc>
          <w:tcPr>
            <w:tcW w:w="1023"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p>
        </w:tc>
        <w:tc>
          <w:tcPr>
            <w:tcW w:w="1023"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p>
        </w:tc>
        <w:tc>
          <w:tcPr>
            <w:tcW w:w="893"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p>
        </w:tc>
        <w:tc>
          <w:tcPr>
            <w:tcW w:w="821"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p>
        </w:tc>
        <w:tc>
          <w:tcPr>
            <w:tcW w:w="839"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p>
        </w:tc>
        <w:tc>
          <w:tcPr>
            <w:tcW w:w="767"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p>
        </w:tc>
        <w:tc>
          <w:tcPr>
            <w:tcW w:w="639"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p>
        </w:tc>
        <w:tc>
          <w:tcPr>
            <w:tcW w:w="665" w:type="dxa"/>
            <w:shd w:val="clear" w:color="auto" w:fill="auto"/>
            <w:noWrap/>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RW.CITE{{165 Chandra,A. 2011}}</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(30)</w:t>
            </w:r>
            <w:r w:rsidRPr="004130F0">
              <w:rPr>
                <w:rFonts w:eastAsia="Times New Roman" w:cs="Calibri"/>
                <w:color w:val="000000"/>
                <w:sz w:val="16"/>
                <w:szCs w:val="16"/>
              </w:rPr>
              <w:fldChar w:fldCharType="end"/>
            </w:r>
            <w:r w:rsidRPr="004130F0">
              <w:rPr>
                <w:rFonts w:eastAsia="Times New Roman" w:cs="Calibri"/>
                <w:color w:val="000000"/>
                <w:sz w:val="16"/>
                <w:szCs w:val="16"/>
              </w:rPr>
              <w:t xml:space="preserve"> </w:t>
            </w:r>
          </w:p>
        </w:tc>
      </w:tr>
      <w:tr w:rsidR="005F535C" w:rsidRPr="004130F0" w:rsidTr="00DE49A9">
        <w:trPr>
          <w:gridAfter w:val="1"/>
          <w:wAfter w:w="16" w:type="dxa"/>
          <w:trHeight w:val="393"/>
          <w:jc w:val="center"/>
        </w:trPr>
        <w:tc>
          <w:tcPr>
            <w:tcW w:w="1942"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female</w:t>
            </w:r>
          </w:p>
        </w:tc>
        <w:tc>
          <w:tcPr>
            <w:tcW w:w="1023"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1.75</w:t>
            </w:r>
          </w:p>
        </w:tc>
        <w:tc>
          <w:tcPr>
            <w:tcW w:w="1023"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1.75</w:t>
            </w:r>
          </w:p>
        </w:tc>
        <w:tc>
          <w:tcPr>
            <w:tcW w:w="893"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1.68</w:t>
            </w:r>
          </w:p>
        </w:tc>
        <w:tc>
          <w:tcPr>
            <w:tcW w:w="893"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1.47</w:t>
            </w:r>
          </w:p>
        </w:tc>
        <w:tc>
          <w:tcPr>
            <w:tcW w:w="893"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1.26</w:t>
            </w:r>
          </w:p>
        </w:tc>
        <w:tc>
          <w:tcPr>
            <w:tcW w:w="821"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1.19</w:t>
            </w:r>
          </w:p>
        </w:tc>
        <w:tc>
          <w:tcPr>
            <w:tcW w:w="839"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1.09</w:t>
            </w:r>
          </w:p>
        </w:tc>
        <w:tc>
          <w:tcPr>
            <w:tcW w:w="893"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1.1</w:t>
            </w:r>
          </w:p>
        </w:tc>
        <w:tc>
          <w:tcPr>
            <w:tcW w:w="767"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1.1</w:t>
            </w:r>
          </w:p>
        </w:tc>
        <w:tc>
          <w:tcPr>
            <w:tcW w:w="767"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1.1</w:t>
            </w:r>
          </w:p>
        </w:tc>
        <w:tc>
          <w:tcPr>
            <w:tcW w:w="767"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1.1</w:t>
            </w:r>
          </w:p>
        </w:tc>
        <w:tc>
          <w:tcPr>
            <w:tcW w:w="639"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1.1</w:t>
            </w:r>
          </w:p>
        </w:tc>
        <w:tc>
          <w:tcPr>
            <w:tcW w:w="767"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1.1</w:t>
            </w:r>
          </w:p>
        </w:tc>
        <w:tc>
          <w:tcPr>
            <w:tcW w:w="665" w:type="dxa"/>
            <w:shd w:val="clear" w:color="auto" w:fill="auto"/>
            <w:noWrap/>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gridAfter w:val="1"/>
          <w:wAfter w:w="16" w:type="dxa"/>
          <w:trHeight w:val="393"/>
          <w:jc w:val="center"/>
        </w:trPr>
        <w:tc>
          <w:tcPr>
            <w:tcW w:w="1942"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HET male</w:t>
            </w:r>
          </w:p>
        </w:tc>
        <w:tc>
          <w:tcPr>
            <w:tcW w:w="1023"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1.74</w:t>
            </w:r>
          </w:p>
        </w:tc>
        <w:tc>
          <w:tcPr>
            <w:tcW w:w="1023"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1.74</w:t>
            </w:r>
          </w:p>
        </w:tc>
        <w:tc>
          <w:tcPr>
            <w:tcW w:w="893"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1.86</w:t>
            </w:r>
          </w:p>
        </w:tc>
        <w:tc>
          <w:tcPr>
            <w:tcW w:w="893"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1.69</w:t>
            </w:r>
          </w:p>
        </w:tc>
        <w:tc>
          <w:tcPr>
            <w:tcW w:w="893"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1.45</w:t>
            </w:r>
          </w:p>
        </w:tc>
        <w:tc>
          <w:tcPr>
            <w:tcW w:w="821"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1.29</w:t>
            </w:r>
          </w:p>
        </w:tc>
        <w:tc>
          <w:tcPr>
            <w:tcW w:w="839"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1.3</w:t>
            </w:r>
          </w:p>
        </w:tc>
        <w:tc>
          <w:tcPr>
            <w:tcW w:w="893"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1.21</w:t>
            </w:r>
          </w:p>
        </w:tc>
        <w:tc>
          <w:tcPr>
            <w:tcW w:w="767"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1.21</w:t>
            </w:r>
          </w:p>
        </w:tc>
        <w:tc>
          <w:tcPr>
            <w:tcW w:w="767"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1.21</w:t>
            </w:r>
          </w:p>
        </w:tc>
        <w:tc>
          <w:tcPr>
            <w:tcW w:w="767"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1.21</w:t>
            </w:r>
          </w:p>
        </w:tc>
        <w:tc>
          <w:tcPr>
            <w:tcW w:w="639"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1.21</w:t>
            </w:r>
          </w:p>
        </w:tc>
        <w:tc>
          <w:tcPr>
            <w:tcW w:w="767"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1.21</w:t>
            </w:r>
          </w:p>
        </w:tc>
        <w:tc>
          <w:tcPr>
            <w:tcW w:w="665" w:type="dxa"/>
            <w:shd w:val="clear" w:color="auto" w:fill="auto"/>
            <w:noWrap/>
            <w:vAlign w:val="center"/>
          </w:tcPr>
          <w:p w:rsidR="005F535C" w:rsidRPr="004130F0" w:rsidRDefault="005F535C" w:rsidP="00DE49A9">
            <w:pPr>
              <w:spacing w:after="0" w:line="240" w:lineRule="auto"/>
              <w:jc w:val="center"/>
              <w:rPr>
                <w:color w:val="000000"/>
                <w:sz w:val="16"/>
                <w:szCs w:val="16"/>
              </w:rPr>
            </w:pPr>
          </w:p>
        </w:tc>
      </w:tr>
      <w:tr w:rsidR="005F535C" w:rsidRPr="004130F0" w:rsidTr="00DE49A9">
        <w:trPr>
          <w:gridAfter w:val="1"/>
          <w:wAfter w:w="16" w:type="dxa"/>
          <w:trHeight w:val="393"/>
          <w:jc w:val="center"/>
        </w:trPr>
        <w:tc>
          <w:tcPr>
            <w:tcW w:w="1942"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 xml:space="preserve"> MSM  </w:t>
            </w:r>
          </w:p>
        </w:tc>
        <w:tc>
          <w:tcPr>
            <w:tcW w:w="1023"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1.74</w:t>
            </w:r>
          </w:p>
        </w:tc>
        <w:tc>
          <w:tcPr>
            <w:tcW w:w="1023"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1.74</w:t>
            </w:r>
          </w:p>
        </w:tc>
        <w:tc>
          <w:tcPr>
            <w:tcW w:w="893"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1.86</w:t>
            </w:r>
          </w:p>
        </w:tc>
        <w:tc>
          <w:tcPr>
            <w:tcW w:w="893"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1.69</w:t>
            </w:r>
          </w:p>
        </w:tc>
        <w:tc>
          <w:tcPr>
            <w:tcW w:w="893"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1.45</w:t>
            </w:r>
          </w:p>
        </w:tc>
        <w:tc>
          <w:tcPr>
            <w:tcW w:w="821"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1.29</w:t>
            </w:r>
          </w:p>
        </w:tc>
        <w:tc>
          <w:tcPr>
            <w:tcW w:w="839"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1.3</w:t>
            </w:r>
          </w:p>
        </w:tc>
        <w:tc>
          <w:tcPr>
            <w:tcW w:w="893"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1.21</w:t>
            </w:r>
          </w:p>
        </w:tc>
        <w:tc>
          <w:tcPr>
            <w:tcW w:w="767"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1.21</w:t>
            </w:r>
          </w:p>
        </w:tc>
        <w:tc>
          <w:tcPr>
            <w:tcW w:w="767"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1.21</w:t>
            </w:r>
          </w:p>
        </w:tc>
        <w:tc>
          <w:tcPr>
            <w:tcW w:w="767" w:type="dxa"/>
            <w:gridSpan w:val="2"/>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1.21</w:t>
            </w:r>
          </w:p>
        </w:tc>
        <w:tc>
          <w:tcPr>
            <w:tcW w:w="639"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1.21</w:t>
            </w:r>
          </w:p>
        </w:tc>
        <w:tc>
          <w:tcPr>
            <w:tcW w:w="767" w:type="dxa"/>
            <w:shd w:val="clear" w:color="auto" w:fill="auto"/>
            <w:noWrap/>
            <w:vAlign w:val="center"/>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1.21</w:t>
            </w:r>
          </w:p>
        </w:tc>
        <w:tc>
          <w:tcPr>
            <w:tcW w:w="665" w:type="dxa"/>
            <w:shd w:val="clear" w:color="auto" w:fill="auto"/>
            <w:noWrap/>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 xml:space="preserve">Average duration of main partnership (months) </w:t>
            </w:r>
            <w:r w:rsidRPr="004130F0">
              <w:rPr>
                <w:rFonts w:eastAsia="Times New Roman" w:cs="Calibri"/>
                <w:color w:val="000000"/>
                <w:sz w:val="20"/>
                <w:szCs w:val="16"/>
                <w:vertAlign w:val="superscript"/>
              </w:rPr>
              <w:t>b</w:t>
            </w:r>
          </w:p>
        </w:tc>
        <w:tc>
          <w:tcPr>
            <w:tcW w:w="102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102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21"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39"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639"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RW.CITE{{165 Chandra,A. 2011}}</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(30)</w:t>
            </w:r>
            <w:r w:rsidRPr="004130F0">
              <w:rPr>
                <w:rFonts w:eastAsia="Times New Roman" w:cs="Calibri"/>
                <w:color w:val="000000"/>
                <w:sz w:val="16"/>
                <w:szCs w:val="16"/>
              </w:rPr>
              <w:fldChar w:fldCharType="end"/>
            </w: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HET female</w:t>
            </w:r>
          </w:p>
        </w:tc>
        <w:tc>
          <w:tcPr>
            <w:tcW w:w="102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16</w:t>
            </w:r>
          </w:p>
        </w:tc>
        <w:tc>
          <w:tcPr>
            <w:tcW w:w="1023"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16</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18</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26</w:t>
            </w:r>
          </w:p>
        </w:tc>
        <w:tc>
          <w:tcPr>
            <w:tcW w:w="893"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46</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63</w:t>
            </w:r>
          </w:p>
        </w:tc>
        <w:tc>
          <w:tcPr>
            <w:tcW w:w="893" w:type="dxa"/>
            <w:gridSpan w:val="3"/>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133</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120</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120</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120</w:t>
            </w:r>
          </w:p>
        </w:tc>
        <w:tc>
          <w:tcPr>
            <w:tcW w:w="767"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120</w:t>
            </w:r>
          </w:p>
        </w:tc>
        <w:tc>
          <w:tcPr>
            <w:tcW w:w="639"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120</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120</w:t>
            </w: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HET male</w:t>
            </w:r>
          </w:p>
        </w:tc>
        <w:tc>
          <w:tcPr>
            <w:tcW w:w="102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16</w:t>
            </w:r>
          </w:p>
        </w:tc>
        <w:tc>
          <w:tcPr>
            <w:tcW w:w="1023"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16</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14</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17</w:t>
            </w:r>
          </w:p>
        </w:tc>
        <w:tc>
          <w:tcPr>
            <w:tcW w:w="893"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27</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41</w:t>
            </w:r>
          </w:p>
        </w:tc>
        <w:tc>
          <w:tcPr>
            <w:tcW w:w="893" w:type="dxa"/>
            <w:gridSpan w:val="3"/>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40</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57</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57</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57</w:t>
            </w:r>
          </w:p>
        </w:tc>
        <w:tc>
          <w:tcPr>
            <w:tcW w:w="767"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57</w:t>
            </w:r>
          </w:p>
        </w:tc>
        <w:tc>
          <w:tcPr>
            <w:tcW w:w="639"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57</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57</w:t>
            </w: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MSM</w:t>
            </w:r>
          </w:p>
        </w:tc>
        <w:tc>
          <w:tcPr>
            <w:tcW w:w="102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16</w:t>
            </w:r>
          </w:p>
        </w:tc>
        <w:tc>
          <w:tcPr>
            <w:tcW w:w="1023"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16</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14</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17</w:t>
            </w:r>
          </w:p>
        </w:tc>
        <w:tc>
          <w:tcPr>
            <w:tcW w:w="893"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27</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41</w:t>
            </w:r>
          </w:p>
        </w:tc>
        <w:tc>
          <w:tcPr>
            <w:tcW w:w="893" w:type="dxa"/>
            <w:gridSpan w:val="3"/>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40</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57</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57</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57</w:t>
            </w:r>
          </w:p>
        </w:tc>
        <w:tc>
          <w:tcPr>
            <w:tcW w:w="767"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57</w:t>
            </w:r>
          </w:p>
        </w:tc>
        <w:tc>
          <w:tcPr>
            <w:tcW w:w="639"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57</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57</w:t>
            </w: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 xml:space="preserve">Probability gap between partnerships </w:t>
            </w:r>
            <w:r w:rsidRPr="004130F0">
              <w:rPr>
                <w:rFonts w:eastAsia="Times New Roman" w:cs="Calibri"/>
                <w:color w:val="000000"/>
                <w:sz w:val="18"/>
                <w:szCs w:val="16"/>
                <w:vertAlign w:val="superscript"/>
              </w:rPr>
              <w:t>c</w:t>
            </w:r>
          </w:p>
        </w:tc>
        <w:tc>
          <w:tcPr>
            <w:tcW w:w="102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102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gridSpan w:val="3"/>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639"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665" w:type="dxa"/>
            <w:shd w:val="clear" w:color="auto" w:fill="auto"/>
            <w:noWrap/>
            <w:hideMark/>
          </w:tcPr>
          <w:tbl>
            <w:tblPr>
              <w:tblW w:w="665" w:type="dxa"/>
              <w:tblInd w:w="46" w:type="dxa"/>
              <w:tblLayout w:type="fixed"/>
              <w:tblLook w:val="04A0" w:firstRow="1" w:lastRow="0" w:firstColumn="1" w:lastColumn="0" w:noHBand="0" w:noVBand="1"/>
            </w:tblPr>
            <w:tblGrid>
              <w:gridCol w:w="665"/>
            </w:tblGrid>
            <w:tr w:rsidR="005F535C" w:rsidRPr="004130F0" w:rsidTr="00DE49A9">
              <w:trPr>
                <w:trHeight w:val="393"/>
              </w:trPr>
              <w:tc>
                <w:tcPr>
                  <w:tcW w:w="665" w:type="dxa"/>
                  <w:tcBorders>
                    <w:top w:val="single" w:sz="4" w:space="0" w:color="FFFFFF"/>
                    <w:left w:val="nil"/>
                    <w:bottom w:val="single" w:sz="4" w:space="0" w:color="FFFFFF"/>
                    <w:right w:val="nil"/>
                  </w:tcBorders>
                  <w:shd w:val="clear" w:color="auto" w:fill="auto"/>
                  <w:noWrap/>
                  <w:vAlign w:val="center"/>
                  <w:hideMark/>
                </w:tcPr>
                <w:p w:rsidR="005F535C" w:rsidRPr="007D720E" w:rsidRDefault="005F535C" w:rsidP="00DE49A9">
                  <w:pPr>
                    <w:spacing w:after="0" w:line="240" w:lineRule="auto"/>
                    <w:jc w:val="center"/>
                    <w:rPr>
                      <w:rFonts w:eastAsia="Times New Roman" w:cs="Calibri"/>
                      <w:color w:val="000000"/>
                      <w:sz w:val="16"/>
                      <w:szCs w:val="16"/>
                    </w:rPr>
                  </w:pPr>
                  <w:r w:rsidRPr="007D720E">
                    <w:rPr>
                      <w:rFonts w:eastAsia="Times New Roman" w:cs="Calibri"/>
                      <w:color w:val="000000"/>
                      <w:sz w:val="16"/>
                      <w:szCs w:val="16"/>
                    </w:rPr>
                    <w:fldChar w:fldCharType="begin"/>
                  </w:r>
                  <w:r w:rsidRPr="007D720E">
                    <w:rPr>
                      <w:rFonts w:eastAsia="Times New Roman" w:cs="Calibri"/>
                      <w:color w:val="000000"/>
                      <w:sz w:val="16"/>
                      <w:szCs w:val="16"/>
                    </w:rPr>
                    <w:instrText>ADDIN RW.CITE{{165 Chandra,A. 2011}}</w:instrText>
                  </w:r>
                  <w:r w:rsidRPr="007D720E">
                    <w:rPr>
                      <w:rFonts w:eastAsia="Times New Roman" w:cs="Calibri"/>
                      <w:color w:val="000000"/>
                      <w:sz w:val="16"/>
                      <w:szCs w:val="16"/>
                    </w:rPr>
                    <w:fldChar w:fldCharType="separate"/>
                  </w:r>
                  <w:r w:rsidRPr="00A04044">
                    <w:rPr>
                      <w:rFonts w:eastAsia="Times New Roman" w:cs="Calibri"/>
                      <w:color w:val="000000"/>
                      <w:sz w:val="16"/>
                      <w:szCs w:val="16"/>
                    </w:rPr>
                    <w:t>(30)</w:t>
                  </w:r>
                  <w:r w:rsidRPr="007D720E">
                    <w:rPr>
                      <w:rFonts w:eastAsia="Times New Roman" w:cs="Calibri"/>
                      <w:color w:val="000000"/>
                      <w:sz w:val="16"/>
                      <w:szCs w:val="16"/>
                    </w:rPr>
                    <w:fldChar w:fldCharType="end"/>
                  </w:r>
                </w:p>
              </w:tc>
            </w:tr>
          </w:tbl>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HET female</w:t>
            </w:r>
          </w:p>
        </w:tc>
        <w:tc>
          <w:tcPr>
            <w:tcW w:w="102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0.13</w:t>
            </w:r>
          </w:p>
        </w:tc>
        <w:tc>
          <w:tcPr>
            <w:tcW w:w="102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0.13</w:t>
            </w: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w:t>
            </w: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0.05</w:t>
            </w:r>
          </w:p>
        </w:tc>
        <w:tc>
          <w:tcPr>
            <w:tcW w:w="89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0.06</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0.05</w:t>
            </w:r>
          </w:p>
        </w:tc>
        <w:tc>
          <w:tcPr>
            <w:tcW w:w="893" w:type="dxa"/>
            <w:gridSpan w:val="3"/>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0.07</w:t>
            </w: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767"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639"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HET male</w:t>
            </w:r>
          </w:p>
        </w:tc>
        <w:tc>
          <w:tcPr>
            <w:tcW w:w="102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0.18</w:t>
            </w:r>
          </w:p>
        </w:tc>
        <w:tc>
          <w:tcPr>
            <w:tcW w:w="102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0.18</w:t>
            </w: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0.12</w:t>
            </w: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0.07</w:t>
            </w:r>
          </w:p>
        </w:tc>
        <w:tc>
          <w:tcPr>
            <w:tcW w:w="89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0.06</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0.05</w:t>
            </w:r>
          </w:p>
        </w:tc>
        <w:tc>
          <w:tcPr>
            <w:tcW w:w="893" w:type="dxa"/>
            <w:gridSpan w:val="3"/>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0.06</w:t>
            </w: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767"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639"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MSM</w:t>
            </w:r>
          </w:p>
        </w:tc>
        <w:tc>
          <w:tcPr>
            <w:tcW w:w="102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0.18</w:t>
            </w:r>
          </w:p>
        </w:tc>
        <w:tc>
          <w:tcPr>
            <w:tcW w:w="102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0.18</w:t>
            </w: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0.12</w:t>
            </w: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0.07</w:t>
            </w:r>
          </w:p>
        </w:tc>
        <w:tc>
          <w:tcPr>
            <w:tcW w:w="89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0.06</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0.05</w:t>
            </w:r>
          </w:p>
        </w:tc>
        <w:tc>
          <w:tcPr>
            <w:tcW w:w="893" w:type="dxa"/>
            <w:gridSpan w:val="3"/>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0.06</w:t>
            </w: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767"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639"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Number of sex acts per year</w:t>
            </w:r>
            <w:r w:rsidRPr="004130F0">
              <w:rPr>
                <w:rFonts w:eastAsia="Times New Roman" w:cs="Calibri"/>
                <w:color w:val="000000"/>
                <w:sz w:val="20"/>
                <w:szCs w:val="16"/>
                <w:vertAlign w:val="superscript"/>
              </w:rPr>
              <w:t xml:space="preserve"> a</w:t>
            </w:r>
          </w:p>
        </w:tc>
        <w:tc>
          <w:tcPr>
            <w:tcW w:w="102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102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gridSpan w:val="3"/>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639"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RW.CITE{{498 Herbenick,D. 2010; 357 Herbenick,D. 2010; 359 Reece,M. 2010; 361 Reece,M. 2010}}</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(31-34)</w:t>
            </w:r>
            <w:r w:rsidRPr="004130F0">
              <w:rPr>
                <w:rFonts w:eastAsia="Times New Roman" w:cs="Calibri"/>
                <w:color w:val="000000"/>
                <w:sz w:val="16"/>
                <w:szCs w:val="16"/>
              </w:rPr>
              <w:fldChar w:fldCharType="end"/>
            </w:r>
            <w:r w:rsidRPr="004130F0">
              <w:rPr>
                <w:rFonts w:eastAsia="Times New Roman" w:cs="Calibri"/>
                <w:color w:val="000000"/>
                <w:sz w:val="16"/>
                <w:szCs w:val="16"/>
              </w:rPr>
              <w:t xml:space="preserve"> </w:t>
            </w: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HET Female</w:t>
            </w:r>
          </w:p>
        </w:tc>
        <w:tc>
          <w:tcPr>
            <w:tcW w:w="1023"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20-41</w:t>
            </w:r>
          </w:p>
        </w:tc>
        <w:tc>
          <w:tcPr>
            <w:tcW w:w="1023" w:type="dxa"/>
            <w:gridSpan w:val="2"/>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20-41</w:t>
            </w:r>
          </w:p>
        </w:tc>
        <w:tc>
          <w:tcPr>
            <w:tcW w:w="893"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73-127</w:t>
            </w:r>
          </w:p>
        </w:tc>
        <w:tc>
          <w:tcPr>
            <w:tcW w:w="893"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73-127</w:t>
            </w:r>
          </w:p>
        </w:tc>
        <w:tc>
          <w:tcPr>
            <w:tcW w:w="893" w:type="dxa"/>
            <w:gridSpan w:val="2"/>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62-108</w:t>
            </w:r>
          </w:p>
        </w:tc>
        <w:tc>
          <w:tcPr>
            <w:tcW w:w="767"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51-93</w:t>
            </w:r>
          </w:p>
        </w:tc>
        <w:tc>
          <w:tcPr>
            <w:tcW w:w="893" w:type="dxa"/>
            <w:gridSpan w:val="3"/>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51-93</w:t>
            </w:r>
          </w:p>
        </w:tc>
        <w:tc>
          <w:tcPr>
            <w:tcW w:w="893"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48-86</w:t>
            </w:r>
          </w:p>
        </w:tc>
        <w:tc>
          <w:tcPr>
            <w:tcW w:w="767"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48-86</w:t>
            </w:r>
          </w:p>
        </w:tc>
        <w:tc>
          <w:tcPr>
            <w:tcW w:w="767"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40-73</w:t>
            </w:r>
          </w:p>
        </w:tc>
        <w:tc>
          <w:tcPr>
            <w:tcW w:w="767" w:type="dxa"/>
            <w:gridSpan w:val="2"/>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32- 73</w:t>
            </w:r>
          </w:p>
        </w:tc>
        <w:tc>
          <w:tcPr>
            <w:tcW w:w="639"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35-62</w:t>
            </w:r>
          </w:p>
        </w:tc>
        <w:tc>
          <w:tcPr>
            <w:tcW w:w="767"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35-62</w:t>
            </w: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HET male</w:t>
            </w:r>
          </w:p>
        </w:tc>
        <w:tc>
          <w:tcPr>
            <w:tcW w:w="1023"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30 - 60</w:t>
            </w:r>
          </w:p>
        </w:tc>
        <w:tc>
          <w:tcPr>
            <w:tcW w:w="1023" w:type="dxa"/>
            <w:gridSpan w:val="2"/>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30- 60</w:t>
            </w:r>
          </w:p>
        </w:tc>
        <w:tc>
          <w:tcPr>
            <w:tcW w:w="893"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68- 119</w:t>
            </w:r>
          </w:p>
        </w:tc>
        <w:tc>
          <w:tcPr>
            <w:tcW w:w="893"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68 - 119</w:t>
            </w:r>
          </w:p>
        </w:tc>
        <w:tc>
          <w:tcPr>
            <w:tcW w:w="893" w:type="dxa"/>
            <w:gridSpan w:val="2"/>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63 - 110</w:t>
            </w:r>
          </w:p>
        </w:tc>
        <w:tc>
          <w:tcPr>
            <w:tcW w:w="767"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59- 104</w:t>
            </w:r>
          </w:p>
        </w:tc>
        <w:tc>
          <w:tcPr>
            <w:tcW w:w="893" w:type="dxa"/>
            <w:gridSpan w:val="3"/>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59- 104</w:t>
            </w:r>
          </w:p>
        </w:tc>
        <w:tc>
          <w:tcPr>
            <w:tcW w:w="893"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52- 95</w:t>
            </w:r>
          </w:p>
        </w:tc>
        <w:tc>
          <w:tcPr>
            <w:tcW w:w="767"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39-95</w:t>
            </w:r>
          </w:p>
        </w:tc>
        <w:tc>
          <w:tcPr>
            <w:tcW w:w="767"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36- 73</w:t>
            </w:r>
          </w:p>
        </w:tc>
        <w:tc>
          <w:tcPr>
            <w:tcW w:w="767" w:type="dxa"/>
            <w:gridSpan w:val="2"/>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36-73</w:t>
            </w:r>
          </w:p>
        </w:tc>
        <w:tc>
          <w:tcPr>
            <w:tcW w:w="639"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24-67</w:t>
            </w:r>
          </w:p>
        </w:tc>
        <w:tc>
          <w:tcPr>
            <w:tcW w:w="767"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24-67</w:t>
            </w: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MSM</w:t>
            </w:r>
          </w:p>
        </w:tc>
        <w:tc>
          <w:tcPr>
            <w:tcW w:w="1023"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30 - 60</w:t>
            </w:r>
          </w:p>
        </w:tc>
        <w:tc>
          <w:tcPr>
            <w:tcW w:w="1023" w:type="dxa"/>
            <w:gridSpan w:val="2"/>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30- 60</w:t>
            </w:r>
          </w:p>
        </w:tc>
        <w:tc>
          <w:tcPr>
            <w:tcW w:w="893"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68- 119</w:t>
            </w:r>
          </w:p>
        </w:tc>
        <w:tc>
          <w:tcPr>
            <w:tcW w:w="893"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68 - 119</w:t>
            </w:r>
          </w:p>
        </w:tc>
        <w:tc>
          <w:tcPr>
            <w:tcW w:w="893" w:type="dxa"/>
            <w:gridSpan w:val="2"/>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63 - 110</w:t>
            </w:r>
          </w:p>
        </w:tc>
        <w:tc>
          <w:tcPr>
            <w:tcW w:w="767"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59- 104</w:t>
            </w:r>
          </w:p>
        </w:tc>
        <w:tc>
          <w:tcPr>
            <w:tcW w:w="893" w:type="dxa"/>
            <w:gridSpan w:val="3"/>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59- 104</w:t>
            </w:r>
          </w:p>
        </w:tc>
        <w:tc>
          <w:tcPr>
            <w:tcW w:w="893"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52- 95</w:t>
            </w:r>
          </w:p>
        </w:tc>
        <w:tc>
          <w:tcPr>
            <w:tcW w:w="767"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39-95</w:t>
            </w:r>
          </w:p>
        </w:tc>
        <w:tc>
          <w:tcPr>
            <w:tcW w:w="767"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36- 73</w:t>
            </w:r>
          </w:p>
        </w:tc>
        <w:tc>
          <w:tcPr>
            <w:tcW w:w="767" w:type="dxa"/>
            <w:gridSpan w:val="2"/>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36-73</w:t>
            </w:r>
          </w:p>
        </w:tc>
        <w:tc>
          <w:tcPr>
            <w:tcW w:w="639"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24-67</w:t>
            </w:r>
          </w:p>
        </w:tc>
        <w:tc>
          <w:tcPr>
            <w:tcW w:w="767" w:type="dxa"/>
            <w:shd w:val="clear" w:color="auto" w:fill="auto"/>
            <w:noWrap/>
            <w:hideMark/>
          </w:tcPr>
          <w:p w:rsidR="005F535C" w:rsidRPr="004130F0" w:rsidRDefault="005F535C" w:rsidP="00DE49A9">
            <w:pPr>
              <w:spacing w:after="0" w:line="240" w:lineRule="auto"/>
              <w:rPr>
                <w:rFonts w:eastAsia="Times New Roman" w:cs="Calibri"/>
                <w:color w:val="000000"/>
                <w:sz w:val="14"/>
                <w:szCs w:val="16"/>
              </w:rPr>
            </w:pPr>
            <w:r w:rsidRPr="004130F0">
              <w:rPr>
                <w:rFonts w:eastAsia="Times New Roman" w:cs="Calibri"/>
                <w:color w:val="000000"/>
                <w:sz w:val="14"/>
                <w:szCs w:val="16"/>
              </w:rPr>
              <w:t>24-67</w:t>
            </w: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Proportion of acts that are anal</w:t>
            </w:r>
          </w:p>
        </w:tc>
        <w:tc>
          <w:tcPr>
            <w:tcW w:w="102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102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gridSpan w:val="3"/>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639"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RW.CITE{{498 Herbenick,D. 2010; 357 Herbenick,D. 2010; 359 Reece,M. 2010; 361 Reece,M. 2010}}</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(31-34)</w:t>
            </w:r>
            <w:r w:rsidRPr="004130F0">
              <w:rPr>
                <w:rFonts w:eastAsia="Times New Roman" w:cs="Calibri"/>
                <w:color w:val="000000"/>
                <w:sz w:val="16"/>
                <w:szCs w:val="16"/>
              </w:rPr>
              <w:fldChar w:fldCharType="end"/>
            </w: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HET Female</w:t>
            </w:r>
          </w:p>
        </w:tc>
        <w:tc>
          <w:tcPr>
            <w:tcW w:w="102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0.07</w:t>
            </w:r>
          </w:p>
        </w:tc>
        <w:tc>
          <w:tcPr>
            <w:tcW w:w="1023"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0.07</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0.07</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0.07</w:t>
            </w:r>
          </w:p>
        </w:tc>
        <w:tc>
          <w:tcPr>
            <w:tcW w:w="893"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0.08</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0.06</w:t>
            </w:r>
          </w:p>
        </w:tc>
        <w:tc>
          <w:tcPr>
            <w:tcW w:w="893" w:type="dxa"/>
            <w:gridSpan w:val="3"/>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0.06</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0.04</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0.04</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0.02</w:t>
            </w:r>
          </w:p>
        </w:tc>
        <w:tc>
          <w:tcPr>
            <w:tcW w:w="767"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0.02</w:t>
            </w:r>
          </w:p>
        </w:tc>
        <w:tc>
          <w:tcPr>
            <w:tcW w:w="639"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0.04</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0.04</w:t>
            </w: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rPr>
            </w:pP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lastRenderedPageBreak/>
              <w:t>HET Male</w:t>
            </w:r>
          </w:p>
        </w:tc>
        <w:tc>
          <w:tcPr>
            <w:tcW w:w="102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0.06</w:t>
            </w:r>
          </w:p>
        </w:tc>
        <w:tc>
          <w:tcPr>
            <w:tcW w:w="1023"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0.06</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0.06</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0.06</w:t>
            </w:r>
          </w:p>
        </w:tc>
        <w:tc>
          <w:tcPr>
            <w:tcW w:w="893"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0.11</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0.07</w:t>
            </w:r>
          </w:p>
        </w:tc>
        <w:tc>
          <w:tcPr>
            <w:tcW w:w="893" w:type="dxa"/>
            <w:gridSpan w:val="3"/>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0.07</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0.06</w:t>
            </w:r>
          </w:p>
        </w:tc>
        <w:tc>
          <w:tcPr>
            <w:tcW w:w="767"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0.06</w:t>
            </w:r>
          </w:p>
        </w:tc>
        <w:tc>
          <w:tcPr>
            <w:tcW w:w="639"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0.05</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0.05</w:t>
            </w: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rPr>
            </w:pP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MSM</w:t>
            </w:r>
          </w:p>
        </w:tc>
        <w:tc>
          <w:tcPr>
            <w:tcW w:w="102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w:t>
            </w:r>
          </w:p>
        </w:tc>
        <w:tc>
          <w:tcPr>
            <w:tcW w:w="102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w:t>
            </w: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w:t>
            </w: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w:t>
            </w:r>
          </w:p>
        </w:tc>
        <w:tc>
          <w:tcPr>
            <w:tcW w:w="89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w:t>
            </w:r>
          </w:p>
        </w:tc>
        <w:tc>
          <w:tcPr>
            <w:tcW w:w="893" w:type="dxa"/>
            <w:gridSpan w:val="3"/>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w:t>
            </w: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w:t>
            </w:r>
          </w:p>
        </w:tc>
        <w:tc>
          <w:tcPr>
            <w:tcW w:w="767"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w:t>
            </w:r>
          </w:p>
        </w:tc>
        <w:tc>
          <w:tcPr>
            <w:tcW w:w="639"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w:t>
            </w: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1</w:t>
            </w: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rPr>
            </w:pP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Proportion of acts condom protected</w:t>
            </w:r>
            <w:r w:rsidRPr="004130F0">
              <w:rPr>
                <w:rFonts w:eastAsia="Times New Roman" w:cs="Calibri"/>
                <w:color w:val="000000"/>
                <w:sz w:val="18"/>
                <w:szCs w:val="16"/>
                <w:vertAlign w:val="superscript"/>
              </w:rPr>
              <w:t>d</w:t>
            </w:r>
          </w:p>
        </w:tc>
        <w:tc>
          <w:tcPr>
            <w:tcW w:w="102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102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gridSpan w:val="3"/>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893"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gridSpan w:val="2"/>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639"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767"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p>
        </w:tc>
        <w:tc>
          <w:tcPr>
            <w:tcW w:w="665" w:type="dxa"/>
            <w:shd w:val="clear" w:color="auto" w:fill="auto"/>
            <w:noWrap/>
          </w:tcPr>
          <w:p w:rsidR="005F535C" w:rsidRPr="004130F0" w:rsidRDefault="005F535C" w:rsidP="00DE49A9">
            <w:pPr>
              <w:spacing w:after="0" w:line="240" w:lineRule="auto"/>
              <w:jc w:val="center"/>
              <w:rPr>
                <w:rFonts w:eastAsia="Times New Roman" w:cs="Calibri"/>
                <w:color w:val="000000"/>
                <w:sz w:val="14"/>
              </w:rPr>
            </w:pPr>
            <w:r w:rsidRPr="004130F0">
              <w:rPr>
                <w:rFonts w:eastAsia="Times New Roman" w:cs="Calibri"/>
                <w:color w:val="000000"/>
                <w:sz w:val="14"/>
              </w:rPr>
              <w:fldChar w:fldCharType="begin"/>
            </w:r>
            <w:r w:rsidRPr="004130F0">
              <w:rPr>
                <w:rFonts w:eastAsia="Times New Roman" w:cs="Calibri"/>
                <w:color w:val="000000"/>
                <w:sz w:val="14"/>
              </w:rPr>
              <w:instrText>ADDIN RW.CITE{{360 Reece,M. 2010}}</w:instrText>
            </w:r>
            <w:r w:rsidRPr="004130F0">
              <w:rPr>
                <w:rFonts w:eastAsia="Times New Roman" w:cs="Calibri"/>
                <w:color w:val="000000"/>
                <w:sz w:val="14"/>
              </w:rPr>
              <w:fldChar w:fldCharType="separate"/>
            </w:r>
            <w:r w:rsidRPr="00A04044">
              <w:rPr>
                <w:rFonts w:eastAsia="Times New Roman" w:cs="Calibri"/>
                <w:color w:val="000000"/>
                <w:sz w:val="14"/>
              </w:rPr>
              <w:t>(62)</w:t>
            </w:r>
            <w:r w:rsidRPr="004130F0">
              <w:rPr>
                <w:rFonts w:eastAsia="Times New Roman" w:cs="Calibri"/>
                <w:color w:val="000000"/>
                <w:sz w:val="14"/>
              </w:rPr>
              <w:fldChar w:fldCharType="end"/>
            </w: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HET Female</w:t>
            </w:r>
          </w:p>
        </w:tc>
        <w:tc>
          <w:tcPr>
            <w:tcW w:w="102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0.58</w:t>
            </w:r>
          </w:p>
        </w:tc>
        <w:tc>
          <w:tcPr>
            <w:tcW w:w="1023"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0.58</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0.39</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0.39</w:t>
            </w:r>
          </w:p>
        </w:tc>
        <w:tc>
          <w:tcPr>
            <w:tcW w:w="893"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0.27</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0.18</w:t>
            </w:r>
          </w:p>
        </w:tc>
        <w:tc>
          <w:tcPr>
            <w:tcW w:w="893" w:type="dxa"/>
            <w:gridSpan w:val="3"/>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0.18</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0.14</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0.14</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0.11</w:t>
            </w:r>
          </w:p>
        </w:tc>
        <w:tc>
          <w:tcPr>
            <w:tcW w:w="767"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0.11</w:t>
            </w:r>
          </w:p>
        </w:tc>
        <w:tc>
          <w:tcPr>
            <w:tcW w:w="639"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0.09</w:t>
            </w: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rPr>
            </w:pP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HET male</w:t>
            </w:r>
          </w:p>
        </w:tc>
        <w:tc>
          <w:tcPr>
            <w:tcW w:w="102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0.79</w:t>
            </w:r>
          </w:p>
        </w:tc>
        <w:tc>
          <w:tcPr>
            <w:tcW w:w="1023"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0.79</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0.45</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0.45</w:t>
            </w:r>
          </w:p>
        </w:tc>
        <w:tc>
          <w:tcPr>
            <w:tcW w:w="893"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0.28</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0.26</w:t>
            </w:r>
          </w:p>
        </w:tc>
        <w:tc>
          <w:tcPr>
            <w:tcW w:w="893" w:type="dxa"/>
            <w:gridSpan w:val="3"/>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0.26</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0.21</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0.21</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w:t>
            </w:r>
          </w:p>
        </w:tc>
        <w:tc>
          <w:tcPr>
            <w:tcW w:w="767"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w:t>
            </w:r>
          </w:p>
        </w:tc>
        <w:tc>
          <w:tcPr>
            <w:tcW w:w="639"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0.06</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0.06</w:t>
            </w: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rPr>
            </w:pPr>
          </w:p>
        </w:tc>
      </w:tr>
      <w:tr w:rsidR="005F535C" w:rsidRPr="004130F0" w:rsidTr="00DE49A9">
        <w:trPr>
          <w:gridAfter w:val="1"/>
          <w:wAfter w:w="16" w:type="dxa"/>
          <w:trHeight w:val="393"/>
          <w:jc w:val="center"/>
        </w:trPr>
        <w:tc>
          <w:tcPr>
            <w:tcW w:w="1942"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MSM</w:t>
            </w:r>
          </w:p>
        </w:tc>
        <w:tc>
          <w:tcPr>
            <w:tcW w:w="102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0.79</w:t>
            </w:r>
          </w:p>
        </w:tc>
        <w:tc>
          <w:tcPr>
            <w:tcW w:w="1023"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0.79</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0.45</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0.45</w:t>
            </w:r>
          </w:p>
        </w:tc>
        <w:tc>
          <w:tcPr>
            <w:tcW w:w="893"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0.28</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0.26</w:t>
            </w:r>
          </w:p>
        </w:tc>
        <w:tc>
          <w:tcPr>
            <w:tcW w:w="893" w:type="dxa"/>
            <w:gridSpan w:val="3"/>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0.26</w:t>
            </w:r>
          </w:p>
        </w:tc>
        <w:tc>
          <w:tcPr>
            <w:tcW w:w="893"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0.21</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0.21</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w:t>
            </w:r>
          </w:p>
        </w:tc>
        <w:tc>
          <w:tcPr>
            <w:tcW w:w="767" w:type="dxa"/>
            <w:gridSpan w:val="2"/>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0.1</w:t>
            </w:r>
          </w:p>
        </w:tc>
        <w:tc>
          <w:tcPr>
            <w:tcW w:w="639"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0.06</w:t>
            </w:r>
          </w:p>
        </w:tc>
        <w:tc>
          <w:tcPr>
            <w:tcW w:w="767" w:type="dxa"/>
            <w:shd w:val="clear" w:color="auto" w:fill="auto"/>
            <w:noWrap/>
            <w:vAlign w:val="center"/>
            <w:hideMark/>
          </w:tcPr>
          <w:p w:rsidR="005F535C" w:rsidRPr="004130F0" w:rsidRDefault="005F535C" w:rsidP="00DE49A9">
            <w:pPr>
              <w:spacing w:after="0" w:line="240" w:lineRule="auto"/>
              <w:jc w:val="center"/>
              <w:rPr>
                <w:rFonts w:eastAsia="Times New Roman" w:cs="Calibri"/>
                <w:color w:val="000000"/>
                <w:sz w:val="14"/>
                <w:szCs w:val="16"/>
              </w:rPr>
            </w:pPr>
            <w:r w:rsidRPr="004130F0">
              <w:rPr>
                <w:rFonts w:eastAsia="Times New Roman" w:cs="Calibri"/>
                <w:color w:val="000000"/>
                <w:sz w:val="14"/>
                <w:szCs w:val="16"/>
              </w:rPr>
              <w:t>0.06</w:t>
            </w:r>
          </w:p>
        </w:tc>
        <w:tc>
          <w:tcPr>
            <w:tcW w:w="665" w:type="dxa"/>
            <w:shd w:val="clear" w:color="auto" w:fill="auto"/>
            <w:noWrap/>
            <w:hideMark/>
          </w:tcPr>
          <w:p w:rsidR="005F535C" w:rsidRPr="004130F0" w:rsidRDefault="005F535C" w:rsidP="00DE49A9">
            <w:pPr>
              <w:spacing w:after="0" w:line="240" w:lineRule="auto"/>
              <w:jc w:val="center"/>
              <w:rPr>
                <w:rFonts w:eastAsia="Times New Roman" w:cs="Calibri"/>
                <w:color w:val="000000"/>
                <w:sz w:val="14"/>
              </w:rPr>
            </w:pPr>
          </w:p>
        </w:tc>
      </w:tr>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b/>
                <w:bCs/>
                <w:color w:val="000000"/>
              </w:rPr>
            </w:pPr>
            <w:r w:rsidRPr="004130F0">
              <w:rPr>
                <w:rFonts w:eastAsia="Times New Roman" w:cs="Calibri"/>
                <w:b/>
                <w:bCs/>
                <w:color w:val="000000"/>
                <w:sz w:val="20"/>
              </w:rPr>
              <w:t>Other parameters for heterosexuals</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rPr>
            </w:pP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Source</w:t>
            </w:r>
          </w:p>
        </w:tc>
      </w:tr>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Reduction in unprotected acts when aware</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53%</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RW.CITE{{40 Marks,G. 2006}}</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(63)</w:t>
            </w:r>
            <w:r w:rsidRPr="004130F0">
              <w:rPr>
                <w:rFonts w:eastAsia="Times New Roman" w:cs="Calibri"/>
                <w:color w:val="000000"/>
                <w:sz w:val="16"/>
                <w:szCs w:val="16"/>
              </w:rPr>
              <w:fldChar w:fldCharType="end"/>
            </w:r>
            <w:r w:rsidRPr="004130F0">
              <w:rPr>
                <w:rFonts w:eastAsia="Times New Roman" w:cs="Calibri"/>
                <w:color w:val="000000"/>
                <w:sz w:val="16"/>
                <w:szCs w:val="16"/>
              </w:rPr>
              <w:t xml:space="preserve"> </w:t>
            </w:r>
          </w:p>
        </w:tc>
      </w:tr>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Proportion with concurrent partners</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9%-male</w:t>
            </w:r>
          </w:p>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8.3%-female</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RW.CITE{{163 Doherty,I.A. 2009; 164 Adimora,A.A. 2007}}</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(64,65)</w:t>
            </w:r>
            <w:r w:rsidRPr="004130F0">
              <w:rPr>
                <w:rFonts w:eastAsia="Times New Roman" w:cs="Calibri"/>
                <w:color w:val="000000"/>
                <w:sz w:val="16"/>
                <w:szCs w:val="16"/>
              </w:rPr>
              <w:fldChar w:fldCharType="end"/>
            </w:r>
          </w:p>
        </w:tc>
      </w:tr>
      <w:tr w:rsidR="005F535C" w:rsidRPr="004130F0" w:rsidTr="00DE49A9">
        <w:trPr>
          <w:trHeight w:val="393"/>
          <w:jc w:val="center"/>
        </w:trPr>
        <w:tc>
          <w:tcPr>
            <w:tcW w:w="6165" w:type="dxa"/>
            <w:gridSpan w:val="7"/>
            <w:shd w:val="clear" w:color="auto" w:fill="auto"/>
            <w:noWrap/>
            <w:hideMark/>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Distribution of duration for concurrency</w:t>
            </w:r>
          </w:p>
        </w:tc>
        <w:tc>
          <w:tcPr>
            <w:tcW w:w="1733" w:type="dxa"/>
            <w:gridSpan w:val="4"/>
            <w:shd w:val="clear" w:color="auto" w:fill="auto"/>
            <w:noWrap/>
            <w:hideMark/>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Duration (months)</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Proportion</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RW.CITE{{163 Doherty,I.A. 2009; 164 Adimora,A.A. 2007}}</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(64,65)</w:t>
            </w:r>
            <w:r w:rsidRPr="004130F0">
              <w:rPr>
                <w:rFonts w:eastAsia="Times New Roman" w:cs="Calibri"/>
                <w:color w:val="000000"/>
                <w:sz w:val="16"/>
                <w:szCs w:val="16"/>
              </w:rPr>
              <w:fldChar w:fldCharType="end"/>
            </w:r>
          </w:p>
        </w:tc>
      </w:tr>
      <w:tr w:rsidR="005F535C" w:rsidRPr="004130F0" w:rsidTr="00DE49A9">
        <w:trPr>
          <w:trHeight w:val="393"/>
          <w:jc w:val="center"/>
        </w:trPr>
        <w:tc>
          <w:tcPr>
            <w:tcW w:w="6165" w:type="dxa"/>
            <w:gridSpan w:val="7"/>
            <w:shd w:val="clear" w:color="auto" w:fill="auto"/>
            <w:noWrap/>
            <w:hideMark/>
          </w:tcPr>
          <w:p w:rsidR="005F535C" w:rsidRPr="004130F0" w:rsidRDefault="005F535C" w:rsidP="00DE49A9">
            <w:pPr>
              <w:spacing w:after="0" w:line="240" w:lineRule="auto"/>
              <w:jc w:val="center"/>
              <w:rPr>
                <w:rFonts w:eastAsia="Times New Roman" w:cs="Calibri"/>
                <w:color w:val="000000"/>
              </w:rPr>
            </w:pPr>
          </w:p>
        </w:tc>
        <w:tc>
          <w:tcPr>
            <w:tcW w:w="1733" w:type="dxa"/>
            <w:gridSpan w:val="4"/>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&lt;1</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0.31</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6165" w:type="dxa"/>
            <w:gridSpan w:val="7"/>
            <w:shd w:val="clear" w:color="auto" w:fill="auto"/>
            <w:noWrap/>
            <w:hideMark/>
          </w:tcPr>
          <w:p w:rsidR="005F535C" w:rsidRPr="004130F0" w:rsidRDefault="005F535C" w:rsidP="00DE49A9">
            <w:pPr>
              <w:spacing w:after="0" w:line="240" w:lineRule="auto"/>
              <w:jc w:val="center"/>
              <w:rPr>
                <w:rFonts w:eastAsia="Times New Roman" w:cs="Calibri"/>
                <w:color w:val="000000"/>
              </w:rPr>
            </w:pPr>
          </w:p>
        </w:tc>
        <w:tc>
          <w:tcPr>
            <w:tcW w:w="1733" w:type="dxa"/>
            <w:gridSpan w:val="4"/>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1 - 3</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0.19</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6165" w:type="dxa"/>
            <w:gridSpan w:val="7"/>
            <w:shd w:val="clear" w:color="auto" w:fill="auto"/>
            <w:noWrap/>
            <w:hideMark/>
          </w:tcPr>
          <w:p w:rsidR="005F535C" w:rsidRPr="004130F0" w:rsidRDefault="005F535C" w:rsidP="00DE49A9">
            <w:pPr>
              <w:spacing w:after="0" w:line="240" w:lineRule="auto"/>
              <w:jc w:val="center"/>
              <w:rPr>
                <w:rFonts w:eastAsia="Times New Roman" w:cs="Calibri"/>
                <w:color w:val="000000"/>
              </w:rPr>
            </w:pPr>
          </w:p>
        </w:tc>
        <w:tc>
          <w:tcPr>
            <w:tcW w:w="1733" w:type="dxa"/>
            <w:gridSpan w:val="4"/>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4 - 6</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0.11</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6165" w:type="dxa"/>
            <w:gridSpan w:val="7"/>
            <w:shd w:val="clear" w:color="auto" w:fill="auto"/>
            <w:noWrap/>
            <w:hideMark/>
          </w:tcPr>
          <w:p w:rsidR="005F535C" w:rsidRPr="004130F0" w:rsidRDefault="005F535C" w:rsidP="00DE49A9">
            <w:pPr>
              <w:spacing w:after="0" w:line="240" w:lineRule="auto"/>
              <w:jc w:val="center"/>
              <w:rPr>
                <w:rFonts w:eastAsia="Times New Roman" w:cs="Calibri"/>
                <w:color w:val="000000"/>
              </w:rPr>
            </w:pPr>
          </w:p>
        </w:tc>
        <w:tc>
          <w:tcPr>
            <w:tcW w:w="1733" w:type="dxa"/>
            <w:gridSpan w:val="4"/>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7 - 9</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0.09</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6165" w:type="dxa"/>
            <w:gridSpan w:val="7"/>
            <w:shd w:val="clear" w:color="auto" w:fill="auto"/>
            <w:noWrap/>
            <w:hideMark/>
          </w:tcPr>
          <w:p w:rsidR="005F535C" w:rsidRPr="004130F0" w:rsidRDefault="005F535C" w:rsidP="00DE49A9">
            <w:pPr>
              <w:spacing w:after="0" w:line="240" w:lineRule="auto"/>
              <w:jc w:val="center"/>
              <w:rPr>
                <w:rFonts w:eastAsia="Times New Roman" w:cs="Calibri"/>
                <w:color w:val="000000"/>
              </w:rPr>
            </w:pPr>
          </w:p>
        </w:tc>
        <w:tc>
          <w:tcPr>
            <w:tcW w:w="1733" w:type="dxa"/>
            <w:gridSpan w:val="4"/>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10 - 12</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0.04</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6165" w:type="dxa"/>
            <w:gridSpan w:val="7"/>
            <w:shd w:val="clear" w:color="auto" w:fill="auto"/>
            <w:noWrap/>
            <w:hideMark/>
          </w:tcPr>
          <w:p w:rsidR="005F535C" w:rsidRPr="004130F0" w:rsidRDefault="005F535C" w:rsidP="00DE49A9">
            <w:pPr>
              <w:spacing w:after="0" w:line="240" w:lineRule="auto"/>
              <w:jc w:val="center"/>
              <w:rPr>
                <w:rFonts w:eastAsia="Times New Roman" w:cs="Calibri"/>
                <w:color w:val="000000"/>
              </w:rPr>
            </w:pPr>
          </w:p>
        </w:tc>
        <w:tc>
          <w:tcPr>
            <w:tcW w:w="1733" w:type="dxa"/>
            <w:gridSpan w:val="4"/>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13 - 15</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0.03</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6165" w:type="dxa"/>
            <w:gridSpan w:val="7"/>
            <w:shd w:val="clear" w:color="auto" w:fill="auto"/>
            <w:noWrap/>
            <w:hideMark/>
          </w:tcPr>
          <w:p w:rsidR="005F535C" w:rsidRPr="004130F0" w:rsidRDefault="005F535C" w:rsidP="00DE49A9">
            <w:pPr>
              <w:spacing w:after="0" w:line="240" w:lineRule="auto"/>
              <w:jc w:val="center"/>
              <w:rPr>
                <w:rFonts w:eastAsia="Times New Roman" w:cs="Calibri"/>
                <w:color w:val="000000"/>
              </w:rPr>
            </w:pPr>
          </w:p>
        </w:tc>
        <w:tc>
          <w:tcPr>
            <w:tcW w:w="1733" w:type="dxa"/>
            <w:gridSpan w:val="4"/>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16 - 18</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0.02</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6165" w:type="dxa"/>
            <w:gridSpan w:val="7"/>
            <w:shd w:val="clear" w:color="auto" w:fill="auto"/>
            <w:noWrap/>
            <w:hideMark/>
          </w:tcPr>
          <w:p w:rsidR="005F535C" w:rsidRPr="004130F0" w:rsidRDefault="005F535C" w:rsidP="00DE49A9">
            <w:pPr>
              <w:spacing w:after="0" w:line="240" w:lineRule="auto"/>
              <w:jc w:val="center"/>
              <w:rPr>
                <w:rFonts w:eastAsia="Times New Roman" w:cs="Calibri"/>
                <w:color w:val="000000"/>
              </w:rPr>
            </w:pPr>
          </w:p>
        </w:tc>
        <w:tc>
          <w:tcPr>
            <w:tcW w:w="1733" w:type="dxa"/>
            <w:gridSpan w:val="4"/>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19 - 24</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0.05</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6165" w:type="dxa"/>
            <w:gridSpan w:val="7"/>
            <w:shd w:val="clear" w:color="auto" w:fill="auto"/>
            <w:noWrap/>
            <w:hideMark/>
          </w:tcPr>
          <w:p w:rsidR="005F535C" w:rsidRPr="004130F0" w:rsidRDefault="005F535C" w:rsidP="00DE49A9">
            <w:pPr>
              <w:spacing w:after="0" w:line="240" w:lineRule="auto"/>
              <w:jc w:val="center"/>
              <w:rPr>
                <w:rFonts w:eastAsia="Times New Roman" w:cs="Calibri"/>
                <w:color w:val="000000"/>
              </w:rPr>
            </w:pPr>
          </w:p>
        </w:tc>
        <w:tc>
          <w:tcPr>
            <w:tcW w:w="1733" w:type="dxa"/>
            <w:gridSpan w:val="4"/>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25 - 36</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0.05</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6165" w:type="dxa"/>
            <w:gridSpan w:val="7"/>
            <w:shd w:val="clear" w:color="auto" w:fill="auto"/>
            <w:noWrap/>
            <w:hideMark/>
          </w:tcPr>
          <w:p w:rsidR="005F535C" w:rsidRPr="004130F0" w:rsidRDefault="005F535C" w:rsidP="00DE49A9">
            <w:pPr>
              <w:spacing w:after="0" w:line="240" w:lineRule="auto"/>
              <w:jc w:val="center"/>
              <w:rPr>
                <w:rFonts w:eastAsia="Times New Roman" w:cs="Calibri"/>
                <w:color w:val="000000"/>
              </w:rPr>
            </w:pPr>
          </w:p>
        </w:tc>
        <w:tc>
          <w:tcPr>
            <w:tcW w:w="1733" w:type="dxa"/>
            <w:gridSpan w:val="4"/>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&gt;=37</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0.10</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11448" w:type="dxa"/>
            <w:gridSpan w:val="16"/>
            <w:shd w:val="clear" w:color="auto" w:fill="auto"/>
            <w:noWrap/>
            <w:hideMark/>
          </w:tcPr>
          <w:p w:rsidR="005F535C" w:rsidRPr="004130F0" w:rsidRDefault="005F535C" w:rsidP="00DE49A9">
            <w:pPr>
              <w:spacing w:after="0" w:line="240" w:lineRule="auto"/>
              <w:rPr>
                <w:rFonts w:eastAsia="Times New Roman" w:cs="Calibri"/>
                <w:b/>
                <w:bCs/>
                <w:color w:val="000000"/>
              </w:rPr>
            </w:pPr>
            <w:r w:rsidRPr="004130F0">
              <w:rPr>
                <w:rFonts w:eastAsia="Times New Roman" w:cs="Calibri"/>
                <w:b/>
                <w:bCs/>
                <w:color w:val="000000"/>
                <w:sz w:val="20"/>
              </w:rPr>
              <w:t>Other parameters for</w:t>
            </w:r>
            <w:r w:rsidRPr="004130F0">
              <w:rPr>
                <w:rFonts w:eastAsia="Times New Roman" w:cs="Calibri"/>
                <w:b/>
                <w:bCs/>
                <w:color w:val="000000"/>
                <w:sz w:val="18"/>
                <w:szCs w:val="20"/>
              </w:rPr>
              <w:t xml:space="preserve"> men who have sex with men (MSM)</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color w:val="000000"/>
              </w:rPr>
            </w:pPr>
            <w:r w:rsidRPr="004130F0">
              <w:rPr>
                <w:rFonts w:eastAsia="Times New Roman" w:cs="Calibri"/>
                <w:color w:val="000000"/>
                <w:sz w:val="16"/>
                <w:szCs w:val="16"/>
              </w:rPr>
              <w:t>Serosorting if aware</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15%</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RW.CITE{{366 Marks,Gary 2010; 367 McFarland,W. 2012; 368 McFarland,W. 2011}}</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(37-39)</w:t>
            </w:r>
            <w:r w:rsidRPr="004130F0">
              <w:rPr>
                <w:rFonts w:eastAsia="Times New Roman" w:cs="Calibri"/>
                <w:color w:val="000000"/>
                <w:sz w:val="16"/>
                <w:szCs w:val="16"/>
              </w:rPr>
              <w:fldChar w:fldCharType="end"/>
            </w:r>
            <w:r w:rsidRPr="004130F0">
              <w:rPr>
                <w:rFonts w:eastAsia="Times New Roman" w:cs="Calibri"/>
                <w:color w:val="000000"/>
                <w:sz w:val="16"/>
                <w:szCs w:val="16"/>
              </w:rPr>
              <w:t xml:space="preserve"> </w:t>
            </w:r>
          </w:p>
        </w:tc>
      </w:tr>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color w:val="000000"/>
              </w:rPr>
            </w:pPr>
            <w:r w:rsidRPr="004130F0">
              <w:rPr>
                <w:rFonts w:eastAsia="Times New Roman" w:cs="Calibri"/>
                <w:color w:val="000000"/>
                <w:sz w:val="16"/>
                <w:szCs w:val="16"/>
              </w:rPr>
              <w:t>Reduction in unprotected acts when aware</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53%</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RW.CITE{{40 Marks,G. 2006}}</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(63)</w:t>
            </w:r>
            <w:r w:rsidRPr="004130F0">
              <w:rPr>
                <w:rFonts w:eastAsia="Times New Roman" w:cs="Calibri"/>
                <w:color w:val="000000"/>
                <w:sz w:val="16"/>
                <w:szCs w:val="16"/>
              </w:rPr>
              <w:fldChar w:fldCharType="end"/>
            </w:r>
          </w:p>
        </w:tc>
      </w:tr>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lastRenderedPageBreak/>
              <w:t>Proportion of MSM who have casual partners</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56%</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RW.CITE{{291 Rosenberg,E.S. 2011; 365 Voetsch,A.C. 2012}}</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(35,54)</w:t>
            </w:r>
            <w:r w:rsidRPr="004130F0">
              <w:rPr>
                <w:rFonts w:eastAsia="Times New Roman" w:cs="Calibri"/>
                <w:color w:val="000000"/>
                <w:sz w:val="16"/>
                <w:szCs w:val="16"/>
              </w:rPr>
              <w:fldChar w:fldCharType="end"/>
            </w:r>
            <w:r w:rsidRPr="004130F0">
              <w:rPr>
                <w:rFonts w:eastAsia="Times New Roman" w:cs="Calibri"/>
                <w:color w:val="000000"/>
                <w:sz w:val="16"/>
                <w:szCs w:val="16"/>
              </w:rPr>
              <w:t xml:space="preserve"> </w:t>
            </w:r>
          </w:p>
        </w:tc>
      </w:tr>
      <w:tr w:rsidR="005F535C" w:rsidRPr="004130F0" w:rsidTr="00DE49A9">
        <w:trPr>
          <w:trHeight w:val="393"/>
          <w:jc w:val="center"/>
        </w:trPr>
        <w:tc>
          <w:tcPr>
            <w:tcW w:w="7898" w:type="dxa"/>
            <w:gridSpan w:val="11"/>
            <w:shd w:val="clear" w:color="auto" w:fill="auto"/>
            <w:noWrap/>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Proportion of MSM having only main partners</w:t>
            </w:r>
          </w:p>
        </w:tc>
        <w:tc>
          <w:tcPr>
            <w:tcW w:w="3550" w:type="dxa"/>
            <w:gridSpan w:val="5"/>
            <w:shd w:val="clear" w:color="auto" w:fill="auto"/>
            <w:noWrap/>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44%</w:t>
            </w:r>
          </w:p>
        </w:tc>
        <w:tc>
          <w:tcPr>
            <w:tcW w:w="2160" w:type="dxa"/>
            <w:gridSpan w:val="5"/>
            <w:shd w:val="clear" w:color="auto" w:fill="auto"/>
            <w:noWrap/>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RW.CITE{{291 Rosenberg,E.S. 2011; 365 Voetsch,A.C. 2012}}</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(35,54)</w:t>
            </w:r>
            <w:r w:rsidRPr="004130F0">
              <w:rPr>
                <w:rFonts w:eastAsia="Times New Roman" w:cs="Calibri"/>
                <w:color w:val="000000"/>
                <w:sz w:val="16"/>
                <w:szCs w:val="16"/>
              </w:rPr>
              <w:fldChar w:fldCharType="end"/>
            </w:r>
          </w:p>
        </w:tc>
      </w:tr>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Proportion of MSM who have only casual partners and no main partners</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41%</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RW.CITE{{291 Rosenberg,E.S. 2011; 365 Voetsch,A.C. 2012}}</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(35,54)</w:t>
            </w:r>
            <w:r w:rsidRPr="004130F0">
              <w:rPr>
                <w:rFonts w:eastAsia="Times New Roman" w:cs="Calibri"/>
                <w:color w:val="000000"/>
                <w:sz w:val="16"/>
                <w:szCs w:val="16"/>
              </w:rPr>
              <w:fldChar w:fldCharType="end"/>
            </w:r>
          </w:p>
        </w:tc>
      </w:tr>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color w:val="000000"/>
              </w:rPr>
            </w:pPr>
            <w:r w:rsidRPr="004130F0">
              <w:rPr>
                <w:rFonts w:eastAsia="Times New Roman" w:cs="Calibri"/>
                <w:color w:val="000000"/>
                <w:sz w:val="16"/>
                <w:szCs w:val="16"/>
              </w:rPr>
              <w:t>Min, Median, Max number of casual partners per year</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rPr>
            </w:pP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RW.CITE{{291 Rosenberg,E.S. 2011; 365 Voetsch,A.C. 2012}}</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(35,54)</w:t>
            </w:r>
            <w:r w:rsidRPr="004130F0">
              <w:rPr>
                <w:rFonts w:eastAsia="Times New Roman" w:cs="Calibri"/>
                <w:color w:val="000000"/>
                <w:sz w:val="16"/>
                <w:szCs w:val="16"/>
              </w:rPr>
              <w:fldChar w:fldCharType="end"/>
            </w:r>
          </w:p>
        </w:tc>
      </w:tr>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color w:val="000000"/>
              </w:rPr>
            </w:pPr>
            <w:r w:rsidRPr="004130F0">
              <w:rPr>
                <w:rFonts w:eastAsia="Times New Roman" w:cs="Calibri"/>
                <w:color w:val="000000"/>
                <w:sz w:val="16"/>
                <w:szCs w:val="16"/>
              </w:rPr>
              <w:t>If has both casual and main partner</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0, 2, 6</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color w:val="000000"/>
              </w:rPr>
            </w:pPr>
            <w:r w:rsidRPr="004130F0">
              <w:rPr>
                <w:rFonts w:eastAsia="Times New Roman" w:cs="Calibri"/>
                <w:color w:val="000000"/>
                <w:sz w:val="16"/>
                <w:szCs w:val="16"/>
              </w:rPr>
              <w:t>If only casual partner</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1, 5,10</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Number of sex acts with each casual partner</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1 to 4</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Assumption</w:t>
            </w:r>
          </w:p>
        </w:tc>
      </w:tr>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Proportion of anal sex acts insertive (receptive)</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50% (50%)</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Assumption</w:t>
            </w:r>
          </w:p>
        </w:tc>
      </w:tr>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Proportion of MSM aware of their HIV status using condoms for 100% of sex acts</w:t>
            </w:r>
            <w:r w:rsidRPr="004130F0">
              <w:rPr>
                <w:rFonts w:eastAsia="Times New Roman" w:cs="Calibri"/>
                <w:color w:val="000000"/>
                <w:szCs w:val="16"/>
                <w:vertAlign w:val="superscript"/>
              </w:rPr>
              <w:t>e</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0.18</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RW.CITE{{367 McFarland,W. 2012}}</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(38)</w:t>
            </w:r>
            <w:r w:rsidRPr="004130F0">
              <w:rPr>
                <w:rFonts w:eastAsia="Times New Roman" w:cs="Calibri"/>
                <w:color w:val="000000"/>
                <w:sz w:val="16"/>
                <w:szCs w:val="16"/>
              </w:rPr>
              <w:fldChar w:fldCharType="end"/>
            </w:r>
          </w:p>
        </w:tc>
      </w:tr>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Proportion of MSM unaware of their HIV status using condoms with their casual partners</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rPr>
            </w:pP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RW.CITE{{261 Finlayson,T.J. 2011}}</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(55)</w:t>
            </w:r>
            <w:r w:rsidRPr="004130F0">
              <w:rPr>
                <w:rFonts w:eastAsia="Times New Roman" w:cs="Calibri"/>
                <w:color w:val="000000"/>
                <w:sz w:val="16"/>
                <w:szCs w:val="16"/>
              </w:rPr>
              <w:fldChar w:fldCharType="end"/>
            </w:r>
            <w:r w:rsidRPr="004130F0">
              <w:rPr>
                <w:rFonts w:eastAsia="Times New Roman" w:cs="Calibri"/>
                <w:color w:val="000000"/>
                <w:sz w:val="16"/>
                <w:szCs w:val="16"/>
              </w:rPr>
              <w:t xml:space="preserve"> </w:t>
            </w:r>
          </w:p>
        </w:tc>
      </w:tr>
      <w:tr w:rsidR="005F535C" w:rsidRPr="004130F0" w:rsidTr="00DE49A9">
        <w:trPr>
          <w:trHeight w:val="393"/>
          <w:jc w:val="center"/>
        </w:trPr>
        <w:tc>
          <w:tcPr>
            <w:tcW w:w="6165" w:type="dxa"/>
            <w:gridSpan w:val="7"/>
            <w:shd w:val="clear" w:color="auto" w:fill="auto"/>
            <w:noWrap/>
            <w:hideMark/>
          </w:tcPr>
          <w:p w:rsidR="005F535C" w:rsidRPr="004130F0" w:rsidRDefault="005F535C" w:rsidP="00DE49A9">
            <w:pPr>
              <w:spacing w:after="0" w:line="240" w:lineRule="auto"/>
              <w:rPr>
                <w:rFonts w:eastAsia="Times New Roman" w:cs="Calibri"/>
                <w:color w:val="000000"/>
              </w:rPr>
            </w:pPr>
          </w:p>
        </w:tc>
        <w:tc>
          <w:tcPr>
            <w:tcW w:w="1733" w:type="dxa"/>
            <w:gridSpan w:val="4"/>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Age</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Proportion</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6165" w:type="dxa"/>
            <w:gridSpan w:val="7"/>
            <w:shd w:val="clear" w:color="auto" w:fill="auto"/>
            <w:noWrap/>
            <w:hideMark/>
          </w:tcPr>
          <w:p w:rsidR="005F535C" w:rsidRPr="004130F0" w:rsidRDefault="005F535C" w:rsidP="00DE49A9">
            <w:pPr>
              <w:spacing w:after="0" w:line="240" w:lineRule="auto"/>
              <w:rPr>
                <w:rFonts w:eastAsia="Times New Roman" w:cs="Calibri"/>
                <w:color w:val="000000"/>
              </w:rPr>
            </w:pPr>
          </w:p>
        </w:tc>
        <w:tc>
          <w:tcPr>
            <w:tcW w:w="1733" w:type="dxa"/>
            <w:gridSpan w:val="4"/>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&lt;=24</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0.57</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6165" w:type="dxa"/>
            <w:gridSpan w:val="7"/>
            <w:shd w:val="clear" w:color="auto" w:fill="auto"/>
            <w:noWrap/>
            <w:hideMark/>
          </w:tcPr>
          <w:p w:rsidR="005F535C" w:rsidRPr="004130F0" w:rsidRDefault="005F535C" w:rsidP="00DE49A9">
            <w:pPr>
              <w:spacing w:after="0" w:line="240" w:lineRule="auto"/>
              <w:rPr>
                <w:rFonts w:eastAsia="Times New Roman" w:cs="Calibri"/>
                <w:color w:val="000000"/>
              </w:rPr>
            </w:pPr>
          </w:p>
        </w:tc>
        <w:tc>
          <w:tcPr>
            <w:tcW w:w="1733" w:type="dxa"/>
            <w:gridSpan w:val="4"/>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25-39</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0.54</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6165" w:type="dxa"/>
            <w:gridSpan w:val="7"/>
            <w:shd w:val="clear" w:color="auto" w:fill="auto"/>
            <w:noWrap/>
            <w:hideMark/>
          </w:tcPr>
          <w:p w:rsidR="005F535C" w:rsidRPr="004130F0" w:rsidRDefault="005F535C" w:rsidP="00DE49A9">
            <w:pPr>
              <w:spacing w:after="0" w:line="240" w:lineRule="auto"/>
              <w:rPr>
                <w:rFonts w:eastAsia="Times New Roman" w:cs="Calibri"/>
                <w:color w:val="000000"/>
              </w:rPr>
            </w:pPr>
          </w:p>
        </w:tc>
        <w:tc>
          <w:tcPr>
            <w:tcW w:w="1733" w:type="dxa"/>
            <w:gridSpan w:val="4"/>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40-49</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0.53</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6165" w:type="dxa"/>
            <w:gridSpan w:val="7"/>
            <w:shd w:val="clear" w:color="auto" w:fill="auto"/>
            <w:noWrap/>
            <w:hideMark/>
          </w:tcPr>
          <w:p w:rsidR="005F535C" w:rsidRPr="004130F0" w:rsidRDefault="005F535C" w:rsidP="00DE49A9">
            <w:pPr>
              <w:spacing w:after="0" w:line="240" w:lineRule="auto"/>
              <w:rPr>
                <w:rFonts w:eastAsia="Times New Roman" w:cs="Calibri"/>
                <w:color w:val="000000"/>
              </w:rPr>
            </w:pPr>
          </w:p>
        </w:tc>
        <w:tc>
          <w:tcPr>
            <w:tcW w:w="1733" w:type="dxa"/>
            <w:gridSpan w:val="4"/>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&gt;=50</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0.52</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p>
        </w:tc>
      </w:tr>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color w:val="000000"/>
              </w:rPr>
            </w:pPr>
            <w:bookmarkStart w:id="6" w:name="_Hlk483837603"/>
            <w:r w:rsidRPr="004130F0">
              <w:rPr>
                <w:rFonts w:eastAsia="Times New Roman" w:cs="Calibri"/>
                <w:color w:val="000000"/>
                <w:sz w:val="16"/>
                <w:szCs w:val="16"/>
              </w:rPr>
              <w:t>Proportion of HIV-infected MSM who have sex with women (MSMW)</w:t>
            </w:r>
            <w:r w:rsidRPr="004130F0">
              <w:rPr>
                <w:rFonts w:eastAsia="Times New Roman" w:cs="Calibri"/>
                <w:color w:val="000000"/>
                <w:szCs w:val="16"/>
                <w:vertAlign w:val="superscript"/>
              </w:rPr>
              <w:t xml:space="preserve"> </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21%</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RW.CITE{{291 Rosenberg,E.S. 2011; 365 Voetsch,A.C. 2012; 261 Finlayson,T.J. 2011; 568 Friedman,M.R. 2014}}</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(35,54-56)</w:t>
            </w:r>
            <w:r w:rsidRPr="004130F0">
              <w:rPr>
                <w:rFonts w:eastAsia="Times New Roman" w:cs="Calibri"/>
                <w:color w:val="000000"/>
                <w:sz w:val="16"/>
                <w:szCs w:val="16"/>
              </w:rPr>
              <w:fldChar w:fldCharType="end"/>
            </w:r>
            <w:r w:rsidRPr="004130F0">
              <w:rPr>
                <w:rFonts w:eastAsia="Times New Roman" w:cs="Calibri"/>
                <w:color w:val="000000"/>
                <w:sz w:val="16"/>
                <w:szCs w:val="16"/>
              </w:rPr>
              <w:t xml:space="preserve"> </w:t>
            </w:r>
          </w:p>
        </w:tc>
      </w:tr>
      <w:bookmarkEnd w:id="6"/>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color w:val="000000"/>
              </w:rPr>
            </w:pPr>
            <w:r w:rsidRPr="004130F0">
              <w:rPr>
                <w:rFonts w:eastAsia="Times New Roman" w:cs="Calibri"/>
                <w:color w:val="000000"/>
                <w:sz w:val="16"/>
                <w:szCs w:val="16"/>
              </w:rPr>
              <w:t>Proportion of sex acts with female of MSMW</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80%</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calibration</w:t>
            </w:r>
          </w:p>
        </w:tc>
      </w:tr>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color w:val="000000"/>
              </w:rPr>
            </w:pPr>
            <w:r w:rsidRPr="004130F0">
              <w:rPr>
                <w:rFonts w:eastAsia="Times New Roman" w:cs="Calibri"/>
                <w:color w:val="000000"/>
                <w:sz w:val="16"/>
                <w:szCs w:val="16"/>
              </w:rPr>
              <w:t>Proportion of anal acts with female of MSMW</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50%</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calibration</w:t>
            </w:r>
          </w:p>
        </w:tc>
      </w:tr>
      <w:tr w:rsidR="005F535C" w:rsidRPr="004130F0" w:rsidTr="00DE49A9">
        <w:trPr>
          <w:trHeight w:val="393"/>
          <w:jc w:val="center"/>
        </w:trPr>
        <w:tc>
          <w:tcPr>
            <w:tcW w:w="7898" w:type="dxa"/>
            <w:gridSpan w:val="11"/>
            <w:shd w:val="clear" w:color="auto" w:fill="auto"/>
            <w:noWrap/>
            <w:hideMark/>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Proportion of MSM who have concurrent partners</w:t>
            </w:r>
          </w:p>
        </w:tc>
        <w:tc>
          <w:tcPr>
            <w:tcW w:w="355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52%</w:t>
            </w:r>
          </w:p>
        </w:tc>
        <w:tc>
          <w:tcPr>
            <w:tcW w:w="2160" w:type="dxa"/>
            <w:gridSpan w:val="5"/>
            <w:shd w:val="clear" w:color="auto" w:fill="auto"/>
            <w:noWrap/>
            <w:hideMark/>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RW.CITE{{162 Oster,A.M. 2011}}</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(36)</w:t>
            </w:r>
            <w:r w:rsidRPr="004130F0">
              <w:rPr>
                <w:rFonts w:eastAsia="Times New Roman" w:cs="Calibri"/>
                <w:color w:val="000000"/>
                <w:sz w:val="16"/>
                <w:szCs w:val="16"/>
              </w:rPr>
              <w:fldChar w:fldCharType="end"/>
            </w:r>
          </w:p>
        </w:tc>
      </w:tr>
      <w:tr w:rsidR="005F535C" w:rsidRPr="004130F0" w:rsidTr="00DE49A9">
        <w:trPr>
          <w:trHeight w:val="393"/>
          <w:jc w:val="center"/>
        </w:trPr>
        <w:tc>
          <w:tcPr>
            <w:tcW w:w="3949" w:type="dxa"/>
            <w:gridSpan w:val="3"/>
            <w:shd w:val="clear" w:color="auto" w:fill="auto"/>
            <w:noWrap/>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Distribution of duration for concurrency, MSM</w:t>
            </w:r>
          </w:p>
        </w:tc>
        <w:tc>
          <w:tcPr>
            <w:tcW w:w="3949" w:type="dxa"/>
            <w:gridSpan w:val="8"/>
            <w:shd w:val="clear" w:color="auto" w:fill="auto"/>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Duration (months)</w:t>
            </w:r>
          </w:p>
        </w:tc>
        <w:tc>
          <w:tcPr>
            <w:tcW w:w="3550" w:type="dxa"/>
            <w:gridSpan w:val="5"/>
            <w:shd w:val="clear" w:color="auto" w:fill="auto"/>
            <w:noWrap/>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Proportion</w:t>
            </w:r>
          </w:p>
        </w:tc>
        <w:tc>
          <w:tcPr>
            <w:tcW w:w="2160" w:type="dxa"/>
            <w:gridSpan w:val="5"/>
            <w:shd w:val="clear" w:color="auto" w:fill="auto"/>
            <w:noWrap/>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 xml:space="preserve">Calculated from </w:t>
            </w:r>
            <w:r w:rsidRPr="004130F0">
              <w:rPr>
                <w:rFonts w:eastAsia="Times New Roman" w:cs="Calibri"/>
                <w:color w:val="000000"/>
                <w:sz w:val="16"/>
                <w:szCs w:val="16"/>
              </w:rPr>
              <w:fldChar w:fldCharType="begin"/>
            </w:r>
            <w:r w:rsidRPr="004130F0">
              <w:rPr>
                <w:rFonts w:eastAsia="Times New Roman" w:cs="Calibri"/>
                <w:color w:val="000000"/>
                <w:sz w:val="16"/>
                <w:szCs w:val="16"/>
              </w:rPr>
              <w:instrText>ADDIN RW.CITE{{163 Doherty,I.A. 2009}}</w:instrText>
            </w:r>
            <w:r w:rsidRPr="004130F0">
              <w:rPr>
                <w:rFonts w:eastAsia="Times New Roman" w:cs="Calibri"/>
                <w:color w:val="000000"/>
                <w:sz w:val="16"/>
                <w:szCs w:val="16"/>
              </w:rPr>
              <w:fldChar w:fldCharType="separate"/>
            </w:r>
            <w:r w:rsidRPr="00A04044">
              <w:rPr>
                <w:rFonts w:eastAsia="Times New Roman" w:cs="Calibri"/>
                <w:color w:val="000000"/>
                <w:sz w:val="16"/>
                <w:szCs w:val="16"/>
              </w:rPr>
              <w:t>(64)</w:t>
            </w:r>
            <w:r w:rsidRPr="004130F0">
              <w:rPr>
                <w:rFonts w:eastAsia="Times New Roman" w:cs="Calibri"/>
                <w:color w:val="000000"/>
                <w:sz w:val="16"/>
                <w:szCs w:val="16"/>
              </w:rPr>
              <w:fldChar w:fldCharType="end"/>
            </w:r>
            <w:r w:rsidRPr="004130F0">
              <w:rPr>
                <w:rFonts w:eastAsia="Times New Roman" w:cs="Calibri"/>
                <w:color w:val="000000"/>
                <w:sz w:val="16"/>
                <w:szCs w:val="16"/>
              </w:rPr>
              <w:t xml:space="preserve"> </w:t>
            </w:r>
            <w:r w:rsidRPr="004130F0">
              <w:rPr>
                <w:rFonts w:eastAsia="Times New Roman" w:cs="Calibri"/>
                <w:color w:val="000000"/>
                <w:sz w:val="16"/>
                <w:szCs w:val="16"/>
                <w:vertAlign w:val="superscript"/>
              </w:rPr>
              <w:t>f</w:t>
            </w:r>
          </w:p>
        </w:tc>
      </w:tr>
      <w:tr w:rsidR="005F535C" w:rsidRPr="004130F0" w:rsidTr="00DE49A9">
        <w:trPr>
          <w:trHeight w:val="393"/>
          <w:jc w:val="center"/>
        </w:trPr>
        <w:tc>
          <w:tcPr>
            <w:tcW w:w="3949" w:type="dxa"/>
            <w:gridSpan w:val="3"/>
            <w:shd w:val="clear" w:color="auto" w:fill="auto"/>
            <w:noWrap/>
          </w:tcPr>
          <w:p w:rsidR="005F535C" w:rsidRPr="004130F0" w:rsidRDefault="005F535C" w:rsidP="00DE49A9">
            <w:pPr>
              <w:spacing w:after="0" w:line="240" w:lineRule="auto"/>
              <w:rPr>
                <w:rFonts w:eastAsia="Times New Roman" w:cs="Calibri"/>
                <w:color w:val="000000"/>
                <w:sz w:val="16"/>
                <w:szCs w:val="16"/>
              </w:rPr>
            </w:pPr>
          </w:p>
        </w:tc>
        <w:tc>
          <w:tcPr>
            <w:tcW w:w="3949" w:type="dxa"/>
            <w:gridSpan w:val="8"/>
            <w:shd w:val="clear" w:color="auto" w:fill="auto"/>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1 - 3</w:t>
            </w:r>
          </w:p>
        </w:tc>
        <w:tc>
          <w:tcPr>
            <w:tcW w:w="3550" w:type="dxa"/>
            <w:gridSpan w:val="5"/>
            <w:shd w:val="clear" w:color="auto" w:fill="auto"/>
            <w:noWrap/>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0.28</w:t>
            </w:r>
          </w:p>
          <w:p w:rsidR="005F535C" w:rsidRPr="004130F0" w:rsidRDefault="005F535C" w:rsidP="00DE49A9">
            <w:pPr>
              <w:spacing w:after="0" w:line="240" w:lineRule="auto"/>
              <w:jc w:val="center"/>
              <w:rPr>
                <w:rFonts w:eastAsia="Times New Roman" w:cs="Calibri"/>
                <w:color w:val="000000"/>
                <w:sz w:val="16"/>
                <w:szCs w:val="16"/>
              </w:rPr>
            </w:pPr>
          </w:p>
        </w:tc>
        <w:tc>
          <w:tcPr>
            <w:tcW w:w="2160" w:type="dxa"/>
            <w:gridSpan w:val="5"/>
            <w:shd w:val="clear" w:color="auto" w:fill="auto"/>
            <w:noWrap/>
          </w:tcPr>
          <w:p w:rsidR="005F535C" w:rsidRPr="004130F0" w:rsidRDefault="005F535C" w:rsidP="00DE49A9">
            <w:pPr>
              <w:spacing w:after="0" w:line="240" w:lineRule="auto"/>
              <w:jc w:val="center"/>
              <w:rPr>
                <w:rFonts w:eastAsia="Times New Roman" w:cs="Calibri"/>
                <w:color w:val="000000"/>
              </w:rPr>
            </w:pPr>
          </w:p>
        </w:tc>
      </w:tr>
      <w:tr w:rsidR="005F535C" w:rsidRPr="004130F0" w:rsidTr="00DE49A9">
        <w:trPr>
          <w:trHeight w:val="393"/>
          <w:jc w:val="center"/>
        </w:trPr>
        <w:tc>
          <w:tcPr>
            <w:tcW w:w="3949" w:type="dxa"/>
            <w:gridSpan w:val="3"/>
            <w:shd w:val="clear" w:color="auto" w:fill="auto"/>
            <w:noWrap/>
          </w:tcPr>
          <w:p w:rsidR="005F535C" w:rsidRPr="004130F0" w:rsidRDefault="005F535C" w:rsidP="00DE49A9">
            <w:pPr>
              <w:spacing w:after="0" w:line="240" w:lineRule="auto"/>
              <w:rPr>
                <w:rFonts w:eastAsia="Times New Roman" w:cs="Calibri"/>
                <w:color w:val="000000"/>
                <w:sz w:val="16"/>
                <w:szCs w:val="16"/>
              </w:rPr>
            </w:pPr>
          </w:p>
        </w:tc>
        <w:tc>
          <w:tcPr>
            <w:tcW w:w="3949" w:type="dxa"/>
            <w:gridSpan w:val="8"/>
            <w:shd w:val="clear" w:color="auto" w:fill="auto"/>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4 - 6</w:t>
            </w:r>
          </w:p>
        </w:tc>
        <w:tc>
          <w:tcPr>
            <w:tcW w:w="3550" w:type="dxa"/>
            <w:gridSpan w:val="5"/>
            <w:shd w:val="clear" w:color="auto" w:fill="auto"/>
            <w:noWrap/>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0.16</w:t>
            </w:r>
          </w:p>
        </w:tc>
        <w:tc>
          <w:tcPr>
            <w:tcW w:w="2160" w:type="dxa"/>
            <w:gridSpan w:val="5"/>
            <w:shd w:val="clear" w:color="auto" w:fill="auto"/>
            <w:noWrap/>
          </w:tcPr>
          <w:p w:rsidR="005F535C" w:rsidRPr="004130F0" w:rsidRDefault="005F535C" w:rsidP="00DE49A9">
            <w:pPr>
              <w:spacing w:after="0" w:line="240" w:lineRule="auto"/>
              <w:jc w:val="center"/>
              <w:rPr>
                <w:rFonts w:eastAsia="Times New Roman" w:cs="Calibri"/>
                <w:color w:val="000000"/>
              </w:rPr>
            </w:pPr>
          </w:p>
        </w:tc>
      </w:tr>
      <w:tr w:rsidR="005F535C" w:rsidRPr="004130F0" w:rsidTr="00DE49A9">
        <w:trPr>
          <w:trHeight w:val="393"/>
          <w:jc w:val="center"/>
        </w:trPr>
        <w:tc>
          <w:tcPr>
            <w:tcW w:w="3949" w:type="dxa"/>
            <w:gridSpan w:val="3"/>
            <w:shd w:val="clear" w:color="auto" w:fill="auto"/>
            <w:noWrap/>
          </w:tcPr>
          <w:p w:rsidR="005F535C" w:rsidRPr="004130F0" w:rsidRDefault="005F535C" w:rsidP="00DE49A9">
            <w:pPr>
              <w:spacing w:after="0" w:line="240" w:lineRule="auto"/>
              <w:rPr>
                <w:rFonts w:eastAsia="Times New Roman" w:cs="Calibri"/>
                <w:color w:val="000000"/>
                <w:sz w:val="16"/>
                <w:szCs w:val="16"/>
              </w:rPr>
            </w:pPr>
          </w:p>
        </w:tc>
        <w:tc>
          <w:tcPr>
            <w:tcW w:w="3949" w:type="dxa"/>
            <w:gridSpan w:val="8"/>
            <w:shd w:val="clear" w:color="auto" w:fill="auto"/>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7 - 9</w:t>
            </w:r>
          </w:p>
        </w:tc>
        <w:tc>
          <w:tcPr>
            <w:tcW w:w="3550" w:type="dxa"/>
            <w:gridSpan w:val="5"/>
            <w:shd w:val="clear" w:color="auto" w:fill="auto"/>
            <w:noWrap/>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0.13</w:t>
            </w:r>
          </w:p>
        </w:tc>
        <w:tc>
          <w:tcPr>
            <w:tcW w:w="2160" w:type="dxa"/>
            <w:gridSpan w:val="5"/>
            <w:shd w:val="clear" w:color="auto" w:fill="auto"/>
            <w:noWrap/>
          </w:tcPr>
          <w:p w:rsidR="005F535C" w:rsidRPr="004130F0" w:rsidRDefault="005F535C" w:rsidP="00DE49A9">
            <w:pPr>
              <w:spacing w:after="0" w:line="240" w:lineRule="auto"/>
              <w:jc w:val="center"/>
              <w:rPr>
                <w:rFonts w:eastAsia="Times New Roman" w:cs="Calibri"/>
                <w:color w:val="000000"/>
              </w:rPr>
            </w:pPr>
          </w:p>
        </w:tc>
      </w:tr>
      <w:tr w:rsidR="005F535C" w:rsidRPr="004130F0" w:rsidTr="00DE49A9">
        <w:trPr>
          <w:trHeight w:val="393"/>
          <w:jc w:val="center"/>
        </w:trPr>
        <w:tc>
          <w:tcPr>
            <w:tcW w:w="3949" w:type="dxa"/>
            <w:gridSpan w:val="3"/>
            <w:shd w:val="clear" w:color="auto" w:fill="auto"/>
            <w:noWrap/>
          </w:tcPr>
          <w:p w:rsidR="005F535C" w:rsidRPr="004130F0" w:rsidRDefault="005F535C" w:rsidP="00DE49A9">
            <w:pPr>
              <w:spacing w:after="0" w:line="240" w:lineRule="auto"/>
              <w:rPr>
                <w:rFonts w:eastAsia="Times New Roman" w:cs="Calibri"/>
                <w:color w:val="000000"/>
                <w:sz w:val="16"/>
                <w:szCs w:val="16"/>
              </w:rPr>
            </w:pPr>
          </w:p>
        </w:tc>
        <w:tc>
          <w:tcPr>
            <w:tcW w:w="3949" w:type="dxa"/>
            <w:gridSpan w:val="8"/>
            <w:shd w:val="clear" w:color="auto" w:fill="auto"/>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10 – 12</w:t>
            </w:r>
          </w:p>
        </w:tc>
        <w:tc>
          <w:tcPr>
            <w:tcW w:w="3550" w:type="dxa"/>
            <w:gridSpan w:val="5"/>
            <w:shd w:val="clear" w:color="auto" w:fill="auto"/>
            <w:noWrap/>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0.06</w:t>
            </w:r>
          </w:p>
        </w:tc>
        <w:tc>
          <w:tcPr>
            <w:tcW w:w="2160" w:type="dxa"/>
            <w:gridSpan w:val="5"/>
            <w:shd w:val="clear" w:color="auto" w:fill="auto"/>
            <w:noWrap/>
          </w:tcPr>
          <w:p w:rsidR="005F535C" w:rsidRPr="004130F0" w:rsidRDefault="005F535C" w:rsidP="00DE49A9">
            <w:pPr>
              <w:spacing w:after="0" w:line="240" w:lineRule="auto"/>
              <w:jc w:val="center"/>
              <w:rPr>
                <w:rFonts w:eastAsia="Times New Roman" w:cs="Calibri"/>
                <w:color w:val="000000"/>
              </w:rPr>
            </w:pPr>
          </w:p>
        </w:tc>
      </w:tr>
      <w:tr w:rsidR="005F535C" w:rsidRPr="004130F0" w:rsidTr="00DE49A9">
        <w:trPr>
          <w:trHeight w:val="393"/>
          <w:jc w:val="center"/>
        </w:trPr>
        <w:tc>
          <w:tcPr>
            <w:tcW w:w="3949" w:type="dxa"/>
            <w:gridSpan w:val="3"/>
            <w:shd w:val="clear" w:color="auto" w:fill="auto"/>
            <w:noWrap/>
          </w:tcPr>
          <w:p w:rsidR="005F535C" w:rsidRPr="004130F0" w:rsidRDefault="005F535C" w:rsidP="00DE49A9">
            <w:pPr>
              <w:spacing w:after="0" w:line="240" w:lineRule="auto"/>
              <w:rPr>
                <w:rFonts w:eastAsia="Times New Roman" w:cs="Calibri"/>
                <w:color w:val="000000"/>
                <w:sz w:val="16"/>
                <w:szCs w:val="16"/>
              </w:rPr>
            </w:pPr>
          </w:p>
        </w:tc>
        <w:tc>
          <w:tcPr>
            <w:tcW w:w="3949" w:type="dxa"/>
            <w:gridSpan w:val="8"/>
            <w:shd w:val="clear" w:color="auto" w:fill="auto"/>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13 - 15</w:t>
            </w:r>
          </w:p>
        </w:tc>
        <w:tc>
          <w:tcPr>
            <w:tcW w:w="3550" w:type="dxa"/>
            <w:gridSpan w:val="5"/>
            <w:shd w:val="clear" w:color="auto" w:fill="auto"/>
            <w:noWrap/>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0.04</w:t>
            </w:r>
          </w:p>
        </w:tc>
        <w:tc>
          <w:tcPr>
            <w:tcW w:w="2160" w:type="dxa"/>
            <w:gridSpan w:val="5"/>
            <w:shd w:val="clear" w:color="auto" w:fill="auto"/>
            <w:noWrap/>
          </w:tcPr>
          <w:p w:rsidR="005F535C" w:rsidRPr="004130F0" w:rsidRDefault="005F535C" w:rsidP="00DE49A9">
            <w:pPr>
              <w:spacing w:after="0" w:line="240" w:lineRule="auto"/>
              <w:jc w:val="center"/>
              <w:rPr>
                <w:rFonts w:eastAsia="Times New Roman" w:cs="Calibri"/>
                <w:color w:val="000000"/>
              </w:rPr>
            </w:pPr>
          </w:p>
        </w:tc>
      </w:tr>
      <w:tr w:rsidR="005F535C" w:rsidRPr="004130F0" w:rsidTr="00DE49A9">
        <w:trPr>
          <w:trHeight w:val="393"/>
          <w:jc w:val="center"/>
        </w:trPr>
        <w:tc>
          <w:tcPr>
            <w:tcW w:w="3949" w:type="dxa"/>
            <w:gridSpan w:val="3"/>
            <w:shd w:val="clear" w:color="auto" w:fill="auto"/>
            <w:noWrap/>
          </w:tcPr>
          <w:p w:rsidR="005F535C" w:rsidRPr="004130F0" w:rsidRDefault="005F535C" w:rsidP="00DE49A9">
            <w:pPr>
              <w:spacing w:after="0" w:line="240" w:lineRule="auto"/>
              <w:rPr>
                <w:rFonts w:eastAsia="Times New Roman" w:cs="Calibri"/>
                <w:color w:val="000000"/>
                <w:sz w:val="16"/>
                <w:szCs w:val="16"/>
              </w:rPr>
            </w:pPr>
          </w:p>
        </w:tc>
        <w:tc>
          <w:tcPr>
            <w:tcW w:w="3949" w:type="dxa"/>
            <w:gridSpan w:val="8"/>
            <w:shd w:val="clear" w:color="auto" w:fill="auto"/>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16 - 18</w:t>
            </w:r>
          </w:p>
        </w:tc>
        <w:tc>
          <w:tcPr>
            <w:tcW w:w="3550" w:type="dxa"/>
            <w:gridSpan w:val="5"/>
            <w:shd w:val="clear" w:color="auto" w:fill="auto"/>
            <w:noWrap/>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0.03</w:t>
            </w:r>
          </w:p>
        </w:tc>
        <w:tc>
          <w:tcPr>
            <w:tcW w:w="2160" w:type="dxa"/>
            <w:gridSpan w:val="5"/>
            <w:shd w:val="clear" w:color="auto" w:fill="auto"/>
            <w:noWrap/>
          </w:tcPr>
          <w:p w:rsidR="005F535C" w:rsidRPr="004130F0" w:rsidRDefault="005F535C" w:rsidP="00DE49A9">
            <w:pPr>
              <w:spacing w:after="0" w:line="240" w:lineRule="auto"/>
              <w:jc w:val="center"/>
              <w:rPr>
                <w:rFonts w:eastAsia="Times New Roman" w:cs="Calibri"/>
                <w:color w:val="000000"/>
              </w:rPr>
            </w:pPr>
          </w:p>
        </w:tc>
      </w:tr>
      <w:tr w:rsidR="005F535C" w:rsidRPr="004130F0" w:rsidTr="00DE49A9">
        <w:trPr>
          <w:trHeight w:val="393"/>
          <w:jc w:val="center"/>
        </w:trPr>
        <w:tc>
          <w:tcPr>
            <w:tcW w:w="3949" w:type="dxa"/>
            <w:gridSpan w:val="3"/>
            <w:shd w:val="clear" w:color="auto" w:fill="auto"/>
            <w:noWrap/>
          </w:tcPr>
          <w:p w:rsidR="005F535C" w:rsidRPr="004130F0" w:rsidRDefault="005F535C" w:rsidP="00DE49A9">
            <w:pPr>
              <w:spacing w:after="0" w:line="240" w:lineRule="auto"/>
              <w:rPr>
                <w:rFonts w:eastAsia="Times New Roman" w:cs="Calibri"/>
                <w:color w:val="000000"/>
                <w:sz w:val="16"/>
                <w:szCs w:val="16"/>
              </w:rPr>
            </w:pPr>
          </w:p>
        </w:tc>
        <w:tc>
          <w:tcPr>
            <w:tcW w:w="3949" w:type="dxa"/>
            <w:gridSpan w:val="8"/>
            <w:shd w:val="clear" w:color="auto" w:fill="auto"/>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19 - 24</w:t>
            </w:r>
          </w:p>
        </w:tc>
        <w:tc>
          <w:tcPr>
            <w:tcW w:w="3550" w:type="dxa"/>
            <w:gridSpan w:val="5"/>
            <w:shd w:val="clear" w:color="auto" w:fill="auto"/>
            <w:noWrap/>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0.07</w:t>
            </w:r>
          </w:p>
        </w:tc>
        <w:tc>
          <w:tcPr>
            <w:tcW w:w="2160" w:type="dxa"/>
            <w:gridSpan w:val="5"/>
            <w:shd w:val="clear" w:color="auto" w:fill="auto"/>
            <w:noWrap/>
          </w:tcPr>
          <w:p w:rsidR="005F535C" w:rsidRPr="004130F0" w:rsidRDefault="005F535C" w:rsidP="00DE49A9">
            <w:pPr>
              <w:spacing w:after="0" w:line="240" w:lineRule="auto"/>
              <w:jc w:val="center"/>
              <w:rPr>
                <w:rFonts w:eastAsia="Times New Roman" w:cs="Calibri"/>
                <w:color w:val="000000"/>
              </w:rPr>
            </w:pPr>
          </w:p>
        </w:tc>
      </w:tr>
      <w:tr w:rsidR="005F535C" w:rsidRPr="004130F0" w:rsidTr="00DE49A9">
        <w:trPr>
          <w:trHeight w:val="393"/>
          <w:jc w:val="center"/>
        </w:trPr>
        <w:tc>
          <w:tcPr>
            <w:tcW w:w="3949" w:type="dxa"/>
            <w:gridSpan w:val="3"/>
            <w:shd w:val="clear" w:color="auto" w:fill="auto"/>
            <w:noWrap/>
          </w:tcPr>
          <w:p w:rsidR="005F535C" w:rsidRPr="004130F0" w:rsidRDefault="005F535C" w:rsidP="00DE49A9">
            <w:pPr>
              <w:spacing w:after="0" w:line="240" w:lineRule="auto"/>
              <w:rPr>
                <w:rFonts w:eastAsia="Times New Roman" w:cs="Calibri"/>
                <w:color w:val="000000"/>
                <w:sz w:val="16"/>
                <w:szCs w:val="16"/>
              </w:rPr>
            </w:pPr>
          </w:p>
        </w:tc>
        <w:tc>
          <w:tcPr>
            <w:tcW w:w="3949" w:type="dxa"/>
            <w:gridSpan w:val="8"/>
            <w:shd w:val="clear" w:color="auto" w:fill="auto"/>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25 - 36</w:t>
            </w:r>
          </w:p>
        </w:tc>
        <w:tc>
          <w:tcPr>
            <w:tcW w:w="3550" w:type="dxa"/>
            <w:gridSpan w:val="5"/>
            <w:shd w:val="clear" w:color="auto" w:fill="auto"/>
            <w:noWrap/>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0.07</w:t>
            </w:r>
          </w:p>
        </w:tc>
        <w:tc>
          <w:tcPr>
            <w:tcW w:w="2160" w:type="dxa"/>
            <w:gridSpan w:val="5"/>
            <w:shd w:val="clear" w:color="auto" w:fill="auto"/>
            <w:noWrap/>
          </w:tcPr>
          <w:p w:rsidR="005F535C" w:rsidRPr="004130F0" w:rsidRDefault="005F535C" w:rsidP="00DE49A9">
            <w:pPr>
              <w:spacing w:after="0" w:line="240" w:lineRule="auto"/>
              <w:jc w:val="center"/>
              <w:rPr>
                <w:rFonts w:eastAsia="Times New Roman" w:cs="Calibri"/>
                <w:color w:val="000000"/>
              </w:rPr>
            </w:pPr>
          </w:p>
        </w:tc>
      </w:tr>
      <w:tr w:rsidR="005F535C" w:rsidRPr="004130F0" w:rsidTr="00DE49A9">
        <w:trPr>
          <w:trHeight w:val="393"/>
          <w:jc w:val="center"/>
        </w:trPr>
        <w:tc>
          <w:tcPr>
            <w:tcW w:w="3949" w:type="dxa"/>
            <w:gridSpan w:val="3"/>
            <w:shd w:val="clear" w:color="auto" w:fill="auto"/>
            <w:noWrap/>
          </w:tcPr>
          <w:p w:rsidR="005F535C" w:rsidRPr="004130F0" w:rsidRDefault="005F535C" w:rsidP="00DE49A9">
            <w:pPr>
              <w:spacing w:after="0" w:line="240" w:lineRule="auto"/>
              <w:rPr>
                <w:rFonts w:eastAsia="Times New Roman" w:cs="Calibri"/>
                <w:color w:val="000000"/>
                <w:sz w:val="16"/>
                <w:szCs w:val="16"/>
              </w:rPr>
            </w:pPr>
          </w:p>
        </w:tc>
        <w:tc>
          <w:tcPr>
            <w:tcW w:w="3949" w:type="dxa"/>
            <w:gridSpan w:val="8"/>
            <w:shd w:val="clear" w:color="auto" w:fill="auto"/>
          </w:tcPr>
          <w:p w:rsidR="005F535C" w:rsidRPr="004130F0" w:rsidRDefault="005F535C" w:rsidP="00DE49A9">
            <w:pPr>
              <w:spacing w:after="0" w:line="240" w:lineRule="auto"/>
              <w:rPr>
                <w:rFonts w:eastAsia="Times New Roman" w:cs="Calibri"/>
                <w:color w:val="000000"/>
                <w:sz w:val="16"/>
                <w:szCs w:val="16"/>
              </w:rPr>
            </w:pPr>
            <w:r w:rsidRPr="004130F0">
              <w:rPr>
                <w:rFonts w:eastAsia="Times New Roman" w:cs="Calibri"/>
                <w:color w:val="000000"/>
                <w:sz w:val="16"/>
                <w:szCs w:val="16"/>
              </w:rPr>
              <w:t>&gt;= 37</w:t>
            </w:r>
          </w:p>
        </w:tc>
        <w:tc>
          <w:tcPr>
            <w:tcW w:w="3550" w:type="dxa"/>
            <w:gridSpan w:val="5"/>
            <w:shd w:val="clear" w:color="auto" w:fill="auto"/>
            <w:noWrap/>
          </w:tcPr>
          <w:p w:rsidR="005F535C" w:rsidRPr="004130F0" w:rsidRDefault="005F535C" w:rsidP="00DE49A9">
            <w:pPr>
              <w:spacing w:after="0" w:line="240" w:lineRule="auto"/>
              <w:jc w:val="center"/>
              <w:rPr>
                <w:rFonts w:eastAsia="Times New Roman" w:cs="Calibri"/>
                <w:color w:val="000000"/>
                <w:sz w:val="16"/>
                <w:szCs w:val="16"/>
              </w:rPr>
            </w:pPr>
            <w:r w:rsidRPr="004130F0">
              <w:rPr>
                <w:rFonts w:eastAsia="Times New Roman" w:cs="Calibri"/>
                <w:color w:val="000000"/>
                <w:sz w:val="16"/>
                <w:szCs w:val="16"/>
              </w:rPr>
              <w:t>0.15</w:t>
            </w:r>
          </w:p>
        </w:tc>
        <w:tc>
          <w:tcPr>
            <w:tcW w:w="2160" w:type="dxa"/>
            <w:gridSpan w:val="5"/>
            <w:shd w:val="clear" w:color="auto" w:fill="auto"/>
            <w:noWrap/>
          </w:tcPr>
          <w:p w:rsidR="005F535C" w:rsidRPr="004130F0" w:rsidRDefault="005F535C" w:rsidP="00DE49A9">
            <w:pPr>
              <w:spacing w:after="0" w:line="240" w:lineRule="auto"/>
              <w:jc w:val="center"/>
              <w:rPr>
                <w:rFonts w:eastAsia="Times New Roman" w:cs="Calibri"/>
                <w:color w:val="000000"/>
              </w:rPr>
            </w:pPr>
          </w:p>
        </w:tc>
      </w:tr>
    </w:tbl>
    <w:p w:rsidR="005F535C"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Cs w:val="20"/>
        </w:rPr>
      </w:pPr>
    </w:p>
    <w:p w:rsidR="005F535C" w:rsidRPr="00F36EC5"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 w:val="20"/>
          <w:szCs w:val="20"/>
        </w:rPr>
      </w:pPr>
      <w:r w:rsidRPr="001D640C">
        <w:rPr>
          <w:rFonts w:cs="Calibri"/>
          <w:color w:val="000000"/>
          <w:sz w:val="20"/>
          <w:szCs w:val="20"/>
          <w:vertAlign w:val="superscript"/>
        </w:rPr>
        <w:t>a</w:t>
      </w:r>
      <w:r w:rsidRPr="00F36EC5">
        <w:rPr>
          <w:sz w:val="20"/>
        </w:rPr>
        <w:t xml:space="preserve"> </w:t>
      </w:r>
      <w:r w:rsidRPr="00F36EC5">
        <w:rPr>
          <w:rFonts w:cs="Calibri"/>
          <w:color w:val="000000"/>
          <w:sz w:val="20"/>
          <w:szCs w:val="20"/>
        </w:rPr>
        <w:t xml:space="preserve">Number of partners/sex acts </w:t>
      </w:r>
      <w:r>
        <w:rPr>
          <w:rFonts w:cs="Calibri"/>
          <w:color w:val="000000"/>
          <w:sz w:val="20"/>
          <w:szCs w:val="20"/>
        </w:rPr>
        <w:t xml:space="preserve">were </w:t>
      </w:r>
      <w:r w:rsidRPr="00F36EC5">
        <w:rPr>
          <w:rFonts w:cs="Calibri"/>
          <w:color w:val="000000"/>
          <w:sz w:val="20"/>
          <w:szCs w:val="20"/>
        </w:rPr>
        <w:t xml:space="preserve">estimated as </w:t>
      </w:r>
      <w:r>
        <w:rPr>
          <w:rFonts w:cs="Calibri"/>
          <w:color w:val="000000"/>
          <w:sz w:val="20"/>
          <w:szCs w:val="20"/>
        </w:rPr>
        <w:t xml:space="preserve">the </w:t>
      </w:r>
      <w:r w:rsidRPr="00F36EC5">
        <w:rPr>
          <w:rFonts w:cs="Calibri"/>
          <w:color w:val="000000"/>
          <w:sz w:val="20"/>
          <w:szCs w:val="20"/>
        </w:rPr>
        <w:t xml:space="preserve">average of </w:t>
      </w:r>
      <w:r>
        <w:rPr>
          <w:rFonts w:cs="Calibri"/>
          <w:color w:val="000000"/>
          <w:sz w:val="20"/>
          <w:szCs w:val="20"/>
        </w:rPr>
        <w:t xml:space="preserve">the </w:t>
      </w:r>
      <w:r w:rsidRPr="00F36EC5">
        <w:rPr>
          <w:rFonts w:cs="Calibri"/>
          <w:color w:val="000000"/>
          <w:sz w:val="20"/>
          <w:szCs w:val="20"/>
        </w:rPr>
        <w:t xml:space="preserve">reported number of partners/sex acts weighted by </w:t>
      </w:r>
      <w:r>
        <w:rPr>
          <w:rFonts w:cs="Calibri"/>
          <w:color w:val="000000"/>
          <w:sz w:val="20"/>
          <w:szCs w:val="20"/>
        </w:rPr>
        <w:t xml:space="preserve">the </w:t>
      </w:r>
      <w:r w:rsidRPr="00F36EC5">
        <w:rPr>
          <w:rFonts w:cs="Calibri"/>
          <w:color w:val="000000"/>
          <w:sz w:val="20"/>
          <w:szCs w:val="20"/>
        </w:rPr>
        <w:t xml:space="preserve">proportion reporting under each category of number of partners/sex acts among those sexually active. </w:t>
      </w:r>
      <w:bookmarkStart w:id="7" w:name="_Hlk483760411"/>
      <w:r>
        <w:rPr>
          <w:rFonts w:cs="Calibri"/>
          <w:color w:val="000000"/>
          <w:sz w:val="20"/>
          <w:szCs w:val="20"/>
        </w:rPr>
        <w:t xml:space="preserve">For MSM, we used the heterosexual male data as age-distributed data were not available for MSM. Moreover, the median of 1 partner for MSM </w:t>
      </w:r>
      <w:r>
        <w:rPr>
          <w:rFonts w:cs="Calibri"/>
          <w:color w:val="000000"/>
          <w:sz w:val="20"/>
          <w:szCs w:val="20"/>
        </w:rPr>
        <w:fldChar w:fldCharType="begin"/>
      </w:r>
      <w:r>
        <w:rPr>
          <w:rFonts w:cs="Calibri"/>
          <w:color w:val="000000"/>
          <w:sz w:val="20"/>
          <w:szCs w:val="20"/>
        </w:rPr>
        <w:instrText>ADDIN RW.CITE{{291 Rosenberg,E.S. 2011}}</w:instrText>
      </w:r>
      <w:r>
        <w:rPr>
          <w:rFonts w:cs="Calibri"/>
          <w:color w:val="000000"/>
          <w:sz w:val="20"/>
          <w:szCs w:val="20"/>
        </w:rPr>
        <w:fldChar w:fldCharType="separate"/>
      </w:r>
      <w:r w:rsidRPr="00A04044">
        <w:rPr>
          <w:rFonts w:cs="Calibri"/>
          <w:color w:val="000000"/>
          <w:sz w:val="20"/>
          <w:szCs w:val="20"/>
        </w:rPr>
        <w:t>(35)</w:t>
      </w:r>
      <w:r>
        <w:rPr>
          <w:rFonts w:cs="Calibri"/>
          <w:color w:val="000000"/>
          <w:sz w:val="20"/>
          <w:szCs w:val="20"/>
        </w:rPr>
        <w:fldChar w:fldCharType="end"/>
      </w:r>
      <w:r>
        <w:rPr>
          <w:rFonts w:cs="Calibri"/>
          <w:color w:val="000000"/>
          <w:sz w:val="20"/>
          <w:szCs w:val="20"/>
        </w:rPr>
        <w:t xml:space="preserve"> matched the heterosexual male data. </w:t>
      </w:r>
      <w:bookmarkEnd w:id="7"/>
      <w:r>
        <w:rPr>
          <w:rFonts w:cs="Calibri"/>
          <w:color w:val="000000"/>
          <w:sz w:val="20"/>
          <w:szCs w:val="20"/>
        </w:rPr>
        <w:t>Number of sex acts are uniformly distributed in the given range</w:t>
      </w:r>
    </w:p>
    <w:p w:rsidR="005F535C" w:rsidRPr="00F36EC5"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 w:val="20"/>
          <w:szCs w:val="20"/>
        </w:rPr>
      </w:pPr>
      <w:r w:rsidRPr="001D640C">
        <w:rPr>
          <w:rFonts w:cs="Calibri"/>
          <w:color w:val="000000"/>
          <w:sz w:val="20"/>
          <w:szCs w:val="20"/>
          <w:vertAlign w:val="superscript"/>
        </w:rPr>
        <w:t>b</w:t>
      </w:r>
      <w:r>
        <w:rPr>
          <w:rFonts w:cs="Calibri"/>
          <w:color w:val="000000"/>
          <w:sz w:val="20"/>
          <w:szCs w:val="20"/>
          <w:vertAlign w:val="superscript"/>
        </w:rPr>
        <w:t xml:space="preserve"> </w:t>
      </w:r>
      <w:r w:rsidRPr="00F36EC5">
        <w:rPr>
          <w:rFonts w:cs="Calibri"/>
          <w:color w:val="000000"/>
          <w:sz w:val="20"/>
          <w:szCs w:val="20"/>
        </w:rPr>
        <w:t>Assuming a person is in a partnership, its remaining duration, that is, the duration before the partnership ends, is determined as a</w:t>
      </w:r>
      <w:r>
        <w:rPr>
          <w:rFonts w:cs="Calibri"/>
          <w:color w:val="000000"/>
          <w:sz w:val="20"/>
          <w:szCs w:val="20"/>
        </w:rPr>
        <w:t xml:space="preserve"> geometrically </w:t>
      </w:r>
      <w:r w:rsidRPr="00F36EC5">
        <w:rPr>
          <w:rFonts w:cs="Calibri"/>
          <w:color w:val="000000"/>
          <w:sz w:val="20"/>
          <w:szCs w:val="20"/>
        </w:rPr>
        <w:t>distributed ra</w:t>
      </w:r>
      <w:r>
        <w:rPr>
          <w:rFonts w:cs="Calibri"/>
          <w:color w:val="000000"/>
          <w:sz w:val="20"/>
          <w:szCs w:val="20"/>
        </w:rPr>
        <w:t xml:space="preserve">ndom number. The mean duration in months </w:t>
      </w:r>
      <w:r w:rsidRPr="00F36EC5">
        <w:rPr>
          <w:rFonts w:cs="Calibri"/>
          <w:color w:val="000000"/>
          <w:sz w:val="20"/>
          <w:szCs w:val="20"/>
        </w:rPr>
        <w:t>was estimated as 12 divided b</w:t>
      </w:r>
      <w:r>
        <w:rPr>
          <w:rFonts w:cs="Calibri"/>
          <w:color w:val="000000"/>
          <w:sz w:val="20"/>
          <w:szCs w:val="20"/>
        </w:rPr>
        <w:t>y (number of partners per year -</w:t>
      </w:r>
      <w:r w:rsidRPr="00F36EC5">
        <w:rPr>
          <w:rFonts w:cs="Calibri"/>
          <w:color w:val="000000"/>
          <w:sz w:val="20"/>
          <w:szCs w:val="20"/>
        </w:rPr>
        <w:t xml:space="preserve"> 1).</w:t>
      </w:r>
    </w:p>
    <w:p w:rsidR="005F535C"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 w:val="20"/>
          <w:szCs w:val="20"/>
        </w:rPr>
      </w:pPr>
      <w:r w:rsidRPr="001D640C">
        <w:rPr>
          <w:rFonts w:cs="Calibri"/>
          <w:color w:val="000000"/>
          <w:sz w:val="20"/>
          <w:szCs w:val="20"/>
          <w:vertAlign w:val="superscript"/>
        </w:rPr>
        <w:t>c</w:t>
      </w:r>
      <w:r>
        <w:rPr>
          <w:rFonts w:cs="Calibri"/>
          <w:color w:val="000000"/>
          <w:sz w:val="20"/>
          <w:szCs w:val="20"/>
          <w:vertAlign w:val="superscript"/>
        </w:rPr>
        <w:t xml:space="preserve"> </w:t>
      </w:r>
      <w:r w:rsidRPr="00F36EC5">
        <w:rPr>
          <w:rFonts w:cs="Calibri"/>
          <w:color w:val="000000"/>
          <w:sz w:val="20"/>
          <w:szCs w:val="20"/>
        </w:rPr>
        <w:t xml:space="preserve">Estimated as a geometrically distributed random number using </w:t>
      </w:r>
      <w:r>
        <w:rPr>
          <w:rFonts w:cs="Calibri"/>
          <w:color w:val="000000"/>
          <w:sz w:val="20"/>
          <w:szCs w:val="20"/>
        </w:rPr>
        <w:t xml:space="preserve">the </w:t>
      </w:r>
      <w:r w:rsidRPr="00F36EC5">
        <w:rPr>
          <w:rFonts w:cs="Calibri"/>
          <w:color w:val="000000"/>
          <w:sz w:val="20"/>
          <w:szCs w:val="20"/>
        </w:rPr>
        <w:t xml:space="preserve">proportion </w:t>
      </w:r>
      <w:r>
        <w:rPr>
          <w:rFonts w:cs="Calibri"/>
          <w:color w:val="000000"/>
          <w:sz w:val="20"/>
          <w:szCs w:val="20"/>
        </w:rPr>
        <w:t xml:space="preserve">of persons </w:t>
      </w:r>
      <w:r w:rsidRPr="00F36EC5">
        <w:rPr>
          <w:rFonts w:cs="Calibri"/>
          <w:color w:val="000000"/>
          <w:sz w:val="20"/>
          <w:szCs w:val="20"/>
        </w:rPr>
        <w:t>who ha</w:t>
      </w:r>
      <w:r>
        <w:rPr>
          <w:rFonts w:cs="Calibri"/>
          <w:color w:val="000000"/>
          <w:sz w:val="20"/>
          <w:szCs w:val="20"/>
        </w:rPr>
        <w:t>ve</w:t>
      </w:r>
      <w:r w:rsidRPr="00F36EC5">
        <w:rPr>
          <w:rFonts w:cs="Calibri"/>
          <w:color w:val="000000"/>
          <w:sz w:val="20"/>
          <w:szCs w:val="20"/>
        </w:rPr>
        <w:t xml:space="preserve"> had sex but currently do not have a partner. </w:t>
      </w:r>
    </w:p>
    <w:p w:rsidR="005F535C"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 w:val="20"/>
          <w:szCs w:val="20"/>
        </w:rPr>
      </w:pPr>
      <w:r w:rsidRPr="001D640C">
        <w:rPr>
          <w:rFonts w:cs="Calibri"/>
          <w:color w:val="000000"/>
          <w:sz w:val="20"/>
          <w:szCs w:val="20"/>
          <w:vertAlign w:val="superscript"/>
        </w:rPr>
        <w:t>d</w:t>
      </w:r>
      <w:r>
        <w:rPr>
          <w:rFonts w:cs="Calibri"/>
          <w:color w:val="000000"/>
          <w:sz w:val="20"/>
          <w:szCs w:val="20"/>
          <w:vertAlign w:val="superscript"/>
        </w:rPr>
        <w:t xml:space="preserve"> </w:t>
      </w:r>
      <w:r>
        <w:rPr>
          <w:rFonts w:cs="Calibri"/>
          <w:color w:val="000000"/>
          <w:sz w:val="20"/>
          <w:szCs w:val="20"/>
        </w:rPr>
        <w:t>We applied the heterosexual male data to MSM. These data are for the general population (heterosexual and MSM) unaware of their HIV status, and they apply to their main partners.</w:t>
      </w:r>
    </w:p>
    <w:p w:rsidR="005F535C" w:rsidRPr="00F36EC5"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 w:val="20"/>
          <w:szCs w:val="20"/>
        </w:rPr>
      </w:pPr>
      <w:r w:rsidRPr="001D640C">
        <w:rPr>
          <w:rFonts w:cs="Calibri"/>
          <w:color w:val="000000"/>
          <w:sz w:val="20"/>
          <w:szCs w:val="20"/>
          <w:vertAlign w:val="superscript"/>
        </w:rPr>
        <w:t>e</w:t>
      </w:r>
      <w:r>
        <w:rPr>
          <w:rFonts w:cs="Calibri"/>
          <w:color w:val="000000"/>
          <w:sz w:val="20"/>
          <w:szCs w:val="20"/>
          <w:vertAlign w:val="superscript"/>
        </w:rPr>
        <w:t xml:space="preserve"> </w:t>
      </w:r>
      <w:r>
        <w:rPr>
          <w:rFonts w:cs="Calibri"/>
          <w:color w:val="000000"/>
          <w:sz w:val="20"/>
          <w:szCs w:val="20"/>
        </w:rPr>
        <w:t xml:space="preserve">The remaining 82% of aware MSM were assumed to reduce unprotected sex acts by 53% </w:t>
      </w:r>
      <w:r>
        <w:rPr>
          <w:rFonts w:eastAsia="Times New Roman" w:cs="Calibri"/>
          <w:color w:val="000000"/>
        </w:rPr>
        <w:fldChar w:fldCharType="begin"/>
      </w:r>
      <w:r>
        <w:rPr>
          <w:rFonts w:eastAsia="Times New Roman" w:cs="Calibri"/>
          <w:color w:val="000000"/>
        </w:rPr>
        <w:instrText>ADDIN RW.CITE{{40 Marks,G. 2006}}</w:instrText>
      </w:r>
      <w:r>
        <w:rPr>
          <w:rFonts w:eastAsia="Times New Roman" w:cs="Calibri"/>
          <w:color w:val="000000"/>
        </w:rPr>
        <w:fldChar w:fldCharType="separate"/>
      </w:r>
      <w:r w:rsidRPr="00A04044">
        <w:rPr>
          <w:rFonts w:eastAsia="Times New Roman" w:cs="Calibri"/>
          <w:color w:val="000000"/>
        </w:rPr>
        <w:t>(63)</w:t>
      </w:r>
      <w:r>
        <w:rPr>
          <w:rFonts w:eastAsia="Times New Roman" w:cs="Calibri"/>
          <w:color w:val="000000"/>
        </w:rPr>
        <w:fldChar w:fldCharType="end"/>
      </w:r>
      <w:r>
        <w:rPr>
          <w:rFonts w:eastAsia="Times New Roman" w:cs="Calibri"/>
          <w:color w:val="000000"/>
        </w:rPr>
        <w:t xml:space="preserve"> </w:t>
      </w:r>
      <w:r>
        <w:rPr>
          <w:rFonts w:cs="Calibri"/>
          <w:color w:val="000000"/>
          <w:sz w:val="20"/>
          <w:szCs w:val="20"/>
        </w:rPr>
        <w:t>with both main and casual partners when they became aware of their infection.</w:t>
      </w:r>
    </w:p>
    <w:p w:rsidR="005F535C" w:rsidRPr="002F7744"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 w:val="20"/>
          <w:szCs w:val="20"/>
        </w:rPr>
      </w:pPr>
      <w:r w:rsidRPr="001D640C">
        <w:rPr>
          <w:rFonts w:cs="Calibri"/>
          <w:color w:val="000000"/>
          <w:sz w:val="20"/>
          <w:szCs w:val="20"/>
          <w:vertAlign w:val="superscript"/>
        </w:rPr>
        <w:t>f</w:t>
      </w:r>
      <w:r w:rsidRPr="002F7744">
        <w:rPr>
          <w:rFonts w:cs="Calibri"/>
          <w:color w:val="000000"/>
          <w:sz w:val="20"/>
          <w:szCs w:val="20"/>
        </w:rPr>
        <w:t xml:space="preserve"> We use only the duration above 1 month from </w:t>
      </w:r>
      <w:r w:rsidRPr="002F7744">
        <w:rPr>
          <w:rFonts w:cs="Calibri"/>
          <w:color w:val="000000"/>
          <w:sz w:val="20"/>
          <w:szCs w:val="20"/>
        </w:rPr>
        <w:fldChar w:fldCharType="begin"/>
      </w:r>
      <w:r w:rsidRPr="002F7744">
        <w:rPr>
          <w:rFonts w:cs="Calibri"/>
          <w:color w:val="000000"/>
          <w:sz w:val="20"/>
          <w:szCs w:val="20"/>
        </w:rPr>
        <w:instrText>ADDIN RW.CITE{{163 Doherty,I.A. 2009}}</w:instrText>
      </w:r>
      <w:r w:rsidRPr="002F7744">
        <w:rPr>
          <w:rFonts w:cs="Calibri"/>
          <w:color w:val="000000"/>
          <w:sz w:val="20"/>
          <w:szCs w:val="20"/>
        </w:rPr>
        <w:fldChar w:fldCharType="separate"/>
      </w:r>
      <w:r w:rsidRPr="00A04044">
        <w:rPr>
          <w:rFonts w:cs="Calibri"/>
          <w:color w:val="000000"/>
          <w:sz w:val="20"/>
          <w:szCs w:val="20"/>
        </w:rPr>
        <w:t>(64)</w:t>
      </w:r>
      <w:r w:rsidRPr="002F7744">
        <w:rPr>
          <w:rFonts w:cs="Calibri"/>
          <w:color w:val="000000"/>
          <w:sz w:val="20"/>
          <w:szCs w:val="20"/>
        </w:rPr>
        <w:fldChar w:fldCharType="end"/>
      </w:r>
      <w:r w:rsidRPr="002F7744">
        <w:rPr>
          <w:rFonts w:cs="Calibri"/>
          <w:color w:val="000000"/>
          <w:sz w:val="20"/>
          <w:szCs w:val="20"/>
        </w:rPr>
        <w:t xml:space="preserve"> as we model casual partners whose duration is up to a month.</w:t>
      </w:r>
      <w:r>
        <w:rPr>
          <w:rFonts w:cs="Calibri"/>
          <w:color w:val="000000"/>
          <w:sz w:val="20"/>
          <w:szCs w:val="20"/>
        </w:rPr>
        <w:t xml:space="preserve"> </w:t>
      </w:r>
    </w:p>
    <w:p w:rsidR="005F535C"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 w:val="20"/>
          <w:szCs w:val="20"/>
          <w:vertAlign w:val="superscript"/>
        </w:rPr>
      </w:pPr>
    </w:p>
    <w:p w:rsidR="005F535C" w:rsidRPr="002F7744"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 w:val="20"/>
          <w:szCs w:val="20"/>
        </w:rPr>
      </w:pPr>
      <w:r>
        <w:rPr>
          <w:rFonts w:cs="Calibri"/>
          <w:color w:val="000000"/>
          <w:sz w:val="20"/>
          <w:szCs w:val="20"/>
        </w:rPr>
        <w:t>Note: All data in the table relate to probability distributions of the parameters and for each person random samples are drawn from these distributions as follows. If proportions are for true or false outcomes, we draw a random number u~ Uniform float[0,1], if u &lt;= proportion then it is true else false, e.g., determining if MSM is MSMW. If proportions are for behavior of a specific individual then they are directly used as point estimates, e.g., among  all sex acts among MSMW, 80% are assigned to women. If they are from probability distributions such as Uniform (e.g., sex acts), or Geometric (e.g., partnership duration), samples are drawn from this distribution.</w:t>
      </w:r>
    </w:p>
    <w:p w:rsidR="005F535C" w:rsidRPr="002F7744"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 w:val="20"/>
          <w:szCs w:val="20"/>
        </w:rPr>
      </w:pPr>
    </w:p>
    <w:p w:rsidR="005F535C"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Cs w:val="20"/>
        </w:rPr>
      </w:pPr>
    </w:p>
    <w:p w:rsidR="005F535C"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Cs w:val="20"/>
        </w:rPr>
      </w:pPr>
    </w:p>
    <w:p w:rsidR="005F535C"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Cs w:val="20"/>
        </w:rPr>
      </w:pPr>
    </w:p>
    <w:p w:rsidR="005F535C"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Cs w:val="20"/>
        </w:rPr>
      </w:pPr>
    </w:p>
    <w:p w:rsidR="005F535C"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Cs w:val="20"/>
        </w:rPr>
      </w:pPr>
    </w:p>
    <w:p w:rsidR="005F535C"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Cs w:val="20"/>
        </w:rPr>
      </w:pPr>
    </w:p>
    <w:p w:rsidR="005F535C"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Cs w:val="20"/>
        </w:rPr>
      </w:pPr>
    </w:p>
    <w:p w:rsidR="005F535C"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Cs w:val="20"/>
        </w:rPr>
      </w:pPr>
    </w:p>
    <w:p w:rsidR="005F535C"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Cs w:val="20"/>
        </w:rPr>
      </w:pPr>
    </w:p>
    <w:p w:rsidR="005F535C"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Cs w:val="20"/>
        </w:rPr>
        <w:sectPr w:rsidR="005F535C" w:rsidSect="00FE621C">
          <w:pgSz w:w="15840" w:h="12240" w:orient="landscape"/>
          <w:pgMar w:top="1440" w:right="1440" w:bottom="1440" w:left="1440" w:header="720" w:footer="720" w:gutter="0"/>
          <w:cols w:space="720"/>
          <w:docGrid w:linePitch="360"/>
        </w:sectPr>
      </w:pPr>
    </w:p>
    <w:p w:rsidR="005F535C" w:rsidRPr="00186FB3"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Cs w:val="20"/>
        </w:rPr>
      </w:pPr>
      <w:r w:rsidRPr="00186FB3">
        <w:rPr>
          <w:rFonts w:cs="Calibri"/>
          <w:color w:val="000000"/>
          <w:szCs w:val="20"/>
        </w:rPr>
        <w:lastRenderedPageBreak/>
        <w:t>Table S5: Transmission probability per sex act</w:t>
      </w:r>
    </w:p>
    <w:p w:rsidR="005F535C" w:rsidRDefault="005F535C" w:rsidP="005F535C">
      <w:pPr>
        <w:tabs>
          <w:tab w:val="left" w:pos="1448"/>
          <w:tab w:val="left" w:pos="2700"/>
          <w:tab w:val="left" w:pos="3979"/>
          <w:tab w:val="left" w:pos="5172"/>
          <w:tab w:val="left" w:pos="6273"/>
          <w:tab w:val="left" w:pos="7374"/>
          <w:tab w:val="left" w:pos="8475"/>
        </w:tabs>
        <w:spacing w:after="0"/>
        <w:rPr>
          <w:rFonts w:cs="Calibri"/>
          <w:b/>
          <w:color w:val="000000"/>
          <w:sz w:val="24"/>
          <w:szCs w:val="20"/>
        </w:rPr>
      </w:pPr>
    </w:p>
    <w:p w:rsidR="005F535C" w:rsidRPr="0098093B" w:rsidRDefault="005F535C" w:rsidP="005F535C">
      <w:pPr>
        <w:tabs>
          <w:tab w:val="left" w:pos="1448"/>
          <w:tab w:val="left" w:pos="2700"/>
          <w:tab w:val="left" w:pos="3979"/>
          <w:tab w:val="left" w:pos="5172"/>
          <w:tab w:val="left" w:pos="6273"/>
          <w:tab w:val="left" w:pos="7374"/>
          <w:tab w:val="left" w:pos="8475"/>
        </w:tabs>
        <w:spacing w:after="0"/>
        <w:rPr>
          <w:rFonts w:cs="Calibri"/>
          <w:b/>
          <w:color w:val="000000"/>
          <w:sz w:val="24"/>
          <w:szCs w:val="20"/>
        </w:rPr>
      </w:pPr>
      <w:r w:rsidRPr="0098093B">
        <w:rPr>
          <w:rFonts w:cs="Calibri"/>
          <w:b/>
          <w:color w:val="000000"/>
          <w:sz w:val="24"/>
          <w:szCs w:val="20"/>
        </w:rPr>
        <w:t>Parameter</w:t>
      </w:r>
      <w:r>
        <w:rPr>
          <w:rFonts w:cs="Calibri"/>
          <w:b/>
          <w:color w:val="000000"/>
          <w:sz w:val="24"/>
          <w:szCs w:val="20"/>
        </w:rPr>
        <w:tab/>
      </w:r>
      <w:r>
        <w:rPr>
          <w:rFonts w:cs="Calibri"/>
          <w:b/>
          <w:color w:val="000000"/>
          <w:sz w:val="24"/>
          <w:szCs w:val="20"/>
        </w:rPr>
        <w:tab/>
      </w:r>
      <w:r>
        <w:rPr>
          <w:rFonts w:cs="Calibri"/>
          <w:b/>
          <w:color w:val="000000"/>
          <w:sz w:val="24"/>
          <w:szCs w:val="20"/>
        </w:rPr>
        <w:tab/>
        <w:t xml:space="preserve">                Value </w:t>
      </w:r>
      <w:r>
        <w:rPr>
          <w:rFonts w:cs="Calibri"/>
          <w:b/>
          <w:color w:val="000000"/>
          <w:sz w:val="24"/>
          <w:szCs w:val="20"/>
        </w:rPr>
        <w:tab/>
        <w:t xml:space="preserve">            </w:t>
      </w:r>
      <w:r w:rsidRPr="0098093B">
        <w:rPr>
          <w:rFonts w:cs="Calibri"/>
          <w:b/>
          <w:color w:val="000000"/>
          <w:sz w:val="24"/>
          <w:szCs w:val="20"/>
        </w:rPr>
        <w:t>Source</w:t>
      </w:r>
      <w:r w:rsidRPr="0098093B">
        <w:rPr>
          <w:rFonts w:cs="Calibri"/>
          <w:b/>
          <w:color w:val="000000"/>
          <w:sz w:val="24"/>
          <w:szCs w:val="20"/>
        </w:rPr>
        <w:tab/>
      </w:r>
    </w:p>
    <w:tbl>
      <w:tblPr>
        <w:tblW w:w="7760" w:type="dxa"/>
        <w:tblInd w:w="93" w:type="dxa"/>
        <w:tblLook w:val="04A0" w:firstRow="1" w:lastRow="0" w:firstColumn="1" w:lastColumn="0" w:noHBand="0" w:noVBand="1"/>
      </w:tblPr>
      <w:tblGrid>
        <w:gridCol w:w="3580"/>
        <w:gridCol w:w="3220"/>
        <w:gridCol w:w="960"/>
      </w:tblGrid>
      <w:tr w:rsidR="005F535C" w:rsidRPr="004130F0" w:rsidTr="00DE49A9">
        <w:trPr>
          <w:trHeight w:val="300"/>
        </w:trPr>
        <w:tc>
          <w:tcPr>
            <w:tcW w:w="6800" w:type="dxa"/>
            <w:gridSpan w:val="2"/>
            <w:tcBorders>
              <w:top w:val="single" w:sz="4" w:space="0" w:color="auto"/>
              <w:left w:val="single" w:sz="4" w:space="0" w:color="auto"/>
              <w:bottom w:val="single" w:sz="4" w:space="0" w:color="auto"/>
              <w:right w:val="nil"/>
            </w:tcBorders>
            <w:shd w:val="clear" w:color="auto" w:fill="auto"/>
            <w:noWrap/>
            <w:vAlign w:val="center"/>
            <w:hideMark/>
          </w:tcPr>
          <w:p w:rsidR="005F535C" w:rsidRPr="009B63F6" w:rsidRDefault="005F535C" w:rsidP="00DE49A9">
            <w:pPr>
              <w:spacing w:after="0" w:line="240" w:lineRule="auto"/>
              <w:rPr>
                <w:rFonts w:eastAsia="Times New Roman"/>
                <w:color w:val="000000"/>
                <w:sz w:val="20"/>
                <w:szCs w:val="20"/>
              </w:rPr>
            </w:pPr>
            <w:r w:rsidRPr="009B63F6">
              <w:rPr>
                <w:rFonts w:eastAsia="Times New Roman"/>
                <w:color w:val="000000"/>
                <w:sz w:val="20"/>
                <w:szCs w:val="20"/>
              </w:rPr>
              <w:t>Baseline value: non-acute phase without condom use and not on ART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F535C" w:rsidRPr="00332EB9" w:rsidRDefault="005F535C" w:rsidP="00DE49A9">
            <w:pPr>
              <w:spacing w:after="0" w:line="240" w:lineRule="auto"/>
              <w:jc w:val="center"/>
              <w:rPr>
                <w:rFonts w:eastAsia="Times New Roman" w:cs="Calibri"/>
                <w:noProof/>
                <w:color w:val="000000"/>
                <w:sz w:val="16"/>
                <w:szCs w:val="16"/>
              </w:rPr>
            </w:pPr>
            <w:r w:rsidRPr="00332EB9">
              <w:rPr>
                <w:rFonts w:eastAsia="Times New Roman" w:cs="Calibri"/>
                <w:noProof/>
                <w:color w:val="000000"/>
                <w:sz w:val="16"/>
                <w:szCs w:val="16"/>
              </w:rPr>
              <w:fldChar w:fldCharType="begin"/>
            </w:r>
            <w:r w:rsidRPr="00332EB9">
              <w:rPr>
                <w:rFonts w:eastAsia="Times New Roman" w:cs="Calibri"/>
                <w:noProof/>
                <w:color w:val="000000"/>
                <w:sz w:val="16"/>
                <w:szCs w:val="16"/>
              </w:rPr>
              <w:instrText>ADDIN RW.CITE{{374 Baggaley,Rebecca 2010; 160 Boily,M.C. 2009; 210 Sorensen,S.W. 2012}}</w:instrText>
            </w:r>
            <w:r w:rsidRPr="00332EB9">
              <w:rPr>
                <w:rFonts w:eastAsia="Times New Roman" w:cs="Calibri"/>
                <w:noProof/>
                <w:color w:val="000000"/>
                <w:sz w:val="16"/>
                <w:szCs w:val="16"/>
              </w:rPr>
              <w:fldChar w:fldCharType="separate"/>
            </w:r>
            <w:r w:rsidRPr="00A04044">
              <w:rPr>
                <w:rFonts w:eastAsia="Times New Roman" w:cs="Calibri"/>
                <w:noProof/>
                <w:color w:val="000000"/>
                <w:sz w:val="16"/>
                <w:szCs w:val="16"/>
              </w:rPr>
              <w:t>(66-68)</w:t>
            </w:r>
            <w:r w:rsidRPr="00332EB9">
              <w:rPr>
                <w:rFonts w:eastAsia="Times New Roman" w:cs="Calibri"/>
                <w:noProof/>
                <w:color w:val="000000"/>
                <w:sz w:val="16"/>
                <w:szCs w:val="16"/>
              </w:rPr>
              <w:fldChar w:fldCharType="end"/>
            </w:r>
            <w:r w:rsidRPr="00332EB9">
              <w:rPr>
                <w:rFonts w:eastAsia="Times New Roman" w:cs="Calibri"/>
                <w:noProof/>
                <w:color w:val="000000"/>
                <w:sz w:val="16"/>
                <w:szCs w:val="16"/>
              </w:rPr>
              <w:t xml:space="preserve"> </w:t>
            </w:r>
          </w:p>
        </w:tc>
      </w:tr>
      <w:tr w:rsidR="005F535C" w:rsidRPr="004130F0" w:rsidTr="00DE49A9">
        <w:trPr>
          <w:trHeight w:val="288"/>
        </w:trPr>
        <w:tc>
          <w:tcPr>
            <w:tcW w:w="3580" w:type="dxa"/>
            <w:tcBorders>
              <w:top w:val="nil"/>
              <w:left w:val="single" w:sz="4" w:space="0" w:color="auto"/>
              <w:bottom w:val="nil"/>
              <w:right w:val="nil"/>
            </w:tcBorders>
            <w:shd w:val="clear" w:color="auto" w:fill="auto"/>
            <w:vAlign w:val="bottom"/>
            <w:hideMark/>
          </w:tcPr>
          <w:p w:rsidR="005F535C" w:rsidRPr="009B63F6" w:rsidRDefault="005F535C" w:rsidP="00DE49A9">
            <w:pPr>
              <w:spacing w:after="0" w:line="240" w:lineRule="auto"/>
              <w:rPr>
                <w:rFonts w:eastAsia="Times New Roman"/>
                <w:color w:val="000000"/>
                <w:sz w:val="20"/>
                <w:szCs w:val="20"/>
              </w:rPr>
            </w:pPr>
            <w:r>
              <w:rPr>
                <w:rFonts w:eastAsia="Times New Roman"/>
                <w:color w:val="000000"/>
                <w:sz w:val="20"/>
                <w:szCs w:val="20"/>
              </w:rPr>
              <w:t>HIV+ f</w:t>
            </w:r>
            <w:r w:rsidRPr="009B63F6">
              <w:rPr>
                <w:rFonts w:eastAsia="Times New Roman"/>
                <w:color w:val="000000"/>
                <w:sz w:val="20"/>
                <w:szCs w:val="20"/>
              </w:rPr>
              <w:t xml:space="preserve">emale to </w:t>
            </w:r>
            <w:r>
              <w:rPr>
                <w:rFonts w:eastAsia="Times New Roman"/>
                <w:color w:val="000000"/>
                <w:sz w:val="20"/>
                <w:szCs w:val="20"/>
              </w:rPr>
              <w:t xml:space="preserve">HIV- </w:t>
            </w:r>
            <w:r w:rsidRPr="009B63F6">
              <w:rPr>
                <w:rFonts w:eastAsia="Times New Roman"/>
                <w:color w:val="000000"/>
                <w:sz w:val="20"/>
                <w:szCs w:val="20"/>
              </w:rPr>
              <w:t>male vaginal</w:t>
            </w:r>
          </w:p>
        </w:tc>
        <w:tc>
          <w:tcPr>
            <w:tcW w:w="3220" w:type="dxa"/>
            <w:tcBorders>
              <w:top w:val="nil"/>
              <w:left w:val="nil"/>
              <w:bottom w:val="nil"/>
              <w:right w:val="nil"/>
            </w:tcBorders>
            <w:shd w:val="clear" w:color="auto" w:fill="auto"/>
            <w:vAlign w:val="center"/>
            <w:hideMark/>
          </w:tcPr>
          <w:p w:rsidR="005F535C" w:rsidRPr="009B63F6" w:rsidRDefault="005F535C" w:rsidP="00DE49A9">
            <w:pPr>
              <w:spacing w:after="0" w:line="240" w:lineRule="auto"/>
              <w:jc w:val="center"/>
              <w:rPr>
                <w:rFonts w:eastAsia="Times New Roman"/>
                <w:color w:val="000000"/>
                <w:sz w:val="20"/>
                <w:szCs w:val="20"/>
              </w:rPr>
            </w:pPr>
            <w:r w:rsidRPr="009B63F6">
              <w:rPr>
                <w:rFonts w:eastAsia="Times New Roman"/>
                <w:color w:val="000000"/>
                <w:sz w:val="20"/>
                <w:szCs w:val="20"/>
              </w:rPr>
              <w:t>0.0008</w:t>
            </w:r>
          </w:p>
        </w:tc>
        <w:tc>
          <w:tcPr>
            <w:tcW w:w="960" w:type="dxa"/>
            <w:tcBorders>
              <w:top w:val="nil"/>
              <w:left w:val="nil"/>
              <w:bottom w:val="nil"/>
              <w:right w:val="single" w:sz="4" w:space="0" w:color="auto"/>
            </w:tcBorders>
            <w:shd w:val="clear" w:color="auto" w:fill="auto"/>
            <w:vAlign w:val="bottom"/>
            <w:hideMark/>
          </w:tcPr>
          <w:p w:rsidR="005F535C" w:rsidRPr="00332EB9" w:rsidRDefault="005F535C" w:rsidP="00DE49A9">
            <w:pPr>
              <w:spacing w:after="0" w:line="240" w:lineRule="auto"/>
              <w:jc w:val="center"/>
              <w:rPr>
                <w:rFonts w:eastAsia="Times New Roman"/>
                <w:color w:val="000000"/>
                <w:sz w:val="16"/>
                <w:szCs w:val="16"/>
              </w:rPr>
            </w:pPr>
            <w:r w:rsidRPr="00332EB9">
              <w:rPr>
                <w:rFonts w:eastAsia="Times New Roman"/>
                <w:color w:val="000000"/>
                <w:sz w:val="16"/>
                <w:szCs w:val="16"/>
              </w:rPr>
              <w:t> </w:t>
            </w:r>
          </w:p>
        </w:tc>
      </w:tr>
      <w:tr w:rsidR="005F535C" w:rsidRPr="004130F0" w:rsidTr="00DE49A9">
        <w:trPr>
          <w:trHeight w:val="288"/>
        </w:trPr>
        <w:tc>
          <w:tcPr>
            <w:tcW w:w="3580" w:type="dxa"/>
            <w:tcBorders>
              <w:top w:val="nil"/>
              <w:left w:val="single" w:sz="4" w:space="0" w:color="auto"/>
              <w:bottom w:val="nil"/>
              <w:right w:val="nil"/>
            </w:tcBorders>
            <w:shd w:val="clear" w:color="auto" w:fill="auto"/>
            <w:vAlign w:val="center"/>
            <w:hideMark/>
          </w:tcPr>
          <w:p w:rsidR="005F535C" w:rsidRPr="009B63F6" w:rsidRDefault="005F535C" w:rsidP="00DE49A9">
            <w:pPr>
              <w:spacing w:after="0" w:line="240" w:lineRule="auto"/>
              <w:rPr>
                <w:rFonts w:eastAsia="Times New Roman"/>
                <w:color w:val="000000"/>
                <w:sz w:val="20"/>
                <w:szCs w:val="20"/>
              </w:rPr>
            </w:pPr>
            <w:r>
              <w:rPr>
                <w:rFonts w:eastAsia="Times New Roman"/>
                <w:color w:val="000000"/>
                <w:sz w:val="20"/>
                <w:szCs w:val="20"/>
              </w:rPr>
              <w:t>HIV+ f</w:t>
            </w:r>
            <w:r w:rsidRPr="009B63F6">
              <w:rPr>
                <w:rFonts w:eastAsia="Times New Roman"/>
                <w:color w:val="000000"/>
                <w:sz w:val="20"/>
                <w:szCs w:val="20"/>
              </w:rPr>
              <w:t xml:space="preserve">emale to </w:t>
            </w:r>
            <w:r>
              <w:rPr>
                <w:rFonts w:eastAsia="Times New Roman"/>
                <w:color w:val="000000"/>
                <w:sz w:val="20"/>
                <w:szCs w:val="20"/>
              </w:rPr>
              <w:t xml:space="preserve">HIV- </w:t>
            </w:r>
            <w:r w:rsidRPr="009B63F6">
              <w:rPr>
                <w:rFonts w:eastAsia="Times New Roman"/>
                <w:color w:val="000000"/>
                <w:sz w:val="20"/>
                <w:szCs w:val="20"/>
              </w:rPr>
              <w:t>male anal</w:t>
            </w:r>
          </w:p>
        </w:tc>
        <w:tc>
          <w:tcPr>
            <w:tcW w:w="3220" w:type="dxa"/>
            <w:tcBorders>
              <w:top w:val="nil"/>
              <w:left w:val="nil"/>
              <w:bottom w:val="nil"/>
              <w:right w:val="nil"/>
            </w:tcBorders>
            <w:shd w:val="clear" w:color="auto" w:fill="auto"/>
            <w:vAlign w:val="center"/>
            <w:hideMark/>
          </w:tcPr>
          <w:p w:rsidR="005F535C" w:rsidRPr="009B63F6" w:rsidRDefault="005F535C" w:rsidP="00DE49A9">
            <w:pPr>
              <w:spacing w:after="0" w:line="240" w:lineRule="auto"/>
              <w:jc w:val="center"/>
              <w:rPr>
                <w:rFonts w:eastAsia="Times New Roman"/>
                <w:color w:val="000000"/>
                <w:sz w:val="20"/>
                <w:szCs w:val="20"/>
              </w:rPr>
            </w:pPr>
            <w:r w:rsidRPr="009B63F6">
              <w:rPr>
                <w:rFonts w:eastAsia="Times New Roman"/>
                <w:color w:val="000000"/>
                <w:sz w:val="20"/>
                <w:szCs w:val="20"/>
              </w:rPr>
              <w:t>0.0018</w:t>
            </w:r>
          </w:p>
        </w:tc>
        <w:tc>
          <w:tcPr>
            <w:tcW w:w="960" w:type="dxa"/>
            <w:tcBorders>
              <w:top w:val="nil"/>
              <w:left w:val="nil"/>
              <w:bottom w:val="nil"/>
              <w:right w:val="single" w:sz="4" w:space="0" w:color="auto"/>
            </w:tcBorders>
            <w:shd w:val="clear" w:color="auto" w:fill="auto"/>
            <w:vAlign w:val="bottom"/>
            <w:hideMark/>
          </w:tcPr>
          <w:p w:rsidR="005F535C" w:rsidRPr="00332EB9" w:rsidRDefault="005F535C" w:rsidP="00DE49A9">
            <w:pPr>
              <w:spacing w:after="0" w:line="240" w:lineRule="auto"/>
              <w:jc w:val="center"/>
              <w:rPr>
                <w:rFonts w:eastAsia="Times New Roman"/>
                <w:color w:val="000000"/>
                <w:sz w:val="16"/>
                <w:szCs w:val="16"/>
              </w:rPr>
            </w:pPr>
            <w:r w:rsidRPr="00332EB9">
              <w:rPr>
                <w:rFonts w:eastAsia="Times New Roman"/>
                <w:color w:val="000000"/>
                <w:sz w:val="16"/>
                <w:szCs w:val="16"/>
              </w:rPr>
              <w:t> </w:t>
            </w:r>
          </w:p>
        </w:tc>
      </w:tr>
      <w:tr w:rsidR="005F535C" w:rsidRPr="004130F0" w:rsidTr="00DE49A9">
        <w:trPr>
          <w:trHeight w:val="288"/>
        </w:trPr>
        <w:tc>
          <w:tcPr>
            <w:tcW w:w="3580" w:type="dxa"/>
            <w:tcBorders>
              <w:top w:val="nil"/>
              <w:left w:val="single" w:sz="4" w:space="0" w:color="auto"/>
              <w:bottom w:val="nil"/>
              <w:right w:val="nil"/>
            </w:tcBorders>
            <w:shd w:val="clear" w:color="auto" w:fill="auto"/>
            <w:vAlign w:val="bottom"/>
            <w:hideMark/>
          </w:tcPr>
          <w:p w:rsidR="005F535C" w:rsidRPr="009B63F6" w:rsidRDefault="005F535C" w:rsidP="00DE49A9">
            <w:pPr>
              <w:spacing w:after="0" w:line="240" w:lineRule="auto"/>
              <w:rPr>
                <w:rFonts w:eastAsia="Times New Roman"/>
                <w:color w:val="000000"/>
                <w:sz w:val="20"/>
                <w:szCs w:val="20"/>
              </w:rPr>
            </w:pPr>
            <w:r>
              <w:rPr>
                <w:rFonts w:eastAsia="Times New Roman"/>
                <w:color w:val="000000"/>
                <w:sz w:val="20"/>
                <w:szCs w:val="20"/>
              </w:rPr>
              <w:t>HIV+ male to HIV- f</w:t>
            </w:r>
            <w:r w:rsidRPr="009B63F6">
              <w:rPr>
                <w:rFonts w:eastAsia="Times New Roman"/>
                <w:color w:val="000000"/>
                <w:sz w:val="20"/>
                <w:szCs w:val="20"/>
              </w:rPr>
              <w:t>emale vaginal</w:t>
            </w:r>
          </w:p>
        </w:tc>
        <w:tc>
          <w:tcPr>
            <w:tcW w:w="3220" w:type="dxa"/>
            <w:tcBorders>
              <w:top w:val="nil"/>
              <w:left w:val="nil"/>
              <w:bottom w:val="nil"/>
              <w:right w:val="nil"/>
            </w:tcBorders>
            <w:shd w:val="clear" w:color="auto" w:fill="auto"/>
            <w:vAlign w:val="center"/>
            <w:hideMark/>
          </w:tcPr>
          <w:p w:rsidR="005F535C" w:rsidRPr="009B63F6" w:rsidRDefault="005F535C" w:rsidP="00DE49A9">
            <w:pPr>
              <w:spacing w:after="0" w:line="240" w:lineRule="auto"/>
              <w:jc w:val="center"/>
              <w:rPr>
                <w:rFonts w:eastAsia="Times New Roman"/>
                <w:color w:val="000000"/>
                <w:sz w:val="20"/>
                <w:szCs w:val="20"/>
              </w:rPr>
            </w:pPr>
            <w:r w:rsidRPr="009B63F6">
              <w:rPr>
                <w:rFonts w:eastAsia="Times New Roman"/>
                <w:color w:val="000000"/>
                <w:sz w:val="20"/>
                <w:szCs w:val="20"/>
              </w:rPr>
              <w:t>0.0008</w:t>
            </w:r>
          </w:p>
        </w:tc>
        <w:tc>
          <w:tcPr>
            <w:tcW w:w="960" w:type="dxa"/>
            <w:tcBorders>
              <w:top w:val="nil"/>
              <w:left w:val="nil"/>
              <w:bottom w:val="nil"/>
              <w:right w:val="single" w:sz="4" w:space="0" w:color="auto"/>
            </w:tcBorders>
            <w:shd w:val="clear" w:color="auto" w:fill="auto"/>
            <w:vAlign w:val="bottom"/>
            <w:hideMark/>
          </w:tcPr>
          <w:p w:rsidR="005F535C" w:rsidRPr="00332EB9" w:rsidRDefault="005F535C" w:rsidP="00DE49A9">
            <w:pPr>
              <w:spacing w:after="0" w:line="240" w:lineRule="auto"/>
              <w:jc w:val="center"/>
              <w:rPr>
                <w:rFonts w:eastAsia="Times New Roman"/>
                <w:color w:val="000000"/>
                <w:sz w:val="16"/>
                <w:szCs w:val="16"/>
              </w:rPr>
            </w:pPr>
            <w:r w:rsidRPr="00332EB9">
              <w:rPr>
                <w:rFonts w:eastAsia="Times New Roman"/>
                <w:color w:val="000000"/>
                <w:sz w:val="16"/>
                <w:szCs w:val="16"/>
              </w:rPr>
              <w:t> </w:t>
            </w:r>
          </w:p>
        </w:tc>
      </w:tr>
      <w:tr w:rsidR="005F535C" w:rsidRPr="004130F0" w:rsidTr="00DE49A9">
        <w:trPr>
          <w:trHeight w:val="288"/>
        </w:trPr>
        <w:tc>
          <w:tcPr>
            <w:tcW w:w="3580" w:type="dxa"/>
            <w:tcBorders>
              <w:top w:val="nil"/>
              <w:left w:val="single" w:sz="4" w:space="0" w:color="auto"/>
              <w:bottom w:val="nil"/>
              <w:right w:val="nil"/>
            </w:tcBorders>
            <w:shd w:val="clear" w:color="auto" w:fill="auto"/>
            <w:vAlign w:val="bottom"/>
            <w:hideMark/>
          </w:tcPr>
          <w:p w:rsidR="005F535C" w:rsidRPr="009B63F6" w:rsidRDefault="005F535C" w:rsidP="00DE49A9">
            <w:pPr>
              <w:spacing w:after="0" w:line="240" w:lineRule="auto"/>
              <w:rPr>
                <w:rFonts w:eastAsia="Times New Roman"/>
                <w:color w:val="000000"/>
                <w:sz w:val="20"/>
                <w:szCs w:val="20"/>
              </w:rPr>
            </w:pPr>
            <w:r>
              <w:rPr>
                <w:rFonts w:eastAsia="Times New Roman"/>
                <w:color w:val="000000"/>
                <w:sz w:val="20"/>
                <w:szCs w:val="20"/>
              </w:rPr>
              <w:t>HIV+ m</w:t>
            </w:r>
            <w:r w:rsidRPr="009B63F6">
              <w:rPr>
                <w:rFonts w:eastAsia="Times New Roman"/>
                <w:color w:val="000000"/>
                <w:sz w:val="20"/>
                <w:szCs w:val="20"/>
              </w:rPr>
              <w:t xml:space="preserve">ale to </w:t>
            </w:r>
            <w:r>
              <w:rPr>
                <w:rFonts w:eastAsia="Times New Roman"/>
                <w:color w:val="000000"/>
                <w:sz w:val="20"/>
                <w:szCs w:val="20"/>
              </w:rPr>
              <w:t xml:space="preserve">HIV- </w:t>
            </w:r>
            <w:r w:rsidRPr="009B63F6">
              <w:rPr>
                <w:rFonts w:eastAsia="Times New Roman"/>
                <w:color w:val="000000"/>
                <w:sz w:val="20"/>
                <w:szCs w:val="20"/>
              </w:rPr>
              <w:t>female anal</w:t>
            </w:r>
          </w:p>
        </w:tc>
        <w:tc>
          <w:tcPr>
            <w:tcW w:w="3220" w:type="dxa"/>
            <w:tcBorders>
              <w:top w:val="nil"/>
              <w:left w:val="nil"/>
              <w:bottom w:val="nil"/>
              <w:right w:val="nil"/>
            </w:tcBorders>
            <w:shd w:val="clear" w:color="auto" w:fill="auto"/>
            <w:vAlign w:val="center"/>
            <w:hideMark/>
          </w:tcPr>
          <w:p w:rsidR="005F535C" w:rsidRPr="009B63F6" w:rsidRDefault="005F535C" w:rsidP="00DE49A9">
            <w:pPr>
              <w:spacing w:after="0" w:line="240" w:lineRule="auto"/>
              <w:jc w:val="center"/>
              <w:rPr>
                <w:rFonts w:eastAsia="Times New Roman"/>
                <w:color w:val="000000"/>
                <w:sz w:val="20"/>
                <w:szCs w:val="20"/>
              </w:rPr>
            </w:pPr>
            <w:r w:rsidRPr="009B63F6">
              <w:rPr>
                <w:rFonts w:eastAsia="Times New Roman"/>
                <w:color w:val="000000"/>
                <w:sz w:val="20"/>
                <w:szCs w:val="20"/>
              </w:rPr>
              <w:t>0.0082</w:t>
            </w:r>
          </w:p>
        </w:tc>
        <w:tc>
          <w:tcPr>
            <w:tcW w:w="960" w:type="dxa"/>
            <w:tcBorders>
              <w:top w:val="nil"/>
              <w:left w:val="nil"/>
              <w:bottom w:val="nil"/>
              <w:right w:val="single" w:sz="4" w:space="0" w:color="auto"/>
            </w:tcBorders>
            <w:shd w:val="clear" w:color="auto" w:fill="auto"/>
            <w:vAlign w:val="bottom"/>
            <w:hideMark/>
          </w:tcPr>
          <w:p w:rsidR="005F535C" w:rsidRPr="00332EB9" w:rsidRDefault="005F535C" w:rsidP="00DE49A9">
            <w:pPr>
              <w:spacing w:after="0" w:line="240" w:lineRule="auto"/>
              <w:jc w:val="center"/>
              <w:rPr>
                <w:rFonts w:eastAsia="Times New Roman"/>
                <w:color w:val="000000"/>
                <w:sz w:val="16"/>
                <w:szCs w:val="16"/>
              </w:rPr>
            </w:pPr>
            <w:r w:rsidRPr="00332EB9">
              <w:rPr>
                <w:rFonts w:eastAsia="Times New Roman"/>
                <w:color w:val="000000"/>
                <w:sz w:val="16"/>
                <w:szCs w:val="16"/>
              </w:rPr>
              <w:t> </w:t>
            </w:r>
          </w:p>
        </w:tc>
      </w:tr>
      <w:tr w:rsidR="005F535C" w:rsidRPr="004130F0" w:rsidTr="00DE49A9">
        <w:trPr>
          <w:trHeight w:val="288"/>
        </w:trPr>
        <w:tc>
          <w:tcPr>
            <w:tcW w:w="3580" w:type="dxa"/>
            <w:tcBorders>
              <w:top w:val="nil"/>
              <w:left w:val="single" w:sz="4" w:space="0" w:color="auto"/>
              <w:bottom w:val="nil"/>
              <w:right w:val="nil"/>
            </w:tcBorders>
            <w:shd w:val="clear" w:color="auto" w:fill="auto"/>
            <w:vAlign w:val="bottom"/>
            <w:hideMark/>
          </w:tcPr>
          <w:p w:rsidR="005F535C" w:rsidRPr="009B63F6" w:rsidRDefault="005F535C" w:rsidP="00DE49A9">
            <w:pPr>
              <w:spacing w:after="0" w:line="240" w:lineRule="auto"/>
              <w:rPr>
                <w:rFonts w:eastAsia="Times New Roman"/>
                <w:color w:val="000000"/>
                <w:sz w:val="20"/>
                <w:szCs w:val="20"/>
              </w:rPr>
            </w:pPr>
            <w:r w:rsidRPr="009B63F6">
              <w:rPr>
                <w:rFonts w:eastAsia="Times New Roman"/>
                <w:color w:val="000000"/>
                <w:sz w:val="20"/>
                <w:szCs w:val="20"/>
              </w:rPr>
              <w:t>Male to male</w:t>
            </w:r>
            <w:r>
              <w:rPr>
                <w:rFonts w:eastAsia="Times New Roman"/>
                <w:color w:val="000000"/>
                <w:sz w:val="20"/>
                <w:szCs w:val="20"/>
              </w:rPr>
              <w:t>:</w:t>
            </w:r>
            <w:r w:rsidRPr="009B63F6">
              <w:rPr>
                <w:rFonts w:eastAsia="Times New Roman"/>
                <w:color w:val="000000"/>
                <w:sz w:val="20"/>
                <w:szCs w:val="20"/>
              </w:rPr>
              <w:t xml:space="preserve"> HIV+ person insertive</w:t>
            </w:r>
          </w:p>
        </w:tc>
        <w:tc>
          <w:tcPr>
            <w:tcW w:w="3220" w:type="dxa"/>
            <w:tcBorders>
              <w:top w:val="nil"/>
              <w:left w:val="nil"/>
              <w:bottom w:val="nil"/>
              <w:right w:val="nil"/>
            </w:tcBorders>
            <w:shd w:val="clear" w:color="auto" w:fill="auto"/>
            <w:vAlign w:val="center"/>
            <w:hideMark/>
          </w:tcPr>
          <w:p w:rsidR="005F535C" w:rsidRPr="009B63F6" w:rsidRDefault="005F535C" w:rsidP="00DE49A9">
            <w:pPr>
              <w:spacing w:after="0" w:line="240" w:lineRule="auto"/>
              <w:jc w:val="center"/>
              <w:rPr>
                <w:rFonts w:eastAsia="Times New Roman"/>
                <w:color w:val="000000"/>
                <w:sz w:val="20"/>
                <w:szCs w:val="20"/>
              </w:rPr>
            </w:pPr>
            <w:r w:rsidRPr="009B63F6">
              <w:rPr>
                <w:rFonts w:eastAsia="Times New Roman"/>
                <w:color w:val="000000"/>
                <w:sz w:val="20"/>
                <w:szCs w:val="20"/>
              </w:rPr>
              <w:t>0.0082</w:t>
            </w:r>
          </w:p>
        </w:tc>
        <w:tc>
          <w:tcPr>
            <w:tcW w:w="960" w:type="dxa"/>
            <w:tcBorders>
              <w:top w:val="nil"/>
              <w:left w:val="nil"/>
              <w:bottom w:val="nil"/>
              <w:right w:val="single" w:sz="4" w:space="0" w:color="auto"/>
            </w:tcBorders>
            <w:shd w:val="clear" w:color="auto" w:fill="auto"/>
            <w:vAlign w:val="bottom"/>
            <w:hideMark/>
          </w:tcPr>
          <w:p w:rsidR="005F535C" w:rsidRPr="00332EB9" w:rsidRDefault="005F535C" w:rsidP="00DE49A9">
            <w:pPr>
              <w:spacing w:after="0" w:line="240" w:lineRule="auto"/>
              <w:jc w:val="center"/>
              <w:rPr>
                <w:rFonts w:eastAsia="Times New Roman"/>
                <w:color w:val="000000"/>
                <w:sz w:val="16"/>
                <w:szCs w:val="16"/>
              </w:rPr>
            </w:pPr>
            <w:r w:rsidRPr="00332EB9">
              <w:rPr>
                <w:rFonts w:eastAsia="Times New Roman"/>
                <w:color w:val="000000"/>
                <w:sz w:val="16"/>
                <w:szCs w:val="16"/>
              </w:rPr>
              <w:t> </w:t>
            </w:r>
          </w:p>
        </w:tc>
      </w:tr>
      <w:tr w:rsidR="005F535C" w:rsidRPr="004130F0" w:rsidTr="00DE49A9">
        <w:trPr>
          <w:trHeight w:val="288"/>
        </w:trPr>
        <w:tc>
          <w:tcPr>
            <w:tcW w:w="3580" w:type="dxa"/>
            <w:tcBorders>
              <w:top w:val="nil"/>
              <w:left w:val="single" w:sz="4" w:space="0" w:color="auto"/>
              <w:bottom w:val="nil"/>
              <w:right w:val="nil"/>
            </w:tcBorders>
            <w:shd w:val="clear" w:color="auto" w:fill="auto"/>
            <w:vAlign w:val="bottom"/>
            <w:hideMark/>
          </w:tcPr>
          <w:p w:rsidR="005F535C" w:rsidRPr="009B63F6" w:rsidRDefault="005F535C" w:rsidP="00DE49A9">
            <w:pPr>
              <w:spacing w:after="0" w:line="240" w:lineRule="auto"/>
              <w:rPr>
                <w:rFonts w:eastAsia="Times New Roman"/>
                <w:color w:val="000000"/>
                <w:sz w:val="20"/>
                <w:szCs w:val="20"/>
              </w:rPr>
            </w:pPr>
            <w:r w:rsidRPr="009B63F6">
              <w:rPr>
                <w:rFonts w:eastAsia="Times New Roman"/>
                <w:color w:val="000000"/>
                <w:sz w:val="20"/>
                <w:szCs w:val="20"/>
              </w:rPr>
              <w:t>Male to male</w:t>
            </w:r>
            <w:r>
              <w:rPr>
                <w:rFonts w:eastAsia="Times New Roman"/>
                <w:color w:val="000000"/>
                <w:sz w:val="20"/>
                <w:szCs w:val="20"/>
              </w:rPr>
              <w:t>:</w:t>
            </w:r>
            <w:r w:rsidRPr="009B63F6">
              <w:rPr>
                <w:rFonts w:eastAsia="Times New Roman"/>
                <w:color w:val="000000"/>
                <w:sz w:val="20"/>
                <w:szCs w:val="20"/>
              </w:rPr>
              <w:t xml:space="preserve"> HIV+ person receptive</w:t>
            </w:r>
          </w:p>
        </w:tc>
        <w:tc>
          <w:tcPr>
            <w:tcW w:w="3220" w:type="dxa"/>
            <w:tcBorders>
              <w:top w:val="nil"/>
              <w:left w:val="nil"/>
              <w:bottom w:val="nil"/>
              <w:right w:val="nil"/>
            </w:tcBorders>
            <w:shd w:val="clear" w:color="auto" w:fill="auto"/>
            <w:vAlign w:val="center"/>
            <w:hideMark/>
          </w:tcPr>
          <w:p w:rsidR="005F535C" w:rsidRPr="009B63F6" w:rsidRDefault="005F535C" w:rsidP="00DE49A9">
            <w:pPr>
              <w:spacing w:after="0" w:line="240" w:lineRule="auto"/>
              <w:jc w:val="center"/>
              <w:rPr>
                <w:rFonts w:eastAsia="Times New Roman"/>
                <w:color w:val="000000"/>
                <w:sz w:val="20"/>
                <w:szCs w:val="20"/>
              </w:rPr>
            </w:pPr>
            <w:r w:rsidRPr="009B63F6">
              <w:rPr>
                <w:rFonts w:eastAsia="Times New Roman"/>
                <w:color w:val="000000"/>
                <w:sz w:val="20"/>
                <w:szCs w:val="20"/>
              </w:rPr>
              <w:t>0.0018</w:t>
            </w:r>
          </w:p>
        </w:tc>
        <w:tc>
          <w:tcPr>
            <w:tcW w:w="960" w:type="dxa"/>
            <w:tcBorders>
              <w:top w:val="nil"/>
              <w:left w:val="nil"/>
              <w:bottom w:val="nil"/>
              <w:right w:val="single" w:sz="4" w:space="0" w:color="auto"/>
            </w:tcBorders>
            <w:shd w:val="clear" w:color="auto" w:fill="auto"/>
            <w:vAlign w:val="bottom"/>
            <w:hideMark/>
          </w:tcPr>
          <w:p w:rsidR="005F535C" w:rsidRPr="00332EB9" w:rsidRDefault="005F535C" w:rsidP="00DE49A9">
            <w:pPr>
              <w:spacing w:after="0" w:line="240" w:lineRule="auto"/>
              <w:jc w:val="center"/>
              <w:rPr>
                <w:rFonts w:eastAsia="Times New Roman"/>
                <w:color w:val="000000"/>
                <w:sz w:val="16"/>
                <w:szCs w:val="16"/>
              </w:rPr>
            </w:pPr>
            <w:r w:rsidRPr="00332EB9">
              <w:rPr>
                <w:rFonts w:eastAsia="Times New Roman"/>
                <w:color w:val="000000"/>
                <w:sz w:val="16"/>
                <w:szCs w:val="16"/>
              </w:rPr>
              <w:t> </w:t>
            </w:r>
          </w:p>
        </w:tc>
      </w:tr>
      <w:tr w:rsidR="005F535C" w:rsidRPr="004130F0" w:rsidTr="00DE49A9">
        <w:trPr>
          <w:trHeight w:val="288"/>
        </w:trPr>
        <w:tc>
          <w:tcPr>
            <w:tcW w:w="3580" w:type="dxa"/>
            <w:tcBorders>
              <w:top w:val="nil"/>
              <w:left w:val="single" w:sz="4" w:space="0" w:color="auto"/>
              <w:bottom w:val="nil"/>
              <w:right w:val="nil"/>
            </w:tcBorders>
            <w:shd w:val="clear" w:color="auto" w:fill="auto"/>
            <w:vAlign w:val="bottom"/>
            <w:hideMark/>
          </w:tcPr>
          <w:p w:rsidR="005F535C" w:rsidRPr="009B63F6" w:rsidRDefault="005F535C" w:rsidP="00DE49A9">
            <w:pPr>
              <w:spacing w:after="0" w:line="240" w:lineRule="auto"/>
              <w:rPr>
                <w:rFonts w:eastAsia="Times New Roman"/>
                <w:color w:val="000000"/>
                <w:sz w:val="20"/>
                <w:szCs w:val="20"/>
              </w:rPr>
            </w:pPr>
            <w:r w:rsidRPr="009B63F6">
              <w:rPr>
                <w:rFonts w:eastAsia="Times New Roman"/>
                <w:color w:val="000000"/>
                <w:sz w:val="20"/>
                <w:szCs w:val="20"/>
              </w:rPr>
              <w:t> </w:t>
            </w:r>
          </w:p>
        </w:tc>
        <w:tc>
          <w:tcPr>
            <w:tcW w:w="3220" w:type="dxa"/>
            <w:tcBorders>
              <w:top w:val="nil"/>
              <w:left w:val="nil"/>
              <w:bottom w:val="nil"/>
              <w:right w:val="nil"/>
            </w:tcBorders>
            <w:shd w:val="clear" w:color="auto" w:fill="auto"/>
            <w:vAlign w:val="bottom"/>
            <w:hideMark/>
          </w:tcPr>
          <w:p w:rsidR="005F535C" w:rsidRPr="009B63F6" w:rsidRDefault="005F535C" w:rsidP="00DE49A9">
            <w:pPr>
              <w:spacing w:after="0" w:line="240" w:lineRule="auto"/>
              <w:jc w:val="center"/>
              <w:rPr>
                <w:rFonts w:eastAsia="Times New Roman"/>
                <w:color w:val="000000"/>
                <w:sz w:val="20"/>
                <w:szCs w:val="20"/>
              </w:rPr>
            </w:pPr>
          </w:p>
        </w:tc>
        <w:tc>
          <w:tcPr>
            <w:tcW w:w="960" w:type="dxa"/>
            <w:tcBorders>
              <w:top w:val="nil"/>
              <w:left w:val="nil"/>
              <w:bottom w:val="nil"/>
              <w:right w:val="single" w:sz="4" w:space="0" w:color="auto"/>
            </w:tcBorders>
            <w:shd w:val="clear" w:color="auto" w:fill="auto"/>
            <w:vAlign w:val="bottom"/>
            <w:hideMark/>
          </w:tcPr>
          <w:p w:rsidR="005F535C" w:rsidRPr="00332EB9" w:rsidRDefault="005F535C" w:rsidP="00DE49A9">
            <w:pPr>
              <w:spacing w:after="0" w:line="240" w:lineRule="auto"/>
              <w:jc w:val="center"/>
              <w:rPr>
                <w:rFonts w:eastAsia="Times New Roman"/>
                <w:color w:val="000000"/>
                <w:sz w:val="16"/>
                <w:szCs w:val="16"/>
              </w:rPr>
            </w:pPr>
            <w:r w:rsidRPr="00332EB9">
              <w:rPr>
                <w:rFonts w:eastAsia="Times New Roman"/>
                <w:color w:val="000000"/>
                <w:sz w:val="16"/>
                <w:szCs w:val="16"/>
              </w:rPr>
              <w:t> </w:t>
            </w:r>
          </w:p>
        </w:tc>
      </w:tr>
      <w:tr w:rsidR="005F535C" w:rsidRPr="004130F0" w:rsidTr="00DE49A9">
        <w:trPr>
          <w:trHeight w:val="300"/>
        </w:trPr>
        <w:tc>
          <w:tcPr>
            <w:tcW w:w="6800" w:type="dxa"/>
            <w:gridSpan w:val="2"/>
            <w:tcBorders>
              <w:top w:val="single" w:sz="4" w:space="0" w:color="auto"/>
              <w:left w:val="single" w:sz="4" w:space="0" w:color="auto"/>
              <w:bottom w:val="single" w:sz="4" w:space="0" w:color="auto"/>
              <w:right w:val="nil"/>
            </w:tcBorders>
            <w:shd w:val="clear" w:color="auto" w:fill="auto"/>
            <w:noWrap/>
            <w:vAlign w:val="center"/>
            <w:hideMark/>
          </w:tcPr>
          <w:p w:rsidR="005F535C" w:rsidRPr="009B63F6" w:rsidRDefault="005F535C" w:rsidP="00DE49A9">
            <w:pPr>
              <w:spacing w:after="0" w:line="240" w:lineRule="auto"/>
              <w:rPr>
                <w:rFonts w:eastAsia="Times New Roman"/>
                <w:color w:val="000000"/>
                <w:sz w:val="20"/>
                <w:szCs w:val="20"/>
              </w:rPr>
            </w:pPr>
            <w:r w:rsidRPr="009B63F6">
              <w:rPr>
                <w:rFonts w:eastAsia="Times New Roman"/>
                <w:color w:val="000000"/>
                <w:sz w:val="20"/>
                <w:szCs w:val="20"/>
              </w:rPr>
              <w:t>Acute phase transmission: factor with which to multiply baseline value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F535C" w:rsidRPr="00332EB9" w:rsidRDefault="005F535C" w:rsidP="00DE49A9">
            <w:pPr>
              <w:spacing w:after="0" w:line="240" w:lineRule="auto"/>
              <w:jc w:val="center"/>
              <w:rPr>
                <w:rFonts w:eastAsia="Times New Roman" w:cs="Calibri"/>
                <w:noProof/>
                <w:color w:val="000000"/>
                <w:sz w:val="16"/>
                <w:szCs w:val="16"/>
              </w:rPr>
            </w:pPr>
            <w:r w:rsidRPr="004130F0">
              <w:rPr>
                <w:sz w:val="16"/>
                <w:szCs w:val="16"/>
              </w:rPr>
              <w:fldChar w:fldCharType="begin"/>
            </w:r>
            <w:r w:rsidRPr="004130F0">
              <w:rPr>
                <w:sz w:val="16"/>
                <w:szCs w:val="16"/>
              </w:rPr>
              <w:instrText>ADDIN RW.CITE{{348 Pilcher,Christopher D. 2004; 347 Pilcher,C.D. 2007; 484 Hollingsworth,T.D. 2008; 485 Hughes,J.P. 2012}}</w:instrText>
            </w:r>
            <w:r w:rsidRPr="004130F0">
              <w:rPr>
                <w:sz w:val="16"/>
                <w:szCs w:val="16"/>
              </w:rPr>
              <w:fldChar w:fldCharType="separate"/>
            </w:r>
            <w:r w:rsidRPr="00A04044">
              <w:rPr>
                <w:sz w:val="16"/>
                <w:szCs w:val="16"/>
              </w:rPr>
              <w:t>(43-46)</w:t>
            </w:r>
            <w:r w:rsidRPr="004130F0">
              <w:rPr>
                <w:sz w:val="16"/>
                <w:szCs w:val="16"/>
              </w:rPr>
              <w:fldChar w:fldCharType="end"/>
            </w:r>
            <w:r w:rsidRPr="00332EB9">
              <w:rPr>
                <w:rFonts w:eastAsia="Times New Roman" w:cs="Calibri"/>
                <w:noProof/>
                <w:color w:val="000000"/>
                <w:sz w:val="16"/>
                <w:szCs w:val="16"/>
              </w:rPr>
              <w:t xml:space="preserve"> </w:t>
            </w:r>
          </w:p>
        </w:tc>
      </w:tr>
      <w:tr w:rsidR="005F535C" w:rsidRPr="004130F0" w:rsidTr="00DE49A9">
        <w:trPr>
          <w:trHeight w:val="576"/>
        </w:trPr>
        <w:tc>
          <w:tcPr>
            <w:tcW w:w="3580" w:type="dxa"/>
            <w:tcBorders>
              <w:top w:val="nil"/>
              <w:left w:val="single" w:sz="4" w:space="0" w:color="auto"/>
              <w:bottom w:val="nil"/>
              <w:right w:val="nil"/>
            </w:tcBorders>
            <w:shd w:val="clear" w:color="auto" w:fill="auto"/>
            <w:vAlign w:val="bottom"/>
            <w:hideMark/>
          </w:tcPr>
          <w:p w:rsidR="005F535C" w:rsidRPr="009B63F6" w:rsidRDefault="005F535C" w:rsidP="00DE49A9">
            <w:pPr>
              <w:spacing w:after="0" w:line="240" w:lineRule="auto"/>
              <w:rPr>
                <w:rFonts w:eastAsia="Times New Roman"/>
                <w:color w:val="000000"/>
                <w:sz w:val="20"/>
                <w:szCs w:val="20"/>
              </w:rPr>
            </w:pPr>
            <w:r w:rsidRPr="009B63F6">
              <w:rPr>
                <w:rFonts w:eastAsia="Times New Roman"/>
                <w:color w:val="000000"/>
                <w:sz w:val="20"/>
                <w:szCs w:val="20"/>
              </w:rPr>
              <w:t xml:space="preserve">MSM </w:t>
            </w:r>
          </w:p>
        </w:tc>
        <w:tc>
          <w:tcPr>
            <w:tcW w:w="3220" w:type="dxa"/>
            <w:tcBorders>
              <w:top w:val="nil"/>
              <w:left w:val="nil"/>
              <w:bottom w:val="nil"/>
              <w:right w:val="nil"/>
            </w:tcBorders>
            <w:shd w:val="clear" w:color="auto" w:fill="auto"/>
            <w:vAlign w:val="bottom"/>
            <w:hideMark/>
          </w:tcPr>
          <w:p w:rsidR="005F535C" w:rsidRPr="009B63F6" w:rsidRDefault="005F535C" w:rsidP="00DE49A9">
            <w:pPr>
              <w:spacing w:after="0" w:line="240" w:lineRule="auto"/>
              <w:jc w:val="center"/>
              <w:rPr>
                <w:rFonts w:eastAsia="Times New Roman"/>
                <w:color w:val="000000"/>
                <w:sz w:val="20"/>
                <w:szCs w:val="20"/>
              </w:rPr>
            </w:pPr>
            <w:r w:rsidRPr="009B63F6">
              <w:rPr>
                <w:rFonts w:eastAsia="Times New Roman"/>
                <w:color w:val="000000"/>
                <w:sz w:val="20"/>
                <w:szCs w:val="20"/>
              </w:rPr>
              <w:t>[12, 12, 12, 12, 9.6, 7.2, 4.8, 2.4] for week of infection [1 to 8]</w:t>
            </w:r>
          </w:p>
        </w:tc>
        <w:tc>
          <w:tcPr>
            <w:tcW w:w="960" w:type="dxa"/>
            <w:tcBorders>
              <w:top w:val="nil"/>
              <w:left w:val="nil"/>
              <w:bottom w:val="nil"/>
              <w:right w:val="single" w:sz="4" w:space="0" w:color="auto"/>
            </w:tcBorders>
            <w:shd w:val="clear" w:color="auto" w:fill="auto"/>
            <w:vAlign w:val="bottom"/>
            <w:hideMark/>
          </w:tcPr>
          <w:p w:rsidR="005F535C" w:rsidRPr="00332EB9" w:rsidRDefault="005F535C" w:rsidP="00DE49A9">
            <w:pPr>
              <w:spacing w:after="0" w:line="240" w:lineRule="auto"/>
              <w:jc w:val="center"/>
              <w:rPr>
                <w:rFonts w:eastAsia="Times New Roman"/>
                <w:color w:val="000000"/>
                <w:sz w:val="16"/>
                <w:szCs w:val="16"/>
              </w:rPr>
            </w:pPr>
            <w:r w:rsidRPr="00332EB9">
              <w:rPr>
                <w:rFonts w:eastAsia="Times New Roman"/>
                <w:color w:val="000000"/>
                <w:sz w:val="16"/>
                <w:szCs w:val="16"/>
              </w:rPr>
              <w:t> </w:t>
            </w:r>
          </w:p>
        </w:tc>
      </w:tr>
      <w:tr w:rsidR="005F535C" w:rsidRPr="004130F0" w:rsidTr="00DE49A9">
        <w:trPr>
          <w:trHeight w:val="576"/>
        </w:trPr>
        <w:tc>
          <w:tcPr>
            <w:tcW w:w="3580" w:type="dxa"/>
            <w:tcBorders>
              <w:top w:val="nil"/>
              <w:left w:val="single" w:sz="4" w:space="0" w:color="auto"/>
              <w:bottom w:val="nil"/>
              <w:right w:val="nil"/>
            </w:tcBorders>
            <w:shd w:val="clear" w:color="auto" w:fill="auto"/>
            <w:vAlign w:val="bottom"/>
            <w:hideMark/>
          </w:tcPr>
          <w:p w:rsidR="005F535C" w:rsidRPr="009B63F6" w:rsidRDefault="005F535C" w:rsidP="00DE49A9">
            <w:pPr>
              <w:spacing w:after="0" w:line="240" w:lineRule="auto"/>
              <w:rPr>
                <w:rFonts w:eastAsia="Times New Roman"/>
                <w:color w:val="000000"/>
                <w:sz w:val="20"/>
                <w:szCs w:val="20"/>
              </w:rPr>
            </w:pPr>
            <w:r w:rsidRPr="009B63F6">
              <w:rPr>
                <w:rFonts w:eastAsia="Times New Roman"/>
                <w:color w:val="000000"/>
                <w:sz w:val="20"/>
                <w:szCs w:val="20"/>
              </w:rPr>
              <w:t xml:space="preserve">HET </w:t>
            </w:r>
          </w:p>
        </w:tc>
        <w:tc>
          <w:tcPr>
            <w:tcW w:w="3220" w:type="dxa"/>
            <w:tcBorders>
              <w:top w:val="nil"/>
              <w:left w:val="nil"/>
              <w:bottom w:val="nil"/>
              <w:right w:val="nil"/>
            </w:tcBorders>
            <w:shd w:val="clear" w:color="auto" w:fill="auto"/>
            <w:vAlign w:val="bottom"/>
            <w:hideMark/>
          </w:tcPr>
          <w:p w:rsidR="005F535C" w:rsidRPr="009B63F6" w:rsidRDefault="005F535C" w:rsidP="00DE49A9">
            <w:pPr>
              <w:spacing w:after="0" w:line="240" w:lineRule="auto"/>
              <w:jc w:val="center"/>
              <w:rPr>
                <w:rFonts w:eastAsia="Times New Roman"/>
                <w:color w:val="000000"/>
                <w:sz w:val="20"/>
                <w:szCs w:val="20"/>
              </w:rPr>
            </w:pPr>
            <w:r w:rsidRPr="009B63F6">
              <w:rPr>
                <w:rFonts w:eastAsia="Times New Roman"/>
                <w:color w:val="000000"/>
                <w:sz w:val="20"/>
                <w:szCs w:val="20"/>
              </w:rPr>
              <w:t>[</w:t>
            </w:r>
            <w:r>
              <w:rPr>
                <w:rFonts w:eastAsia="Times New Roman"/>
                <w:color w:val="000000"/>
                <w:sz w:val="20"/>
                <w:szCs w:val="20"/>
              </w:rPr>
              <w:t>1,  6,</w:t>
            </w:r>
            <w:r w:rsidRPr="000057D4">
              <w:rPr>
                <w:rFonts w:eastAsia="Times New Roman"/>
                <w:color w:val="000000"/>
                <w:sz w:val="20"/>
                <w:szCs w:val="20"/>
              </w:rPr>
              <w:t xml:space="preserve"> 8.5</w:t>
            </w:r>
            <w:r>
              <w:rPr>
                <w:rFonts w:eastAsia="Times New Roman"/>
                <w:color w:val="000000"/>
                <w:sz w:val="20"/>
                <w:szCs w:val="20"/>
              </w:rPr>
              <w:t>,</w:t>
            </w:r>
            <w:r w:rsidRPr="000057D4">
              <w:rPr>
                <w:rFonts w:eastAsia="Times New Roman"/>
                <w:color w:val="000000"/>
                <w:sz w:val="20"/>
                <w:szCs w:val="20"/>
              </w:rPr>
              <w:t xml:space="preserve">  8.5</w:t>
            </w:r>
            <w:r>
              <w:rPr>
                <w:rFonts w:eastAsia="Times New Roman"/>
                <w:color w:val="000000"/>
                <w:sz w:val="20"/>
                <w:szCs w:val="20"/>
              </w:rPr>
              <w:t>,</w:t>
            </w:r>
            <w:r w:rsidRPr="000057D4">
              <w:rPr>
                <w:rFonts w:eastAsia="Times New Roman"/>
                <w:color w:val="000000"/>
                <w:sz w:val="20"/>
                <w:szCs w:val="20"/>
              </w:rPr>
              <w:t xml:space="preserve">  8.1</w:t>
            </w:r>
            <w:r>
              <w:rPr>
                <w:rFonts w:eastAsia="Times New Roman"/>
                <w:color w:val="000000"/>
                <w:sz w:val="20"/>
                <w:szCs w:val="20"/>
              </w:rPr>
              <w:t>,</w:t>
            </w:r>
            <w:r w:rsidRPr="000057D4">
              <w:rPr>
                <w:rFonts w:eastAsia="Times New Roman"/>
                <w:color w:val="000000"/>
                <w:sz w:val="20"/>
                <w:szCs w:val="20"/>
              </w:rPr>
              <w:t xml:space="preserve">  6.5</w:t>
            </w:r>
            <w:r>
              <w:rPr>
                <w:rFonts w:eastAsia="Times New Roman"/>
                <w:color w:val="000000"/>
                <w:sz w:val="20"/>
                <w:szCs w:val="20"/>
              </w:rPr>
              <w:t>,</w:t>
            </w:r>
            <w:r w:rsidRPr="000057D4">
              <w:rPr>
                <w:rFonts w:eastAsia="Times New Roman"/>
                <w:color w:val="000000"/>
                <w:sz w:val="20"/>
                <w:szCs w:val="20"/>
              </w:rPr>
              <w:t xml:space="preserve">  4.1</w:t>
            </w:r>
            <w:r>
              <w:rPr>
                <w:rFonts w:eastAsia="Times New Roman"/>
                <w:color w:val="000000"/>
                <w:sz w:val="20"/>
                <w:szCs w:val="20"/>
              </w:rPr>
              <w:t>,</w:t>
            </w:r>
            <w:r w:rsidRPr="000057D4">
              <w:rPr>
                <w:rFonts w:eastAsia="Times New Roman"/>
                <w:color w:val="000000"/>
                <w:sz w:val="20"/>
                <w:szCs w:val="20"/>
              </w:rPr>
              <w:t xml:space="preserve">  1.1</w:t>
            </w:r>
            <w:r>
              <w:rPr>
                <w:rFonts w:eastAsia="Times New Roman"/>
                <w:color w:val="000000"/>
                <w:sz w:val="20"/>
                <w:szCs w:val="20"/>
              </w:rPr>
              <w:t>]</w:t>
            </w:r>
            <w:r w:rsidRPr="000057D4">
              <w:rPr>
                <w:rFonts w:eastAsia="Times New Roman"/>
                <w:color w:val="000000"/>
                <w:sz w:val="20"/>
                <w:szCs w:val="20"/>
              </w:rPr>
              <w:t xml:space="preserve">  </w:t>
            </w:r>
            <w:r w:rsidRPr="009B63F6">
              <w:rPr>
                <w:rFonts w:eastAsia="Times New Roman"/>
                <w:color w:val="000000"/>
                <w:sz w:val="20"/>
                <w:szCs w:val="20"/>
              </w:rPr>
              <w:t>for week of infection [1 to 8]</w:t>
            </w:r>
          </w:p>
        </w:tc>
        <w:tc>
          <w:tcPr>
            <w:tcW w:w="960" w:type="dxa"/>
            <w:tcBorders>
              <w:top w:val="nil"/>
              <w:left w:val="nil"/>
              <w:bottom w:val="nil"/>
              <w:right w:val="single" w:sz="4" w:space="0" w:color="auto"/>
            </w:tcBorders>
            <w:shd w:val="clear" w:color="auto" w:fill="auto"/>
            <w:vAlign w:val="bottom"/>
            <w:hideMark/>
          </w:tcPr>
          <w:p w:rsidR="005F535C" w:rsidRPr="00332EB9" w:rsidRDefault="005F535C" w:rsidP="00DE49A9">
            <w:pPr>
              <w:spacing w:after="0" w:line="240" w:lineRule="auto"/>
              <w:jc w:val="center"/>
              <w:rPr>
                <w:rFonts w:eastAsia="Times New Roman"/>
                <w:color w:val="000000"/>
                <w:sz w:val="16"/>
                <w:szCs w:val="16"/>
              </w:rPr>
            </w:pPr>
            <w:r w:rsidRPr="00332EB9">
              <w:rPr>
                <w:rFonts w:eastAsia="Times New Roman"/>
                <w:color w:val="000000"/>
                <w:sz w:val="16"/>
                <w:szCs w:val="16"/>
              </w:rPr>
              <w:t> </w:t>
            </w:r>
          </w:p>
        </w:tc>
      </w:tr>
      <w:tr w:rsidR="005F535C" w:rsidRPr="004130F0" w:rsidTr="00DE49A9">
        <w:trPr>
          <w:trHeight w:val="288"/>
        </w:trPr>
        <w:tc>
          <w:tcPr>
            <w:tcW w:w="3580" w:type="dxa"/>
            <w:tcBorders>
              <w:top w:val="nil"/>
              <w:left w:val="single" w:sz="4" w:space="0" w:color="auto"/>
              <w:bottom w:val="nil"/>
              <w:right w:val="nil"/>
            </w:tcBorders>
            <w:shd w:val="clear" w:color="auto" w:fill="auto"/>
            <w:vAlign w:val="bottom"/>
            <w:hideMark/>
          </w:tcPr>
          <w:p w:rsidR="005F535C" w:rsidRPr="009B63F6" w:rsidRDefault="005F535C" w:rsidP="00DE49A9">
            <w:pPr>
              <w:spacing w:after="0" w:line="240" w:lineRule="auto"/>
              <w:rPr>
                <w:rFonts w:eastAsia="Times New Roman"/>
                <w:color w:val="000000"/>
                <w:sz w:val="20"/>
                <w:szCs w:val="20"/>
              </w:rPr>
            </w:pPr>
            <w:r w:rsidRPr="009B63F6">
              <w:rPr>
                <w:rFonts w:eastAsia="Times New Roman"/>
                <w:color w:val="000000"/>
                <w:sz w:val="20"/>
                <w:szCs w:val="20"/>
              </w:rPr>
              <w:t> </w:t>
            </w:r>
          </w:p>
        </w:tc>
        <w:tc>
          <w:tcPr>
            <w:tcW w:w="3220" w:type="dxa"/>
            <w:tcBorders>
              <w:top w:val="nil"/>
              <w:left w:val="nil"/>
              <w:bottom w:val="nil"/>
              <w:right w:val="nil"/>
            </w:tcBorders>
            <w:shd w:val="clear" w:color="auto" w:fill="auto"/>
            <w:vAlign w:val="bottom"/>
            <w:hideMark/>
          </w:tcPr>
          <w:p w:rsidR="005F535C" w:rsidRPr="009B63F6" w:rsidRDefault="005F535C" w:rsidP="00DE49A9">
            <w:pPr>
              <w:spacing w:after="0" w:line="240" w:lineRule="auto"/>
              <w:jc w:val="center"/>
              <w:rPr>
                <w:rFonts w:eastAsia="Times New Roman"/>
                <w:color w:val="000000"/>
                <w:sz w:val="20"/>
                <w:szCs w:val="20"/>
              </w:rPr>
            </w:pPr>
          </w:p>
        </w:tc>
        <w:tc>
          <w:tcPr>
            <w:tcW w:w="960" w:type="dxa"/>
            <w:tcBorders>
              <w:top w:val="nil"/>
              <w:left w:val="nil"/>
              <w:bottom w:val="nil"/>
              <w:right w:val="single" w:sz="4" w:space="0" w:color="auto"/>
            </w:tcBorders>
            <w:shd w:val="clear" w:color="auto" w:fill="auto"/>
            <w:vAlign w:val="bottom"/>
            <w:hideMark/>
          </w:tcPr>
          <w:p w:rsidR="005F535C" w:rsidRPr="00332EB9" w:rsidRDefault="005F535C" w:rsidP="00DE49A9">
            <w:pPr>
              <w:spacing w:after="0" w:line="240" w:lineRule="auto"/>
              <w:jc w:val="center"/>
              <w:rPr>
                <w:rFonts w:eastAsia="Times New Roman"/>
                <w:color w:val="000000"/>
                <w:sz w:val="16"/>
                <w:szCs w:val="16"/>
              </w:rPr>
            </w:pPr>
            <w:r w:rsidRPr="00332EB9">
              <w:rPr>
                <w:rFonts w:eastAsia="Times New Roman"/>
                <w:color w:val="000000"/>
                <w:sz w:val="16"/>
                <w:szCs w:val="16"/>
              </w:rPr>
              <w:t> </w:t>
            </w:r>
          </w:p>
        </w:tc>
      </w:tr>
      <w:tr w:rsidR="005F535C" w:rsidRPr="004130F0" w:rsidTr="00DE49A9">
        <w:trPr>
          <w:trHeight w:val="288"/>
        </w:trPr>
        <w:tc>
          <w:tcPr>
            <w:tcW w:w="6800" w:type="dxa"/>
            <w:gridSpan w:val="2"/>
            <w:tcBorders>
              <w:top w:val="single" w:sz="4" w:space="0" w:color="auto"/>
              <w:left w:val="single" w:sz="4" w:space="0" w:color="auto"/>
              <w:bottom w:val="single" w:sz="4" w:space="0" w:color="auto"/>
              <w:right w:val="nil"/>
            </w:tcBorders>
            <w:shd w:val="clear" w:color="auto" w:fill="auto"/>
            <w:noWrap/>
            <w:vAlign w:val="bottom"/>
            <w:hideMark/>
          </w:tcPr>
          <w:p w:rsidR="005F535C" w:rsidRPr="009B63F6" w:rsidRDefault="005F535C" w:rsidP="00DE49A9">
            <w:pPr>
              <w:spacing w:after="0" w:line="240" w:lineRule="auto"/>
              <w:rPr>
                <w:rFonts w:eastAsia="Times New Roman"/>
                <w:color w:val="000000"/>
                <w:sz w:val="20"/>
                <w:szCs w:val="20"/>
              </w:rPr>
            </w:pPr>
            <w:r w:rsidRPr="009B63F6">
              <w:rPr>
                <w:rFonts w:eastAsia="Times New Roman"/>
                <w:color w:val="000000"/>
                <w:sz w:val="20"/>
                <w:szCs w:val="20"/>
              </w:rPr>
              <w:t>Proportion(%) reduction in transmission probability compared to baseline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5F535C" w:rsidRPr="00332EB9" w:rsidRDefault="005F535C" w:rsidP="00DE49A9">
            <w:pPr>
              <w:spacing w:after="0" w:line="240" w:lineRule="auto"/>
              <w:jc w:val="center"/>
              <w:rPr>
                <w:rFonts w:eastAsia="Times New Roman"/>
                <w:color w:val="000000"/>
                <w:sz w:val="16"/>
                <w:szCs w:val="16"/>
              </w:rPr>
            </w:pPr>
            <w:r w:rsidRPr="00332EB9">
              <w:rPr>
                <w:rFonts w:eastAsia="Times New Roman"/>
                <w:color w:val="000000"/>
                <w:sz w:val="16"/>
                <w:szCs w:val="16"/>
              </w:rPr>
              <w:t> </w:t>
            </w:r>
          </w:p>
        </w:tc>
      </w:tr>
      <w:tr w:rsidR="005F535C" w:rsidRPr="004130F0" w:rsidTr="00DE49A9">
        <w:trPr>
          <w:trHeight w:val="396"/>
        </w:trPr>
        <w:tc>
          <w:tcPr>
            <w:tcW w:w="3580" w:type="dxa"/>
            <w:tcBorders>
              <w:top w:val="nil"/>
              <w:left w:val="single" w:sz="4" w:space="0" w:color="auto"/>
              <w:bottom w:val="nil"/>
              <w:right w:val="nil"/>
            </w:tcBorders>
            <w:shd w:val="clear" w:color="auto" w:fill="auto"/>
            <w:noWrap/>
            <w:vAlign w:val="center"/>
            <w:hideMark/>
          </w:tcPr>
          <w:p w:rsidR="005F535C" w:rsidRPr="009B63F6" w:rsidRDefault="005F535C" w:rsidP="00DE49A9">
            <w:pPr>
              <w:spacing w:after="0" w:line="240" w:lineRule="auto"/>
              <w:rPr>
                <w:rFonts w:eastAsia="Times New Roman"/>
                <w:color w:val="000000"/>
                <w:sz w:val="20"/>
                <w:szCs w:val="20"/>
              </w:rPr>
            </w:pPr>
            <w:r w:rsidRPr="009B63F6">
              <w:rPr>
                <w:rFonts w:eastAsia="Times New Roman"/>
                <w:color w:val="000000"/>
                <w:sz w:val="20"/>
                <w:szCs w:val="20"/>
              </w:rPr>
              <w:t>With condom use</w:t>
            </w:r>
          </w:p>
        </w:tc>
        <w:tc>
          <w:tcPr>
            <w:tcW w:w="3220" w:type="dxa"/>
            <w:tcBorders>
              <w:top w:val="nil"/>
              <w:left w:val="nil"/>
              <w:bottom w:val="nil"/>
              <w:right w:val="nil"/>
            </w:tcBorders>
            <w:shd w:val="clear" w:color="auto" w:fill="auto"/>
            <w:noWrap/>
            <w:vAlign w:val="center"/>
            <w:hideMark/>
          </w:tcPr>
          <w:p w:rsidR="005F535C" w:rsidRPr="009B63F6" w:rsidRDefault="005F535C" w:rsidP="00DE49A9">
            <w:pPr>
              <w:spacing w:after="0" w:line="240" w:lineRule="auto"/>
              <w:jc w:val="center"/>
              <w:rPr>
                <w:rFonts w:eastAsia="Times New Roman"/>
                <w:color w:val="000000"/>
                <w:sz w:val="20"/>
                <w:szCs w:val="20"/>
              </w:rPr>
            </w:pPr>
            <w:r w:rsidRPr="009B63F6">
              <w:rPr>
                <w:rFonts w:eastAsia="Times New Roman"/>
                <w:color w:val="000000"/>
                <w:sz w:val="20"/>
                <w:szCs w:val="20"/>
              </w:rPr>
              <w:t>0.8</w:t>
            </w:r>
          </w:p>
        </w:tc>
        <w:tc>
          <w:tcPr>
            <w:tcW w:w="960" w:type="dxa"/>
            <w:tcBorders>
              <w:top w:val="nil"/>
              <w:left w:val="nil"/>
              <w:bottom w:val="nil"/>
              <w:right w:val="single" w:sz="4" w:space="0" w:color="auto"/>
            </w:tcBorders>
            <w:shd w:val="clear" w:color="auto" w:fill="auto"/>
            <w:noWrap/>
            <w:vAlign w:val="bottom"/>
            <w:hideMark/>
          </w:tcPr>
          <w:p w:rsidR="005F535C" w:rsidRPr="00332EB9" w:rsidRDefault="005F535C" w:rsidP="00DE49A9">
            <w:pPr>
              <w:spacing w:after="0" w:line="240" w:lineRule="auto"/>
              <w:jc w:val="center"/>
              <w:rPr>
                <w:rFonts w:eastAsia="Times New Roman"/>
                <w:color w:val="000000"/>
                <w:sz w:val="16"/>
                <w:szCs w:val="16"/>
              </w:rPr>
            </w:pPr>
            <w:r w:rsidRPr="00332EB9">
              <w:rPr>
                <w:rFonts w:eastAsia="Times New Roman"/>
                <w:color w:val="000000"/>
                <w:sz w:val="16"/>
                <w:szCs w:val="16"/>
              </w:rPr>
              <w:fldChar w:fldCharType="begin"/>
            </w:r>
            <w:r w:rsidRPr="00332EB9">
              <w:rPr>
                <w:rFonts w:eastAsia="Times New Roman"/>
                <w:color w:val="000000"/>
                <w:sz w:val="16"/>
                <w:szCs w:val="16"/>
              </w:rPr>
              <w:instrText>ADDIN RW.CITE{{493 Pinkerton,S.D. 1997; 494 Davis,K.R. 1999; 495 Weller,S.C. 2009}}</w:instrText>
            </w:r>
            <w:r w:rsidRPr="00332EB9">
              <w:rPr>
                <w:rFonts w:eastAsia="Times New Roman"/>
                <w:color w:val="000000"/>
                <w:sz w:val="16"/>
                <w:szCs w:val="16"/>
              </w:rPr>
              <w:fldChar w:fldCharType="separate"/>
            </w:r>
            <w:r w:rsidRPr="00A04044">
              <w:rPr>
                <w:rFonts w:eastAsia="Times New Roman"/>
                <w:color w:val="000000"/>
                <w:sz w:val="16"/>
                <w:szCs w:val="16"/>
              </w:rPr>
              <w:t>(69-71)</w:t>
            </w:r>
            <w:r w:rsidRPr="00332EB9">
              <w:rPr>
                <w:rFonts w:eastAsia="Times New Roman"/>
                <w:color w:val="000000"/>
                <w:sz w:val="16"/>
                <w:szCs w:val="16"/>
              </w:rPr>
              <w:fldChar w:fldCharType="end"/>
            </w:r>
            <w:r w:rsidRPr="00332EB9">
              <w:rPr>
                <w:rFonts w:eastAsia="Times New Roman"/>
                <w:color w:val="000000"/>
                <w:sz w:val="16"/>
                <w:szCs w:val="16"/>
              </w:rPr>
              <w:t xml:space="preserve"> </w:t>
            </w:r>
          </w:p>
        </w:tc>
      </w:tr>
      <w:tr w:rsidR="005F535C" w:rsidRPr="004130F0" w:rsidTr="00DE49A9">
        <w:trPr>
          <w:trHeight w:val="300"/>
        </w:trPr>
        <w:tc>
          <w:tcPr>
            <w:tcW w:w="3580" w:type="dxa"/>
            <w:tcBorders>
              <w:top w:val="nil"/>
              <w:left w:val="single" w:sz="4" w:space="0" w:color="auto"/>
              <w:bottom w:val="single" w:sz="4" w:space="0" w:color="auto"/>
              <w:right w:val="nil"/>
            </w:tcBorders>
            <w:shd w:val="clear" w:color="auto" w:fill="auto"/>
            <w:noWrap/>
            <w:vAlign w:val="center"/>
            <w:hideMark/>
          </w:tcPr>
          <w:p w:rsidR="005F535C" w:rsidRPr="009B63F6" w:rsidRDefault="005F535C" w:rsidP="00DE49A9">
            <w:pPr>
              <w:spacing w:after="0" w:line="240" w:lineRule="auto"/>
              <w:rPr>
                <w:rFonts w:eastAsia="Times New Roman"/>
                <w:color w:val="000000"/>
                <w:sz w:val="20"/>
                <w:szCs w:val="20"/>
              </w:rPr>
            </w:pPr>
            <w:r w:rsidRPr="009B63F6">
              <w:rPr>
                <w:rFonts w:eastAsia="Times New Roman"/>
                <w:color w:val="000000"/>
                <w:sz w:val="20"/>
                <w:szCs w:val="20"/>
              </w:rPr>
              <w:t>When on antiretroviral therapy</w:t>
            </w:r>
          </w:p>
        </w:tc>
        <w:tc>
          <w:tcPr>
            <w:tcW w:w="3220" w:type="dxa"/>
            <w:tcBorders>
              <w:top w:val="nil"/>
              <w:left w:val="nil"/>
              <w:bottom w:val="single" w:sz="4" w:space="0" w:color="auto"/>
              <w:right w:val="nil"/>
            </w:tcBorders>
            <w:shd w:val="clear" w:color="auto" w:fill="auto"/>
            <w:noWrap/>
            <w:vAlign w:val="bottom"/>
            <w:hideMark/>
          </w:tcPr>
          <w:p w:rsidR="005F535C" w:rsidRPr="009B63F6" w:rsidRDefault="005F535C" w:rsidP="00DE49A9">
            <w:pPr>
              <w:spacing w:after="0" w:line="240" w:lineRule="auto"/>
              <w:jc w:val="center"/>
              <w:rPr>
                <w:rFonts w:eastAsia="Times New Roman"/>
                <w:color w:val="000000"/>
                <w:sz w:val="20"/>
                <w:szCs w:val="20"/>
              </w:rPr>
            </w:pPr>
            <w:r w:rsidRPr="009B63F6">
              <w:rPr>
                <w:rFonts w:eastAsia="Times New Roman"/>
                <w:color w:val="000000"/>
                <w:sz w:val="20"/>
                <w:szCs w:val="20"/>
              </w:rPr>
              <w:t>0.9</w:t>
            </w:r>
            <w:r>
              <w:rPr>
                <w:rFonts w:eastAsia="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5F535C" w:rsidRPr="00332EB9" w:rsidRDefault="005F535C" w:rsidP="00DE49A9">
            <w:pPr>
              <w:spacing w:after="0" w:line="240" w:lineRule="auto"/>
              <w:jc w:val="center"/>
              <w:rPr>
                <w:rFonts w:eastAsia="Times New Roman"/>
                <w:color w:val="0000FF"/>
                <w:sz w:val="16"/>
                <w:szCs w:val="16"/>
                <w:u w:val="single"/>
              </w:rPr>
            </w:pPr>
            <w:r w:rsidRPr="00332EB9">
              <w:rPr>
                <w:rFonts w:eastAsia="Times New Roman" w:cs="Calibri"/>
                <w:noProof/>
                <w:color w:val="000000"/>
                <w:sz w:val="16"/>
                <w:szCs w:val="16"/>
              </w:rPr>
              <w:fldChar w:fldCharType="begin"/>
            </w:r>
            <w:r w:rsidRPr="00332EB9">
              <w:rPr>
                <w:rFonts w:eastAsia="Times New Roman" w:cs="Calibri"/>
                <w:noProof/>
                <w:color w:val="000000"/>
                <w:sz w:val="16"/>
                <w:szCs w:val="16"/>
              </w:rPr>
              <w:instrText>ADDIN RW.CITE{{159 Cohen,M.S. 2011}}</w:instrText>
            </w:r>
            <w:r w:rsidRPr="00332EB9">
              <w:rPr>
                <w:rFonts w:eastAsia="Times New Roman" w:cs="Calibri"/>
                <w:noProof/>
                <w:color w:val="000000"/>
                <w:sz w:val="16"/>
                <w:szCs w:val="16"/>
              </w:rPr>
              <w:fldChar w:fldCharType="separate"/>
            </w:r>
            <w:r w:rsidRPr="00A04044">
              <w:rPr>
                <w:rFonts w:eastAsia="Times New Roman" w:cs="Calibri"/>
                <w:noProof/>
                <w:color w:val="000000"/>
                <w:sz w:val="16"/>
                <w:szCs w:val="16"/>
              </w:rPr>
              <w:t>(72)</w:t>
            </w:r>
            <w:r w:rsidRPr="00332EB9">
              <w:rPr>
                <w:rFonts w:eastAsia="Times New Roman" w:cs="Calibri"/>
                <w:noProof/>
                <w:color w:val="000000"/>
                <w:sz w:val="16"/>
                <w:szCs w:val="16"/>
              </w:rPr>
              <w:fldChar w:fldCharType="end"/>
            </w:r>
            <w:r w:rsidRPr="00332EB9">
              <w:rPr>
                <w:rFonts w:eastAsia="Times New Roman"/>
                <w:color w:val="0000FF"/>
                <w:sz w:val="16"/>
                <w:szCs w:val="16"/>
                <w:u w:val="single"/>
              </w:rPr>
              <w:t xml:space="preserve"> </w:t>
            </w:r>
          </w:p>
        </w:tc>
      </w:tr>
    </w:tbl>
    <w:p w:rsidR="005F535C" w:rsidRDefault="005F535C" w:rsidP="005F535C">
      <w:pPr>
        <w:tabs>
          <w:tab w:val="left" w:pos="1448"/>
          <w:tab w:val="left" w:pos="2700"/>
          <w:tab w:val="left" w:pos="3979"/>
          <w:tab w:val="left" w:pos="5172"/>
          <w:tab w:val="left" w:pos="6273"/>
          <w:tab w:val="left" w:pos="7374"/>
          <w:tab w:val="left" w:pos="8475"/>
        </w:tabs>
        <w:spacing w:after="0"/>
        <w:rPr>
          <w:rFonts w:cs="Calibri"/>
          <w:color w:val="000000"/>
        </w:rPr>
      </w:pP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p>
    <w:p w:rsidR="005F535C" w:rsidRPr="004130F0" w:rsidRDefault="005F535C" w:rsidP="005F535C">
      <w:pPr>
        <w:tabs>
          <w:tab w:val="left" w:pos="1163"/>
          <w:tab w:val="left" w:pos="2085"/>
          <w:tab w:val="left" w:pos="2623"/>
          <w:tab w:val="left" w:pos="3139"/>
          <w:tab w:val="left" w:pos="3655"/>
          <w:tab w:val="left" w:pos="4193"/>
          <w:tab w:val="left" w:pos="4731"/>
          <w:tab w:val="left" w:pos="5247"/>
          <w:tab w:val="left" w:pos="5763"/>
          <w:tab w:val="left" w:pos="6279"/>
          <w:tab w:val="left" w:pos="6817"/>
          <w:tab w:val="left" w:pos="7355"/>
          <w:tab w:val="left" w:pos="7871"/>
          <w:tab w:val="left" w:pos="8387"/>
          <w:tab w:val="left" w:pos="8903"/>
        </w:tabs>
        <w:spacing w:after="0"/>
        <w:rPr>
          <w:rFonts w:cs="Calibri"/>
          <w:color w:val="000000"/>
          <w:sz w:val="16"/>
          <w:szCs w:val="16"/>
        </w:rPr>
      </w:pPr>
      <w:r>
        <w:rPr>
          <w:rFonts w:cs="Calibri"/>
          <w:color w:val="000000"/>
          <w:sz w:val="20"/>
          <w:szCs w:val="20"/>
        </w:rPr>
        <w:tab/>
      </w:r>
      <w:r w:rsidRPr="004130F0">
        <w:rPr>
          <w:rFonts w:cs="Calibri"/>
          <w:color w:val="000000"/>
          <w:sz w:val="16"/>
          <w:szCs w:val="16"/>
        </w:rPr>
        <w:tab/>
      </w:r>
      <w:r w:rsidRPr="004130F0">
        <w:rPr>
          <w:rFonts w:cs="Calibri"/>
          <w:color w:val="000000"/>
          <w:sz w:val="16"/>
          <w:szCs w:val="16"/>
        </w:rPr>
        <w:tab/>
      </w:r>
      <w:r w:rsidRPr="004130F0">
        <w:rPr>
          <w:rFonts w:cs="Calibri"/>
          <w:color w:val="000000"/>
          <w:sz w:val="16"/>
          <w:szCs w:val="16"/>
        </w:rPr>
        <w:tab/>
      </w:r>
      <w:r w:rsidRPr="004130F0">
        <w:rPr>
          <w:rFonts w:cs="Calibri"/>
          <w:color w:val="000000"/>
          <w:sz w:val="16"/>
          <w:szCs w:val="16"/>
        </w:rPr>
        <w:tab/>
      </w:r>
      <w:r w:rsidRPr="004130F0">
        <w:rPr>
          <w:rFonts w:cs="Calibri"/>
          <w:color w:val="000000"/>
          <w:sz w:val="16"/>
          <w:szCs w:val="16"/>
        </w:rPr>
        <w:tab/>
      </w:r>
      <w:r w:rsidRPr="004130F0">
        <w:rPr>
          <w:rFonts w:cs="Calibri"/>
          <w:color w:val="000000"/>
          <w:sz w:val="16"/>
          <w:szCs w:val="16"/>
        </w:rPr>
        <w:tab/>
      </w:r>
      <w:r w:rsidRPr="004130F0">
        <w:rPr>
          <w:rFonts w:cs="Calibri"/>
          <w:color w:val="000000"/>
          <w:sz w:val="16"/>
          <w:szCs w:val="16"/>
        </w:rPr>
        <w:tab/>
      </w:r>
    </w:p>
    <w:p w:rsidR="005F535C" w:rsidRDefault="005F535C" w:rsidP="005F535C">
      <w:pPr>
        <w:spacing w:line="480" w:lineRule="auto"/>
        <w:rPr>
          <w:rFonts w:ascii="Times New Roman" w:hAnsi="Times New Roman"/>
          <w:sz w:val="24"/>
          <w:szCs w:val="24"/>
        </w:rPr>
      </w:pPr>
    </w:p>
    <w:p w:rsidR="005F535C" w:rsidRDefault="005F535C" w:rsidP="005F535C">
      <w:pPr>
        <w:spacing w:line="480" w:lineRule="auto"/>
        <w:rPr>
          <w:rFonts w:ascii="Times New Roman" w:hAnsi="Times New Roman"/>
          <w:sz w:val="24"/>
          <w:szCs w:val="24"/>
        </w:rPr>
      </w:pPr>
    </w:p>
    <w:p w:rsidR="005F535C" w:rsidRDefault="005F535C" w:rsidP="005F535C">
      <w:pPr>
        <w:spacing w:line="480" w:lineRule="auto"/>
        <w:rPr>
          <w:rFonts w:ascii="Times New Roman" w:hAnsi="Times New Roman"/>
          <w:sz w:val="24"/>
          <w:szCs w:val="24"/>
        </w:rPr>
      </w:pPr>
    </w:p>
    <w:p w:rsidR="005F535C" w:rsidRDefault="005F535C" w:rsidP="005F535C">
      <w:pPr>
        <w:spacing w:line="480" w:lineRule="auto"/>
        <w:rPr>
          <w:rFonts w:ascii="Times New Roman" w:hAnsi="Times New Roman"/>
          <w:sz w:val="24"/>
          <w:szCs w:val="24"/>
        </w:rPr>
      </w:pPr>
    </w:p>
    <w:p w:rsidR="005F535C" w:rsidRDefault="005F535C" w:rsidP="005F535C">
      <w:pPr>
        <w:spacing w:line="480" w:lineRule="auto"/>
        <w:rPr>
          <w:rFonts w:ascii="Times New Roman" w:hAnsi="Times New Roman"/>
          <w:sz w:val="24"/>
          <w:szCs w:val="24"/>
        </w:rPr>
      </w:pPr>
    </w:p>
    <w:p w:rsidR="005F535C" w:rsidRDefault="005F535C" w:rsidP="005F535C">
      <w:pPr>
        <w:spacing w:line="480" w:lineRule="auto"/>
        <w:rPr>
          <w:rFonts w:ascii="Times New Roman" w:hAnsi="Times New Roman"/>
          <w:sz w:val="24"/>
          <w:szCs w:val="24"/>
        </w:rPr>
      </w:pPr>
    </w:p>
    <w:p w:rsidR="005F535C" w:rsidRDefault="005F535C" w:rsidP="005F535C">
      <w:pPr>
        <w:spacing w:line="480" w:lineRule="auto"/>
        <w:rPr>
          <w:rFonts w:ascii="Times New Roman" w:hAnsi="Times New Roman"/>
          <w:sz w:val="24"/>
          <w:szCs w:val="24"/>
        </w:rPr>
      </w:pPr>
    </w:p>
    <w:p w:rsidR="005F535C" w:rsidRDefault="005F535C" w:rsidP="005F535C">
      <w:pPr>
        <w:spacing w:line="480" w:lineRule="auto"/>
        <w:rPr>
          <w:rFonts w:ascii="Times New Roman" w:hAnsi="Times New Roman"/>
          <w:sz w:val="24"/>
        </w:rPr>
      </w:pPr>
    </w:p>
    <w:p w:rsidR="005F535C" w:rsidRDefault="005F535C" w:rsidP="005F535C">
      <w:pPr>
        <w:spacing w:line="480" w:lineRule="auto"/>
        <w:rPr>
          <w:rFonts w:ascii="Times New Roman" w:hAnsi="Times New Roman"/>
          <w:sz w:val="24"/>
        </w:rPr>
      </w:pPr>
    </w:p>
    <w:p w:rsidR="005F535C" w:rsidRDefault="005F535C" w:rsidP="005F535C">
      <w:pPr>
        <w:spacing w:line="480" w:lineRule="auto"/>
      </w:pPr>
      <w:r>
        <w:lastRenderedPageBreak/>
        <w:t>Table S6. Model calibration to match number of new cases of HIV in 2007-2009 HIV surveillance data.</w:t>
      </w:r>
    </w:p>
    <w:tbl>
      <w:tblPr>
        <w:tblW w:w="9468" w:type="dxa"/>
        <w:tblCellMar>
          <w:left w:w="0" w:type="dxa"/>
          <w:right w:w="0" w:type="dxa"/>
        </w:tblCellMar>
        <w:tblLook w:val="04A0" w:firstRow="1" w:lastRow="0" w:firstColumn="1" w:lastColumn="0" w:noHBand="0" w:noVBand="1"/>
      </w:tblPr>
      <w:tblGrid>
        <w:gridCol w:w="6228"/>
        <w:gridCol w:w="1260"/>
        <w:gridCol w:w="810"/>
        <w:gridCol w:w="1170"/>
      </w:tblGrid>
      <w:tr w:rsidR="005F535C" w:rsidRPr="004130F0" w:rsidTr="00DE49A9">
        <w:trPr>
          <w:trHeight w:val="300"/>
        </w:trPr>
        <w:tc>
          <w:tcPr>
            <w:tcW w:w="6228" w:type="dxa"/>
            <w:noWrap/>
            <w:tcMar>
              <w:top w:w="0" w:type="dxa"/>
              <w:left w:w="108" w:type="dxa"/>
              <w:bottom w:w="0" w:type="dxa"/>
              <w:right w:w="108" w:type="dxa"/>
            </w:tcMar>
            <w:vAlign w:val="bottom"/>
            <w:hideMark/>
          </w:tcPr>
          <w:p w:rsidR="005F535C" w:rsidRPr="004130F0" w:rsidRDefault="005F535C" w:rsidP="00DE49A9">
            <w:pPr>
              <w:rPr>
                <w:color w:val="000000"/>
              </w:rPr>
            </w:pPr>
            <w:r w:rsidRPr="004130F0">
              <w:rPr>
                <w:color w:val="000000"/>
              </w:rPr>
              <w:t>Simulation 1</w:t>
            </w:r>
          </w:p>
          <w:p w:rsidR="005F535C" w:rsidRPr="004130F0" w:rsidRDefault="005F535C" w:rsidP="00DE49A9">
            <w:pPr>
              <w:rPr>
                <w:color w:val="000000"/>
              </w:rPr>
            </w:pPr>
            <w:r w:rsidRPr="004130F0">
              <w:rPr>
                <w:color w:val="000000"/>
              </w:rPr>
              <w:t>Simulated new infections assuming MSM have sex only with MSM and heterosexuals only with heterosexuals, using empirical data on heterosexual behaviors</w:t>
            </w:r>
          </w:p>
        </w:tc>
        <w:tc>
          <w:tcPr>
            <w:tcW w:w="1260" w:type="dxa"/>
            <w:noWrap/>
            <w:tcMar>
              <w:top w:w="0" w:type="dxa"/>
              <w:left w:w="108" w:type="dxa"/>
              <w:bottom w:w="0" w:type="dxa"/>
              <w:right w:w="108" w:type="dxa"/>
            </w:tcMar>
            <w:vAlign w:val="bottom"/>
            <w:hideMark/>
          </w:tcPr>
          <w:p w:rsidR="005F535C" w:rsidRPr="004130F0" w:rsidRDefault="005F535C" w:rsidP="00DE49A9">
            <w:pPr>
              <w:rPr>
                <w:color w:val="000000"/>
              </w:rPr>
            </w:pPr>
            <w:r w:rsidRPr="004130F0">
              <w:rPr>
                <w:color w:val="000000"/>
              </w:rPr>
              <w:t>Het Female</w:t>
            </w:r>
          </w:p>
        </w:tc>
        <w:tc>
          <w:tcPr>
            <w:tcW w:w="810" w:type="dxa"/>
            <w:noWrap/>
            <w:tcMar>
              <w:top w:w="0" w:type="dxa"/>
              <w:left w:w="108" w:type="dxa"/>
              <w:bottom w:w="0" w:type="dxa"/>
              <w:right w:w="108" w:type="dxa"/>
            </w:tcMar>
            <w:vAlign w:val="bottom"/>
            <w:hideMark/>
          </w:tcPr>
          <w:p w:rsidR="005F535C" w:rsidRPr="004130F0" w:rsidRDefault="005F535C" w:rsidP="00DE49A9">
            <w:pPr>
              <w:rPr>
                <w:rFonts w:ascii="Times New Roman" w:hAnsi="Times New Roman"/>
                <w:sz w:val="20"/>
                <w:szCs w:val="20"/>
              </w:rPr>
            </w:pPr>
            <w:r w:rsidRPr="004130F0">
              <w:rPr>
                <w:rFonts w:ascii="Times New Roman" w:hAnsi="Times New Roman"/>
                <w:sz w:val="20"/>
                <w:szCs w:val="20"/>
              </w:rPr>
              <w:t>Het Male</w:t>
            </w:r>
          </w:p>
        </w:tc>
        <w:tc>
          <w:tcPr>
            <w:tcW w:w="1170" w:type="dxa"/>
            <w:noWrap/>
            <w:tcMar>
              <w:top w:w="0" w:type="dxa"/>
              <w:left w:w="108" w:type="dxa"/>
              <w:bottom w:w="0" w:type="dxa"/>
              <w:right w:w="108" w:type="dxa"/>
            </w:tcMar>
            <w:vAlign w:val="bottom"/>
            <w:hideMark/>
          </w:tcPr>
          <w:p w:rsidR="005F535C" w:rsidRPr="004130F0" w:rsidRDefault="005F535C" w:rsidP="00DE49A9">
            <w:pPr>
              <w:rPr>
                <w:rFonts w:ascii="Times New Roman" w:hAnsi="Times New Roman"/>
                <w:sz w:val="20"/>
                <w:szCs w:val="20"/>
              </w:rPr>
            </w:pPr>
            <w:r w:rsidRPr="004130F0">
              <w:rPr>
                <w:rFonts w:ascii="Times New Roman" w:hAnsi="Times New Roman"/>
                <w:sz w:val="20"/>
                <w:szCs w:val="20"/>
              </w:rPr>
              <w:t>MSM</w:t>
            </w:r>
          </w:p>
        </w:tc>
      </w:tr>
      <w:tr w:rsidR="005F535C" w:rsidRPr="004130F0" w:rsidTr="00DE49A9">
        <w:trPr>
          <w:trHeight w:val="300"/>
        </w:trPr>
        <w:tc>
          <w:tcPr>
            <w:tcW w:w="6228" w:type="dxa"/>
            <w:noWrap/>
            <w:tcMar>
              <w:top w:w="0" w:type="dxa"/>
              <w:left w:w="108" w:type="dxa"/>
              <w:bottom w:w="0" w:type="dxa"/>
              <w:right w:w="108" w:type="dxa"/>
            </w:tcMar>
            <w:vAlign w:val="bottom"/>
          </w:tcPr>
          <w:p w:rsidR="005F535C" w:rsidRPr="004130F0" w:rsidRDefault="005F535C" w:rsidP="00DE49A9">
            <w:pPr>
              <w:jc w:val="right"/>
              <w:rPr>
                <w:color w:val="000000"/>
              </w:rPr>
            </w:pPr>
          </w:p>
        </w:tc>
        <w:tc>
          <w:tcPr>
            <w:tcW w:w="1260" w:type="dxa"/>
            <w:noWrap/>
            <w:tcMar>
              <w:top w:w="0" w:type="dxa"/>
              <w:left w:w="108" w:type="dxa"/>
              <w:bottom w:w="0" w:type="dxa"/>
              <w:right w:w="108" w:type="dxa"/>
            </w:tcMar>
            <w:vAlign w:val="bottom"/>
          </w:tcPr>
          <w:p w:rsidR="005F535C" w:rsidRPr="004130F0" w:rsidRDefault="005F535C" w:rsidP="00DE49A9">
            <w:pPr>
              <w:jc w:val="right"/>
              <w:rPr>
                <w:color w:val="000000"/>
              </w:rPr>
            </w:pPr>
          </w:p>
        </w:tc>
        <w:tc>
          <w:tcPr>
            <w:tcW w:w="810" w:type="dxa"/>
            <w:noWrap/>
            <w:tcMar>
              <w:top w:w="0" w:type="dxa"/>
              <w:left w:w="108" w:type="dxa"/>
              <w:bottom w:w="0" w:type="dxa"/>
              <w:right w:w="108" w:type="dxa"/>
            </w:tcMar>
            <w:vAlign w:val="bottom"/>
          </w:tcPr>
          <w:p w:rsidR="005F535C" w:rsidRPr="004130F0" w:rsidRDefault="005F535C" w:rsidP="00DE49A9">
            <w:pPr>
              <w:jc w:val="right"/>
              <w:rPr>
                <w:color w:val="000000"/>
              </w:rPr>
            </w:pPr>
          </w:p>
        </w:tc>
        <w:tc>
          <w:tcPr>
            <w:tcW w:w="1170" w:type="dxa"/>
            <w:noWrap/>
            <w:tcMar>
              <w:top w:w="0" w:type="dxa"/>
              <w:left w:w="108" w:type="dxa"/>
              <w:bottom w:w="0" w:type="dxa"/>
              <w:right w:w="108" w:type="dxa"/>
            </w:tcMar>
            <w:vAlign w:val="bottom"/>
          </w:tcPr>
          <w:p w:rsidR="005F535C" w:rsidRPr="004130F0" w:rsidRDefault="005F535C" w:rsidP="00DE49A9">
            <w:pPr>
              <w:jc w:val="right"/>
              <w:rPr>
                <w:color w:val="000000"/>
              </w:rPr>
            </w:pPr>
          </w:p>
        </w:tc>
      </w:tr>
      <w:tr w:rsidR="005F535C" w:rsidRPr="004130F0" w:rsidTr="00DE49A9">
        <w:trPr>
          <w:trHeight w:val="300"/>
        </w:trPr>
        <w:tc>
          <w:tcPr>
            <w:tcW w:w="6228" w:type="dxa"/>
            <w:noWrap/>
            <w:tcMar>
              <w:top w:w="0" w:type="dxa"/>
              <w:left w:w="108" w:type="dxa"/>
              <w:bottom w:w="0" w:type="dxa"/>
              <w:right w:w="108" w:type="dxa"/>
            </w:tcMar>
            <w:vAlign w:val="bottom"/>
            <w:hideMark/>
          </w:tcPr>
          <w:p w:rsidR="005F535C" w:rsidRPr="004130F0" w:rsidRDefault="005F535C" w:rsidP="00DE49A9">
            <w:pPr>
              <w:jc w:val="right"/>
              <w:rPr>
                <w:color w:val="000000"/>
              </w:rPr>
            </w:pPr>
            <w:r w:rsidRPr="004130F0">
              <w:rPr>
                <w:color w:val="000000"/>
              </w:rPr>
              <w:t>2007</w:t>
            </w:r>
          </w:p>
        </w:tc>
        <w:tc>
          <w:tcPr>
            <w:tcW w:w="1260" w:type="dxa"/>
            <w:noWrap/>
            <w:tcMar>
              <w:top w:w="0" w:type="dxa"/>
              <w:left w:w="108" w:type="dxa"/>
              <w:bottom w:w="0" w:type="dxa"/>
              <w:right w:w="108" w:type="dxa"/>
            </w:tcMar>
            <w:vAlign w:val="bottom"/>
            <w:hideMark/>
          </w:tcPr>
          <w:p w:rsidR="005F535C" w:rsidRPr="004130F0" w:rsidRDefault="005F535C" w:rsidP="00DE49A9">
            <w:pPr>
              <w:jc w:val="right"/>
              <w:rPr>
                <w:rFonts w:eastAsia="Times New Roman"/>
                <w:color w:val="000000"/>
              </w:rPr>
            </w:pPr>
            <w:r w:rsidRPr="004130F0">
              <w:rPr>
                <w:color w:val="000000"/>
              </w:rPr>
              <w:t>2,361</w:t>
            </w:r>
          </w:p>
        </w:tc>
        <w:tc>
          <w:tcPr>
            <w:tcW w:w="810" w:type="dxa"/>
            <w:noWrap/>
            <w:tcMar>
              <w:top w:w="0" w:type="dxa"/>
              <w:left w:w="108" w:type="dxa"/>
              <w:bottom w:w="0" w:type="dxa"/>
              <w:right w:w="108" w:type="dxa"/>
            </w:tcMar>
            <w:vAlign w:val="bottom"/>
            <w:hideMark/>
          </w:tcPr>
          <w:p w:rsidR="005F535C" w:rsidRPr="004130F0" w:rsidRDefault="005F535C" w:rsidP="00DE49A9">
            <w:pPr>
              <w:jc w:val="right"/>
              <w:rPr>
                <w:color w:val="000000"/>
              </w:rPr>
            </w:pPr>
            <w:r w:rsidRPr="004130F0">
              <w:rPr>
                <w:color w:val="000000"/>
              </w:rPr>
              <w:t>3,043</w:t>
            </w:r>
          </w:p>
        </w:tc>
        <w:tc>
          <w:tcPr>
            <w:tcW w:w="1170" w:type="dxa"/>
            <w:noWrap/>
            <w:tcMar>
              <w:top w:w="0" w:type="dxa"/>
              <w:left w:w="108" w:type="dxa"/>
              <w:bottom w:w="0" w:type="dxa"/>
              <w:right w:w="108" w:type="dxa"/>
            </w:tcMar>
            <w:vAlign w:val="bottom"/>
            <w:hideMark/>
          </w:tcPr>
          <w:p w:rsidR="005F535C" w:rsidRPr="004130F0" w:rsidRDefault="005F535C" w:rsidP="00DE49A9">
            <w:pPr>
              <w:jc w:val="right"/>
              <w:rPr>
                <w:color w:val="000000"/>
              </w:rPr>
            </w:pPr>
            <w:r w:rsidRPr="004130F0">
              <w:rPr>
                <w:color w:val="000000"/>
              </w:rPr>
              <w:t>31,525</w:t>
            </w:r>
          </w:p>
        </w:tc>
      </w:tr>
      <w:tr w:rsidR="005F535C" w:rsidRPr="004130F0" w:rsidTr="00DE49A9">
        <w:trPr>
          <w:trHeight w:val="300"/>
        </w:trPr>
        <w:tc>
          <w:tcPr>
            <w:tcW w:w="6228" w:type="dxa"/>
            <w:noWrap/>
            <w:tcMar>
              <w:top w:w="0" w:type="dxa"/>
              <w:left w:w="108" w:type="dxa"/>
              <w:bottom w:w="0" w:type="dxa"/>
              <w:right w:w="108" w:type="dxa"/>
            </w:tcMar>
            <w:vAlign w:val="bottom"/>
            <w:hideMark/>
          </w:tcPr>
          <w:p w:rsidR="005F535C" w:rsidRPr="004130F0" w:rsidRDefault="005F535C" w:rsidP="00DE49A9">
            <w:pPr>
              <w:jc w:val="right"/>
              <w:rPr>
                <w:color w:val="000000"/>
              </w:rPr>
            </w:pPr>
            <w:r w:rsidRPr="004130F0">
              <w:rPr>
                <w:color w:val="000000"/>
              </w:rPr>
              <w:t>2008</w:t>
            </w:r>
          </w:p>
        </w:tc>
        <w:tc>
          <w:tcPr>
            <w:tcW w:w="1260" w:type="dxa"/>
            <w:noWrap/>
            <w:tcMar>
              <w:top w:w="0" w:type="dxa"/>
              <w:left w:w="108" w:type="dxa"/>
              <w:bottom w:w="0" w:type="dxa"/>
              <w:right w:w="108" w:type="dxa"/>
            </w:tcMar>
            <w:vAlign w:val="bottom"/>
            <w:hideMark/>
          </w:tcPr>
          <w:p w:rsidR="005F535C" w:rsidRPr="004130F0" w:rsidRDefault="005F535C" w:rsidP="00DE49A9">
            <w:pPr>
              <w:jc w:val="right"/>
              <w:rPr>
                <w:color w:val="000000"/>
              </w:rPr>
            </w:pPr>
            <w:r w:rsidRPr="004130F0">
              <w:rPr>
                <w:color w:val="000000"/>
              </w:rPr>
              <w:t>2,286</w:t>
            </w:r>
          </w:p>
        </w:tc>
        <w:tc>
          <w:tcPr>
            <w:tcW w:w="810" w:type="dxa"/>
            <w:noWrap/>
            <w:tcMar>
              <w:top w:w="0" w:type="dxa"/>
              <w:left w:w="108" w:type="dxa"/>
              <w:bottom w:w="0" w:type="dxa"/>
              <w:right w:w="108" w:type="dxa"/>
            </w:tcMar>
            <w:vAlign w:val="bottom"/>
            <w:hideMark/>
          </w:tcPr>
          <w:p w:rsidR="005F535C" w:rsidRPr="004130F0" w:rsidRDefault="005F535C" w:rsidP="00DE49A9">
            <w:pPr>
              <w:jc w:val="right"/>
              <w:rPr>
                <w:color w:val="000000"/>
              </w:rPr>
            </w:pPr>
            <w:r w:rsidRPr="004130F0">
              <w:rPr>
                <w:color w:val="000000"/>
              </w:rPr>
              <w:t>3,262</w:t>
            </w:r>
          </w:p>
        </w:tc>
        <w:tc>
          <w:tcPr>
            <w:tcW w:w="1170" w:type="dxa"/>
            <w:noWrap/>
            <w:tcMar>
              <w:top w:w="0" w:type="dxa"/>
              <w:left w:w="108" w:type="dxa"/>
              <w:bottom w:w="0" w:type="dxa"/>
              <w:right w:w="108" w:type="dxa"/>
            </w:tcMar>
            <w:vAlign w:val="bottom"/>
            <w:hideMark/>
          </w:tcPr>
          <w:p w:rsidR="005F535C" w:rsidRPr="004130F0" w:rsidRDefault="005F535C" w:rsidP="00DE49A9">
            <w:pPr>
              <w:jc w:val="right"/>
              <w:rPr>
                <w:color w:val="000000"/>
              </w:rPr>
            </w:pPr>
            <w:r w:rsidRPr="004130F0">
              <w:rPr>
                <w:color w:val="000000"/>
              </w:rPr>
              <w:t>32,516</w:t>
            </w:r>
          </w:p>
        </w:tc>
      </w:tr>
      <w:tr w:rsidR="005F535C" w:rsidRPr="004130F0" w:rsidTr="00DE49A9">
        <w:trPr>
          <w:trHeight w:val="300"/>
        </w:trPr>
        <w:tc>
          <w:tcPr>
            <w:tcW w:w="6228" w:type="dxa"/>
            <w:noWrap/>
            <w:tcMar>
              <w:top w:w="0" w:type="dxa"/>
              <w:left w:w="108" w:type="dxa"/>
              <w:bottom w:w="0" w:type="dxa"/>
              <w:right w:w="108" w:type="dxa"/>
            </w:tcMar>
            <w:vAlign w:val="bottom"/>
            <w:hideMark/>
          </w:tcPr>
          <w:p w:rsidR="005F535C" w:rsidRPr="004130F0" w:rsidRDefault="005F535C" w:rsidP="00DE49A9">
            <w:pPr>
              <w:jc w:val="right"/>
              <w:rPr>
                <w:color w:val="000000"/>
              </w:rPr>
            </w:pPr>
            <w:r w:rsidRPr="004130F0">
              <w:rPr>
                <w:color w:val="000000"/>
              </w:rPr>
              <w:t>2009</w:t>
            </w:r>
          </w:p>
        </w:tc>
        <w:tc>
          <w:tcPr>
            <w:tcW w:w="1260" w:type="dxa"/>
            <w:noWrap/>
            <w:tcMar>
              <w:top w:w="0" w:type="dxa"/>
              <w:left w:w="108" w:type="dxa"/>
              <w:bottom w:w="0" w:type="dxa"/>
              <w:right w:w="108" w:type="dxa"/>
            </w:tcMar>
            <w:vAlign w:val="bottom"/>
            <w:hideMark/>
          </w:tcPr>
          <w:p w:rsidR="005F535C" w:rsidRPr="004130F0" w:rsidRDefault="005F535C" w:rsidP="00DE49A9">
            <w:pPr>
              <w:jc w:val="right"/>
              <w:rPr>
                <w:color w:val="000000"/>
              </w:rPr>
            </w:pPr>
            <w:r w:rsidRPr="004130F0">
              <w:rPr>
                <w:color w:val="000000"/>
              </w:rPr>
              <w:t>2,187</w:t>
            </w:r>
          </w:p>
        </w:tc>
        <w:tc>
          <w:tcPr>
            <w:tcW w:w="810" w:type="dxa"/>
            <w:noWrap/>
            <w:tcMar>
              <w:top w:w="0" w:type="dxa"/>
              <w:left w:w="108" w:type="dxa"/>
              <w:bottom w:w="0" w:type="dxa"/>
              <w:right w:w="108" w:type="dxa"/>
            </w:tcMar>
            <w:vAlign w:val="bottom"/>
            <w:hideMark/>
          </w:tcPr>
          <w:p w:rsidR="005F535C" w:rsidRPr="004130F0" w:rsidRDefault="005F535C" w:rsidP="00DE49A9">
            <w:pPr>
              <w:jc w:val="right"/>
              <w:rPr>
                <w:color w:val="000000"/>
              </w:rPr>
            </w:pPr>
            <w:r w:rsidRPr="004130F0">
              <w:rPr>
                <w:color w:val="000000"/>
              </w:rPr>
              <w:t>2,858</w:t>
            </w:r>
          </w:p>
        </w:tc>
        <w:tc>
          <w:tcPr>
            <w:tcW w:w="1170" w:type="dxa"/>
            <w:noWrap/>
            <w:tcMar>
              <w:top w:w="0" w:type="dxa"/>
              <w:left w:w="108" w:type="dxa"/>
              <w:bottom w:w="0" w:type="dxa"/>
              <w:right w:w="108" w:type="dxa"/>
            </w:tcMar>
            <w:vAlign w:val="bottom"/>
            <w:hideMark/>
          </w:tcPr>
          <w:p w:rsidR="005F535C" w:rsidRPr="004130F0" w:rsidRDefault="005F535C" w:rsidP="00DE49A9">
            <w:pPr>
              <w:jc w:val="right"/>
              <w:rPr>
                <w:color w:val="000000"/>
              </w:rPr>
            </w:pPr>
            <w:r w:rsidRPr="004130F0">
              <w:rPr>
                <w:color w:val="000000"/>
              </w:rPr>
              <w:t>33,463</w:t>
            </w:r>
          </w:p>
        </w:tc>
      </w:tr>
      <w:tr w:rsidR="005F535C" w:rsidRPr="004130F0" w:rsidTr="00DE49A9">
        <w:trPr>
          <w:trHeight w:val="300"/>
        </w:trPr>
        <w:tc>
          <w:tcPr>
            <w:tcW w:w="6228" w:type="dxa"/>
            <w:noWrap/>
            <w:tcMar>
              <w:top w:w="0" w:type="dxa"/>
              <w:left w:w="108" w:type="dxa"/>
              <w:bottom w:w="0" w:type="dxa"/>
              <w:right w:w="108" w:type="dxa"/>
            </w:tcMar>
            <w:vAlign w:val="bottom"/>
            <w:hideMark/>
          </w:tcPr>
          <w:p w:rsidR="005F535C" w:rsidRPr="004130F0" w:rsidRDefault="005F535C" w:rsidP="00DE49A9">
            <w:pPr>
              <w:jc w:val="right"/>
              <w:rPr>
                <w:rFonts w:eastAsia="Times New Roman"/>
              </w:rPr>
            </w:pPr>
            <w:r w:rsidRPr="004130F0">
              <w:rPr>
                <w:rFonts w:eastAsia="Times New Roman"/>
              </w:rPr>
              <w:t xml:space="preserve">3-year average          </w:t>
            </w:r>
          </w:p>
        </w:tc>
        <w:tc>
          <w:tcPr>
            <w:tcW w:w="1260" w:type="dxa"/>
            <w:noWrap/>
            <w:tcMar>
              <w:top w:w="0" w:type="dxa"/>
              <w:left w:w="108" w:type="dxa"/>
              <w:bottom w:w="0" w:type="dxa"/>
              <w:right w:w="108" w:type="dxa"/>
            </w:tcMar>
            <w:vAlign w:val="bottom"/>
            <w:hideMark/>
          </w:tcPr>
          <w:p w:rsidR="005F535C" w:rsidRPr="004130F0" w:rsidRDefault="005F535C" w:rsidP="00DE49A9">
            <w:pPr>
              <w:jc w:val="right"/>
              <w:rPr>
                <w:rFonts w:eastAsia="Times New Roman"/>
                <w:color w:val="000000"/>
              </w:rPr>
            </w:pPr>
            <w:r w:rsidRPr="004130F0">
              <w:rPr>
                <w:color w:val="000000"/>
              </w:rPr>
              <w:t>2,278</w:t>
            </w:r>
          </w:p>
        </w:tc>
        <w:tc>
          <w:tcPr>
            <w:tcW w:w="810" w:type="dxa"/>
            <w:noWrap/>
            <w:tcMar>
              <w:top w:w="0" w:type="dxa"/>
              <w:left w:w="108" w:type="dxa"/>
              <w:bottom w:w="0" w:type="dxa"/>
              <w:right w:w="108" w:type="dxa"/>
            </w:tcMar>
            <w:vAlign w:val="bottom"/>
            <w:hideMark/>
          </w:tcPr>
          <w:p w:rsidR="005F535C" w:rsidRPr="004130F0" w:rsidRDefault="005F535C" w:rsidP="00DE49A9">
            <w:pPr>
              <w:jc w:val="right"/>
              <w:rPr>
                <w:color w:val="000000"/>
              </w:rPr>
            </w:pPr>
            <w:r w:rsidRPr="004130F0">
              <w:rPr>
                <w:color w:val="000000"/>
              </w:rPr>
              <w:t>3,054</w:t>
            </w:r>
          </w:p>
        </w:tc>
        <w:tc>
          <w:tcPr>
            <w:tcW w:w="1170" w:type="dxa"/>
            <w:noWrap/>
            <w:tcMar>
              <w:top w:w="0" w:type="dxa"/>
              <w:left w:w="108" w:type="dxa"/>
              <w:bottom w:w="0" w:type="dxa"/>
              <w:right w:w="108" w:type="dxa"/>
            </w:tcMar>
            <w:vAlign w:val="bottom"/>
            <w:hideMark/>
          </w:tcPr>
          <w:p w:rsidR="005F535C" w:rsidRPr="004130F0" w:rsidRDefault="005F535C" w:rsidP="00DE49A9">
            <w:pPr>
              <w:jc w:val="right"/>
              <w:rPr>
                <w:color w:val="000000"/>
              </w:rPr>
            </w:pPr>
            <w:r w:rsidRPr="004130F0">
              <w:rPr>
                <w:color w:val="000000"/>
              </w:rPr>
              <w:t>32,502</w:t>
            </w:r>
          </w:p>
        </w:tc>
      </w:tr>
      <w:tr w:rsidR="005F535C" w:rsidRPr="004130F0" w:rsidTr="00DE49A9">
        <w:trPr>
          <w:trHeight w:val="300"/>
        </w:trPr>
        <w:tc>
          <w:tcPr>
            <w:tcW w:w="6228" w:type="dxa"/>
            <w:noWrap/>
            <w:tcMar>
              <w:top w:w="0" w:type="dxa"/>
              <w:left w:w="108" w:type="dxa"/>
              <w:bottom w:w="0" w:type="dxa"/>
              <w:right w:w="108" w:type="dxa"/>
            </w:tcMar>
            <w:vAlign w:val="bottom"/>
          </w:tcPr>
          <w:p w:rsidR="005F535C" w:rsidRPr="004130F0" w:rsidRDefault="005F535C" w:rsidP="00DE49A9">
            <w:pPr>
              <w:rPr>
                <w:color w:val="000000"/>
              </w:rPr>
            </w:pPr>
            <w:r w:rsidRPr="004130F0">
              <w:rPr>
                <w:color w:val="000000"/>
              </w:rPr>
              <w:t>Simulation 2</w:t>
            </w:r>
          </w:p>
          <w:p w:rsidR="005F535C" w:rsidRPr="004130F0" w:rsidRDefault="005F535C" w:rsidP="00DE49A9">
            <w:pPr>
              <w:rPr>
                <w:rFonts w:eastAsia="Times New Roman"/>
              </w:rPr>
            </w:pPr>
            <w:r w:rsidRPr="004130F0">
              <w:rPr>
                <w:color w:val="000000"/>
              </w:rPr>
              <w:t>Simulated new infections assuming MSM have sex only with MSM and heterosexuals only with heterosexuals, and heterosexuals on average have riskier behaviors than indicated by empirical data: 10 partners per year instead of 2, 50% of sex acts anal instead of 7%, and 0% condom use instead of 26%.</w:t>
            </w:r>
          </w:p>
        </w:tc>
        <w:tc>
          <w:tcPr>
            <w:tcW w:w="1260" w:type="dxa"/>
            <w:noWrap/>
            <w:tcMar>
              <w:top w:w="0" w:type="dxa"/>
              <w:left w:w="108" w:type="dxa"/>
              <w:bottom w:w="0" w:type="dxa"/>
              <w:right w:w="108" w:type="dxa"/>
            </w:tcMar>
            <w:vAlign w:val="bottom"/>
          </w:tcPr>
          <w:p w:rsidR="005F535C" w:rsidRPr="004130F0" w:rsidRDefault="005F535C" w:rsidP="00DE49A9">
            <w:pPr>
              <w:jc w:val="right"/>
              <w:rPr>
                <w:rFonts w:eastAsia="Times New Roman"/>
              </w:rPr>
            </w:pPr>
          </w:p>
        </w:tc>
        <w:tc>
          <w:tcPr>
            <w:tcW w:w="810" w:type="dxa"/>
            <w:noWrap/>
            <w:tcMar>
              <w:top w:w="0" w:type="dxa"/>
              <w:left w:w="108" w:type="dxa"/>
              <w:bottom w:w="0" w:type="dxa"/>
              <w:right w:w="108" w:type="dxa"/>
            </w:tcMar>
            <w:vAlign w:val="bottom"/>
          </w:tcPr>
          <w:p w:rsidR="005F535C" w:rsidRPr="004130F0" w:rsidRDefault="005F535C" w:rsidP="00DE49A9">
            <w:pPr>
              <w:jc w:val="right"/>
              <w:rPr>
                <w:rFonts w:eastAsia="Times New Roman"/>
              </w:rPr>
            </w:pPr>
          </w:p>
        </w:tc>
        <w:tc>
          <w:tcPr>
            <w:tcW w:w="1170" w:type="dxa"/>
            <w:noWrap/>
            <w:tcMar>
              <w:top w:w="0" w:type="dxa"/>
              <w:left w:w="108" w:type="dxa"/>
              <w:bottom w:w="0" w:type="dxa"/>
              <w:right w:w="108" w:type="dxa"/>
            </w:tcMar>
            <w:vAlign w:val="bottom"/>
          </w:tcPr>
          <w:p w:rsidR="005F535C" w:rsidRPr="004130F0" w:rsidRDefault="005F535C" w:rsidP="00DE49A9">
            <w:pPr>
              <w:jc w:val="right"/>
              <w:rPr>
                <w:rFonts w:eastAsia="Times New Roman"/>
              </w:rPr>
            </w:pPr>
          </w:p>
        </w:tc>
      </w:tr>
      <w:tr w:rsidR="005F535C" w:rsidRPr="004130F0" w:rsidTr="00DE49A9">
        <w:trPr>
          <w:trHeight w:val="300"/>
        </w:trPr>
        <w:tc>
          <w:tcPr>
            <w:tcW w:w="6228" w:type="dxa"/>
            <w:noWrap/>
            <w:tcMar>
              <w:top w:w="0" w:type="dxa"/>
              <w:left w:w="108" w:type="dxa"/>
              <w:bottom w:w="0" w:type="dxa"/>
              <w:right w:w="108" w:type="dxa"/>
            </w:tcMar>
            <w:vAlign w:val="bottom"/>
          </w:tcPr>
          <w:p w:rsidR="005F535C" w:rsidRPr="004130F0" w:rsidRDefault="005F535C" w:rsidP="00DE49A9">
            <w:pPr>
              <w:jc w:val="right"/>
              <w:rPr>
                <w:rFonts w:eastAsia="Times New Roman"/>
              </w:rPr>
            </w:pPr>
            <w:r w:rsidRPr="004130F0">
              <w:rPr>
                <w:rFonts w:eastAsia="Times New Roman"/>
              </w:rPr>
              <w:t>2007</w:t>
            </w:r>
          </w:p>
        </w:tc>
        <w:tc>
          <w:tcPr>
            <w:tcW w:w="1260" w:type="dxa"/>
            <w:noWrap/>
            <w:tcMar>
              <w:top w:w="0" w:type="dxa"/>
              <w:left w:w="108" w:type="dxa"/>
              <w:bottom w:w="0" w:type="dxa"/>
              <w:right w:w="108" w:type="dxa"/>
            </w:tcMar>
            <w:vAlign w:val="bottom"/>
          </w:tcPr>
          <w:p w:rsidR="005F535C" w:rsidRPr="004130F0" w:rsidRDefault="005F535C" w:rsidP="00DE49A9">
            <w:pPr>
              <w:jc w:val="right"/>
              <w:rPr>
                <w:rFonts w:eastAsia="Times New Roman"/>
                <w:color w:val="000000"/>
              </w:rPr>
            </w:pPr>
            <w:r w:rsidRPr="004130F0">
              <w:rPr>
                <w:color w:val="000000"/>
              </w:rPr>
              <w:t>5,836</w:t>
            </w:r>
          </w:p>
        </w:tc>
        <w:tc>
          <w:tcPr>
            <w:tcW w:w="81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3,128</w:t>
            </w:r>
          </w:p>
        </w:tc>
        <w:tc>
          <w:tcPr>
            <w:tcW w:w="117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31,718</w:t>
            </w:r>
          </w:p>
        </w:tc>
      </w:tr>
      <w:tr w:rsidR="005F535C" w:rsidRPr="004130F0" w:rsidTr="00DE49A9">
        <w:trPr>
          <w:trHeight w:val="300"/>
        </w:trPr>
        <w:tc>
          <w:tcPr>
            <w:tcW w:w="6228" w:type="dxa"/>
            <w:noWrap/>
            <w:tcMar>
              <w:top w:w="0" w:type="dxa"/>
              <w:left w:w="108" w:type="dxa"/>
              <w:bottom w:w="0" w:type="dxa"/>
              <w:right w:w="108" w:type="dxa"/>
            </w:tcMar>
            <w:vAlign w:val="bottom"/>
          </w:tcPr>
          <w:p w:rsidR="005F535C" w:rsidRPr="004130F0" w:rsidRDefault="005F535C" w:rsidP="00DE49A9">
            <w:pPr>
              <w:jc w:val="right"/>
              <w:rPr>
                <w:rFonts w:eastAsia="Times New Roman"/>
              </w:rPr>
            </w:pPr>
            <w:r w:rsidRPr="004130F0">
              <w:rPr>
                <w:rFonts w:eastAsia="Times New Roman"/>
              </w:rPr>
              <w:t>2008</w:t>
            </w:r>
          </w:p>
        </w:tc>
        <w:tc>
          <w:tcPr>
            <w:tcW w:w="126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5,777</w:t>
            </w:r>
          </w:p>
        </w:tc>
        <w:tc>
          <w:tcPr>
            <w:tcW w:w="81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3,065</w:t>
            </w:r>
          </w:p>
        </w:tc>
        <w:tc>
          <w:tcPr>
            <w:tcW w:w="117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32,917</w:t>
            </w:r>
          </w:p>
        </w:tc>
      </w:tr>
      <w:tr w:rsidR="005F535C" w:rsidRPr="004130F0" w:rsidTr="00DE49A9">
        <w:trPr>
          <w:trHeight w:val="300"/>
        </w:trPr>
        <w:tc>
          <w:tcPr>
            <w:tcW w:w="6228" w:type="dxa"/>
            <w:noWrap/>
            <w:tcMar>
              <w:top w:w="0" w:type="dxa"/>
              <w:left w:w="108" w:type="dxa"/>
              <w:bottom w:w="0" w:type="dxa"/>
              <w:right w:w="108" w:type="dxa"/>
            </w:tcMar>
            <w:vAlign w:val="bottom"/>
          </w:tcPr>
          <w:p w:rsidR="005F535C" w:rsidRPr="004130F0" w:rsidRDefault="005F535C" w:rsidP="00DE49A9">
            <w:pPr>
              <w:jc w:val="right"/>
              <w:rPr>
                <w:rFonts w:eastAsia="Times New Roman"/>
              </w:rPr>
            </w:pPr>
            <w:r w:rsidRPr="004130F0">
              <w:rPr>
                <w:rFonts w:eastAsia="Times New Roman"/>
              </w:rPr>
              <w:t>2009</w:t>
            </w:r>
          </w:p>
        </w:tc>
        <w:tc>
          <w:tcPr>
            <w:tcW w:w="126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5,812</w:t>
            </w:r>
          </w:p>
        </w:tc>
        <w:tc>
          <w:tcPr>
            <w:tcW w:w="81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3,042</w:t>
            </w:r>
          </w:p>
        </w:tc>
        <w:tc>
          <w:tcPr>
            <w:tcW w:w="117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34,196</w:t>
            </w:r>
          </w:p>
        </w:tc>
      </w:tr>
      <w:tr w:rsidR="005F535C" w:rsidRPr="004130F0" w:rsidTr="00DE49A9">
        <w:trPr>
          <w:trHeight w:val="300"/>
        </w:trPr>
        <w:tc>
          <w:tcPr>
            <w:tcW w:w="6228" w:type="dxa"/>
            <w:noWrap/>
            <w:tcMar>
              <w:top w:w="0" w:type="dxa"/>
              <w:left w:w="108" w:type="dxa"/>
              <w:bottom w:w="0" w:type="dxa"/>
              <w:right w:w="108" w:type="dxa"/>
            </w:tcMar>
            <w:vAlign w:val="bottom"/>
          </w:tcPr>
          <w:p w:rsidR="005F535C" w:rsidRPr="004130F0" w:rsidRDefault="005F535C" w:rsidP="00DE49A9">
            <w:pPr>
              <w:jc w:val="right"/>
              <w:rPr>
                <w:rFonts w:eastAsia="Times New Roman"/>
              </w:rPr>
            </w:pPr>
            <w:r w:rsidRPr="004130F0">
              <w:rPr>
                <w:rFonts w:eastAsia="Times New Roman"/>
              </w:rPr>
              <w:t>3-year average</w:t>
            </w:r>
          </w:p>
        </w:tc>
        <w:tc>
          <w:tcPr>
            <w:tcW w:w="1260" w:type="dxa"/>
            <w:noWrap/>
            <w:tcMar>
              <w:top w:w="0" w:type="dxa"/>
              <w:left w:w="108" w:type="dxa"/>
              <w:bottom w:w="0" w:type="dxa"/>
              <w:right w:w="108" w:type="dxa"/>
            </w:tcMar>
            <w:vAlign w:val="bottom"/>
          </w:tcPr>
          <w:p w:rsidR="005F535C" w:rsidRPr="004130F0" w:rsidRDefault="005F535C" w:rsidP="00DE49A9">
            <w:pPr>
              <w:jc w:val="right"/>
              <w:rPr>
                <w:rFonts w:eastAsia="Times New Roman"/>
                <w:color w:val="000000"/>
              </w:rPr>
            </w:pPr>
            <w:r w:rsidRPr="004130F0">
              <w:rPr>
                <w:color w:val="000000"/>
              </w:rPr>
              <w:t>5,808</w:t>
            </w:r>
          </w:p>
        </w:tc>
        <w:tc>
          <w:tcPr>
            <w:tcW w:w="81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3,078</w:t>
            </w:r>
          </w:p>
        </w:tc>
        <w:tc>
          <w:tcPr>
            <w:tcW w:w="117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32,944</w:t>
            </w:r>
          </w:p>
        </w:tc>
      </w:tr>
      <w:tr w:rsidR="005F535C" w:rsidRPr="004130F0" w:rsidTr="00DE49A9">
        <w:trPr>
          <w:trHeight w:val="300"/>
        </w:trPr>
        <w:tc>
          <w:tcPr>
            <w:tcW w:w="6228" w:type="dxa"/>
            <w:noWrap/>
            <w:tcMar>
              <w:top w:w="0" w:type="dxa"/>
              <w:left w:w="108" w:type="dxa"/>
              <w:bottom w:w="0" w:type="dxa"/>
              <w:right w:w="108" w:type="dxa"/>
            </w:tcMar>
            <w:vAlign w:val="bottom"/>
          </w:tcPr>
          <w:p w:rsidR="005F535C" w:rsidRPr="004130F0" w:rsidRDefault="005F535C" w:rsidP="00DE49A9">
            <w:pPr>
              <w:rPr>
                <w:color w:val="000000"/>
              </w:rPr>
            </w:pPr>
          </w:p>
          <w:p w:rsidR="005F535C" w:rsidRPr="004130F0" w:rsidRDefault="005F535C" w:rsidP="00DE49A9">
            <w:pPr>
              <w:rPr>
                <w:color w:val="000000"/>
              </w:rPr>
            </w:pPr>
            <w:r w:rsidRPr="004130F0">
              <w:rPr>
                <w:color w:val="000000"/>
              </w:rPr>
              <w:t>Simulation 3</w:t>
            </w:r>
          </w:p>
          <w:p w:rsidR="005F535C" w:rsidRPr="004130F0" w:rsidRDefault="005F535C" w:rsidP="00DE49A9">
            <w:pPr>
              <w:rPr>
                <w:rFonts w:eastAsia="Times New Roman"/>
              </w:rPr>
            </w:pPr>
            <w:r w:rsidRPr="004130F0">
              <w:rPr>
                <w:color w:val="000000"/>
              </w:rPr>
              <w:t>Simulated new infections assuming 21% of MSM have sex with females, 80% of MSMW acts are with females, and 50% of MSMW-females acts are anal.</w:t>
            </w:r>
          </w:p>
        </w:tc>
        <w:tc>
          <w:tcPr>
            <w:tcW w:w="1260" w:type="dxa"/>
            <w:noWrap/>
            <w:tcMar>
              <w:top w:w="0" w:type="dxa"/>
              <w:left w:w="108" w:type="dxa"/>
              <w:bottom w:w="0" w:type="dxa"/>
              <w:right w:w="108" w:type="dxa"/>
            </w:tcMar>
            <w:vAlign w:val="bottom"/>
          </w:tcPr>
          <w:p w:rsidR="005F535C" w:rsidRPr="004130F0" w:rsidRDefault="005F535C" w:rsidP="00DE49A9">
            <w:pPr>
              <w:jc w:val="right"/>
              <w:rPr>
                <w:rFonts w:eastAsia="Times New Roman"/>
              </w:rPr>
            </w:pPr>
          </w:p>
        </w:tc>
        <w:tc>
          <w:tcPr>
            <w:tcW w:w="810" w:type="dxa"/>
            <w:noWrap/>
            <w:tcMar>
              <w:top w:w="0" w:type="dxa"/>
              <w:left w:w="108" w:type="dxa"/>
              <w:bottom w:w="0" w:type="dxa"/>
              <w:right w:w="108" w:type="dxa"/>
            </w:tcMar>
            <w:vAlign w:val="bottom"/>
          </w:tcPr>
          <w:p w:rsidR="005F535C" w:rsidRPr="004130F0" w:rsidRDefault="005F535C" w:rsidP="00DE49A9">
            <w:pPr>
              <w:jc w:val="right"/>
              <w:rPr>
                <w:rFonts w:eastAsia="Times New Roman"/>
              </w:rPr>
            </w:pPr>
          </w:p>
        </w:tc>
        <w:tc>
          <w:tcPr>
            <w:tcW w:w="1170" w:type="dxa"/>
            <w:noWrap/>
            <w:tcMar>
              <w:top w:w="0" w:type="dxa"/>
              <w:left w:w="108" w:type="dxa"/>
              <w:bottom w:w="0" w:type="dxa"/>
              <w:right w:w="108" w:type="dxa"/>
            </w:tcMar>
            <w:vAlign w:val="bottom"/>
          </w:tcPr>
          <w:p w:rsidR="005F535C" w:rsidRPr="004130F0" w:rsidRDefault="005F535C" w:rsidP="00DE49A9">
            <w:pPr>
              <w:jc w:val="right"/>
              <w:rPr>
                <w:rFonts w:eastAsia="Times New Roman"/>
              </w:rPr>
            </w:pPr>
          </w:p>
        </w:tc>
      </w:tr>
      <w:tr w:rsidR="005F535C" w:rsidRPr="004130F0" w:rsidTr="00DE49A9">
        <w:trPr>
          <w:trHeight w:val="300"/>
        </w:trPr>
        <w:tc>
          <w:tcPr>
            <w:tcW w:w="6228" w:type="dxa"/>
            <w:noWrap/>
            <w:tcMar>
              <w:top w:w="0" w:type="dxa"/>
              <w:left w:w="108" w:type="dxa"/>
              <w:bottom w:w="0" w:type="dxa"/>
              <w:right w:w="108" w:type="dxa"/>
            </w:tcMar>
            <w:vAlign w:val="bottom"/>
          </w:tcPr>
          <w:p w:rsidR="005F535C" w:rsidRPr="004130F0" w:rsidRDefault="005F535C" w:rsidP="00DE49A9">
            <w:pPr>
              <w:jc w:val="right"/>
              <w:rPr>
                <w:rFonts w:eastAsia="Times New Roman"/>
              </w:rPr>
            </w:pPr>
            <w:r w:rsidRPr="004130F0">
              <w:rPr>
                <w:rFonts w:eastAsia="Times New Roman"/>
              </w:rPr>
              <w:t>2007</w:t>
            </w:r>
          </w:p>
        </w:tc>
        <w:tc>
          <w:tcPr>
            <w:tcW w:w="1260" w:type="dxa"/>
            <w:noWrap/>
            <w:tcMar>
              <w:top w:w="0" w:type="dxa"/>
              <w:left w:w="108" w:type="dxa"/>
              <w:bottom w:w="0" w:type="dxa"/>
              <w:right w:w="108" w:type="dxa"/>
            </w:tcMar>
            <w:vAlign w:val="bottom"/>
          </w:tcPr>
          <w:p w:rsidR="005F535C" w:rsidRPr="004130F0" w:rsidRDefault="005F535C" w:rsidP="00DE49A9">
            <w:pPr>
              <w:jc w:val="right"/>
              <w:rPr>
                <w:rFonts w:eastAsia="Times New Roman"/>
                <w:color w:val="000000"/>
              </w:rPr>
            </w:pPr>
            <w:r w:rsidRPr="004130F0">
              <w:rPr>
                <w:color w:val="000000"/>
              </w:rPr>
              <w:t>9,069</w:t>
            </w:r>
          </w:p>
        </w:tc>
        <w:tc>
          <w:tcPr>
            <w:tcW w:w="81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3,436</w:t>
            </w:r>
          </w:p>
        </w:tc>
        <w:tc>
          <w:tcPr>
            <w:tcW w:w="117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27,043</w:t>
            </w:r>
          </w:p>
        </w:tc>
      </w:tr>
      <w:tr w:rsidR="005F535C" w:rsidRPr="004130F0" w:rsidTr="00DE49A9">
        <w:trPr>
          <w:trHeight w:val="300"/>
        </w:trPr>
        <w:tc>
          <w:tcPr>
            <w:tcW w:w="6228" w:type="dxa"/>
            <w:noWrap/>
            <w:tcMar>
              <w:top w:w="0" w:type="dxa"/>
              <w:left w:w="108" w:type="dxa"/>
              <w:bottom w:w="0" w:type="dxa"/>
              <w:right w:w="108" w:type="dxa"/>
            </w:tcMar>
            <w:vAlign w:val="bottom"/>
          </w:tcPr>
          <w:p w:rsidR="005F535C" w:rsidRPr="004130F0" w:rsidRDefault="005F535C" w:rsidP="00DE49A9">
            <w:pPr>
              <w:jc w:val="right"/>
              <w:rPr>
                <w:rFonts w:eastAsia="Times New Roman"/>
              </w:rPr>
            </w:pPr>
            <w:r w:rsidRPr="004130F0">
              <w:rPr>
                <w:rFonts w:eastAsia="Times New Roman"/>
              </w:rPr>
              <w:t>2008</w:t>
            </w:r>
          </w:p>
        </w:tc>
        <w:tc>
          <w:tcPr>
            <w:tcW w:w="126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8,745</w:t>
            </w:r>
          </w:p>
        </w:tc>
        <w:tc>
          <w:tcPr>
            <w:tcW w:w="81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3,386</w:t>
            </w:r>
          </w:p>
        </w:tc>
        <w:tc>
          <w:tcPr>
            <w:tcW w:w="117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27,077</w:t>
            </w:r>
          </w:p>
        </w:tc>
      </w:tr>
      <w:tr w:rsidR="005F535C" w:rsidRPr="004130F0" w:rsidTr="00DE49A9">
        <w:trPr>
          <w:trHeight w:val="300"/>
        </w:trPr>
        <w:tc>
          <w:tcPr>
            <w:tcW w:w="6228" w:type="dxa"/>
            <w:noWrap/>
            <w:tcMar>
              <w:top w:w="0" w:type="dxa"/>
              <w:left w:w="108" w:type="dxa"/>
              <w:bottom w:w="0" w:type="dxa"/>
              <w:right w:w="108" w:type="dxa"/>
            </w:tcMar>
            <w:vAlign w:val="bottom"/>
          </w:tcPr>
          <w:p w:rsidR="005F535C" w:rsidRPr="004130F0" w:rsidRDefault="005F535C" w:rsidP="00DE49A9">
            <w:pPr>
              <w:jc w:val="right"/>
              <w:rPr>
                <w:rFonts w:eastAsia="Times New Roman"/>
              </w:rPr>
            </w:pPr>
            <w:r w:rsidRPr="004130F0">
              <w:rPr>
                <w:rFonts w:eastAsia="Times New Roman"/>
              </w:rPr>
              <w:t>2009</w:t>
            </w:r>
          </w:p>
        </w:tc>
        <w:tc>
          <w:tcPr>
            <w:tcW w:w="126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9,255</w:t>
            </w:r>
          </w:p>
        </w:tc>
        <w:tc>
          <w:tcPr>
            <w:tcW w:w="81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3,156</w:t>
            </w:r>
          </w:p>
        </w:tc>
        <w:tc>
          <w:tcPr>
            <w:tcW w:w="117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27,685</w:t>
            </w:r>
          </w:p>
        </w:tc>
      </w:tr>
      <w:tr w:rsidR="005F535C" w:rsidRPr="004130F0" w:rsidTr="00DE49A9">
        <w:trPr>
          <w:trHeight w:val="300"/>
        </w:trPr>
        <w:tc>
          <w:tcPr>
            <w:tcW w:w="6228" w:type="dxa"/>
            <w:noWrap/>
            <w:tcMar>
              <w:top w:w="0" w:type="dxa"/>
              <w:left w:w="108" w:type="dxa"/>
              <w:bottom w:w="0" w:type="dxa"/>
              <w:right w:w="108" w:type="dxa"/>
            </w:tcMar>
            <w:vAlign w:val="bottom"/>
          </w:tcPr>
          <w:p w:rsidR="005F535C" w:rsidRPr="004130F0" w:rsidRDefault="005F535C" w:rsidP="00DE49A9">
            <w:pPr>
              <w:jc w:val="right"/>
              <w:rPr>
                <w:rFonts w:eastAsia="Times New Roman"/>
              </w:rPr>
            </w:pPr>
            <w:r w:rsidRPr="004130F0">
              <w:rPr>
                <w:rFonts w:eastAsia="Times New Roman"/>
              </w:rPr>
              <w:lastRenderedPageBreak/>
              <w:t>3-year average</w:t>
            </w:r>
          </w:p>
        </w:tc>
        <w:tc>
          <w:tcPr>
            <w:tcW w:w="1260" w:type="dxa"/>
            <w:noWrap/>
            <w:tcMar>
              <w:top w:w="0" w:type="dxa"/>
              <w:left w:w="108" w:type="dxa"/>
              <w:bottom w:w="0" w:type="dxa"/>
              <w:right w:w="108" w:type="dxa"/>
            </w:tcMar>
            <w:vAlign w:val="bottom"/>
          </w:tcPr>
          <w:p w:rsidR="005F535C" w:rsidRPr="004130F0" w:rsidRDefault="005F535C" w:rsidP="00DE49A9">
            <w:pPr>
              <w:jc w:val="right"/>
              <w:rPr>
                <w:rFonts w:eastAsia="Times New Roman"/>
                <w:color w:val="000000"/>
              </w:rPr>
            </w:pPr>
            <w:r w:rsidRPr="004130F0">
              <w:rPr>
                <w:color w:val="000000"/>
              </w:rPr>
              <w:t>9,023</w:t>
            </w:r>
          </w:p>
        </w:tc>
        <w:tc>
          <w:tcPr>
            <w:tcW w:w="81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3,326</w:t>
            </w:r>
          </w:p>
        </w:tc>
        <w:tc>
          <w:tcPr>
            <w:tcW w:w="117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27,268</w:t>
            </w:r>
          </w:p>
        </w:tc>
      </w:tr>
      <w:tr w:rsidR="005F535C" w:rsidRPr="004130F0" w:rsidTr="00DE49A9">
        <w:trPr>
          <w:trHeight w:val="300"/>
        </w:trPr>
        <w:tc>
          <w:tcPr>
            <w:tcW w:w="7488" w:type="dxa"/>
            <w:gridSpan w:val="2"/>
            <w:noWrap/>
            <w:tcMar>
              <w:top w:w="0" w:type="dxa"/>
              <w:left w:w="108" w:type="dxa"/>
              <w:bottom w:w="0" w:type="dxa"/>
              <w:right w:w="108" w:type="dxa"/>
            </w:tcMar>
            <w:vAlign w:val="bottom"/>
          </w:tcPr>
          <w:p w:rsidR="005F535C" w:rsidRPr="004130F0" w:rsidRDefault="005F535C" w:rsidP="00DE49A9">
            <w:pPr>
              <w:rPr>
                <w:color w:val="000000"/>
              </w:rPr>
            </w:pPr>
            <w:r w:rsidRPr="004130F0">
              <w:rPr>
                <w:color w:val="000000"/>
              </w:rPr>
              <w:t xml:space="preserve">New infections as reported by surveillance data </w:t>
            </w:r>
            <w:r w:rsidRPr="004130F0">
              <w:rPr>
                <w:color w:val="000000"/>
              </w:rPr>
              <w:fldChar w:fldCharType="begin"/>
            </w:r>
            <w:r w:rsidRPr="004130F0">
              <w:rPr>
                <w:color w:val="000000"/>
              </w:rPr>
              <w:instrText>ADDIN RW.CITE{{571 [NoInformation] [No Information]}}</w:instrText>
            </w:r>
            <w:r w:rsidRPr="004130F0">
              <w:rPr>
                <w:color w:val="000000"/>
              </w:rPr>
              <w:fldChar w:fldCharType="separate"/>
            </w:r>
            <w:r w:rsidRPr="00A04044">
              <w:rPr>
                <w:color w:val="000000"/>
              </w:rPr>
              <w:t>(73)</w:t>
            </w:r>
            <w:r w:rsidRPr="004130F0">
              <w:rPr>
                <w:color w:val="000000"/>
              </w:rPr>
              <w:fldChar w:fldCharType="end"/>
            </w:r>
          </w:p>
        </w:tc>
        <w:tc>
          <w:tcPr>
            <w:tcW w:w="810" w:type="dxa"/>
            <w:noWrap/>
            <w:tcMar>
              <w:top w:w="0" w:type="dxa"/>
              <w:left w:w="108" w:type="dxa"/>
              <w:bottom w:w="0" w:type="dxa"/>
              <w:right w:w="108" w:type="dxa"/>
            </w:tcMar>
            <w:vAlign w:val="bottom"/>
          </w:tcPr>
          <w:p w:rsidR="005F535C" w:rsidRPr="004130F0" w:rsidRDefault="005F535C" w:rsidP="00DE49A9">
            <w:pPr>
              <w:rPr>
                <w:rFonts w:ascii="Times New Roman" w:eastAsia="Times New Roman" w:hAnsi="Times New Roman"/>
                <w:sz w:val="20"/>
                <w:szCs w:val="20"/>
              </w:rPr>
            </w:pPr>
          </w:p>
        </w:tc>
        <w:tc>
          <w:tcPr>
            <w:tcW w:w="1170" w:type="dxa"/>
            <w:noWrap/>
            <w:tcMar>
              <w:top w:w="0" w:type="dxa"/>
              <w:left w:w="108" w:type="dxa"/>
              <w:bottom w:w="0" w:type="dxa"/>
              <w:right w:w="108" w:type="dxa"/>
            </w:tcMar>
            <w:vAlign w:val="bottom"/>
          </w:tcPr>
          <w:p w:rsidR="005F535C" w:rsidRPr="004130F0" w:rsidRDefault="005F535C" w:rsidP="00DE49A9">
            <w:pPr>
              <w:rPr>
                <w:rFonts w:ascii="Times New Roman" w:eastAsia="Times New Roman" w:hAnsi="Times New Roman"/>
                <w:sz w:val="20"/>
                <w:szCs w:val="20"/>
              </w:rPr>
            </w:pPr>
          </w:p>
        </w:tc>
      </w:tr>
      <w:tr w:rsidR="005F535C" w:rsidRPr="004130F0" w:rsidTr="00DE49A9">
        <w:trPr>
          <w:trHeight w:val="300"/>
        </w:trPr>
        <w:tc>
          <w:tcPr>
            <w:tcW w:w="6228" w:type="dxa"/>
            <w:noWrap/>
            <w:tcMar>
              <w:top w:w="0" w:type="dxa"/>
              <w:left w:w="108" w:type="dxa"/>
              <w:bottom w:w="0" w:type="dxa"/>
              <w:right w:w="108" w:type="dxa"/>
            </w:tcMar>
            <w:vAlign w:val="bottom"/>
            <w:hideMark/>
          </w:tcPr>
          <w:p w:rsidR="005F535C" w:rsidRPr="004130F0" w:rsidRDefault="005F535C" w:rsidP="00DE49A9">
            <w:pPr>
              <w:jc w:val="right"/>
              <w:rPr>
                <w:color w:val="000000"/>
              </w:rPr>
            </w:pPr>
            <w:r w:rsidRPr="004130F0">
              <w:rPr>
                <w:color w:val="000000"/>
              </w:rPr>
              <w:t>2007</w:t>
            </w:r>
          </w:p>
        </w:tc>
        <w:tc>
          <w:tcPr>
            <w:tcW w:w="1260" w:type="dxa"/>
            <w:noWrap/>
            <w:tcMar>
              <w:top w:w="0" w:type="dxa"/>
              <w:left w:w="108" w:type="dxa"/>
              <w:bottom w:w="0" w:type="dxa"/>
              <w:right w:w="108" w:type="dxa"/>
            </w:tcMar>
            <w:hideMark/>
          </w:tcPr>
          <w:p w:rsidR="005F535C" w:rsidRPr="004130F0" w:rsidRDefault="005F535C" w:rsidP="00DE49A9">
            <w:pPr>
              <w:jc w:val="right"/>
            </w:pPr>
            <w:r w:rsidRPr="004130F0">
              <w:t>11,000</w:t>
            </w:r>
          </w:p>
        </w:tc>
        <w:tc>
          <w:tcPr>
            <w:tcW w:w="810" w:type="dxa"/>
            <w:noWrap/>
            <w:tcMar>
              <w:top w:w="0" w:type="dxa"/>
              <w:left w:w="108" w:type="dxa"/>
              <w:bottom w:w="0" w:type="dxa"/>
              <w:right w:w="108" w:type="dxa"/>
            </w:tcMar>
            <w:hideMark/>
          </w:tcPr>
          <w:p w:rsidR="005F535C" w:rsidRPr="004130F0" w:rsidRDefault="005F535C" w:rsidP="00DE49A9">
            <w:pPr>
              <w:jc w:val="right"/>
            </w:pPr>
            <w:r w:rsidRPr="004130F0">
              <w:t>4,600</w:t>
            </w:r>
          </w:p>
        </w:tc>
        <w:tc>
          <w:tcPr>
            <w:tcW w:w="1170" w:type="dxa"/>
            <w:noWrap/>
            <w:tcMar>
              <w:top w:w="0" w:type="dxa"/>
              <w:left w:w="108" w:type="dxa"/>
              <w:bottom w:w="0" w:type="dxa"/>
              <w:right w:w="108" w:type="dxa"/>
            </w:tcMar>
            <w:hideMark/>
          </w:tcPr>
          <w:p w:rsidR="005F535C" w:rsidRPr="004130F0" w:rsidRDefault="005F535C" w:rsidP="00DE49A9">
            <w:pPr>
              <w:jc w:val="right"/>
            </w:pPr>
            <w:r w:rsidRPr="004130F0">
              <w:t>30,100</w:t>
            </w:r>
          </w:p>
        </w:tc>
      </w:tr>
      <w:tr w:rsidR="005F535C" w:rsidRPr="004130F0" w:rsidTr="00DE49A9">
        <w:trPr>
          <w:trHeight w:val="300"/>
        </w:trPr>
        <w:tc>
          <w:tcPr>
            <w:tcW w:w="6228" w:type="dxa"/>
            <w:noWrap/>
            <w:tcMar>
              <w:top w:w="0" w:type="dxa"/>
              <w:left w:w="108" w:type="dxa"/>
              <w:bottom w:w="0" w:type="dxa"/>
              <w:right w:w="108" w:type="dxa"/>
            </w:tcMar>
            <w:vAlign w:val="bottom"/>
            <w:hideMark/>
          </w:tcPr>
          <w:p w:rsidR="005F535C" w:rsidRPr="004130F0" w:rsidRDefault="005F535C" w:rsidP="00DE49A9">
            <w:pPr>
              <w:jc w:val="right"/>
              <w:rPr>
                <w:color w:val="000000"/>
              </w:rPr>
            </w:pPr>
            <w:r w:rsidRPr="004130F0">
              <w:rPr>
                <w:color w:val="000000"/>
              </w:rPr>
              <w:t>2008</w:t>
            </w:r>
          </w:p>
        </w:tc>
        <w:tc>
          <w:tcPr>
            <w:tcW w:w="1260" w:type="dxa"/>
            <w:noWrap/>
            <w:tcMar>
              <w:top w:w="0" w:type="dxa"/>
              <w:left w:w="108" w:type="dxa"/>
              <w:bottom w:w="0" w:type="dxa"/>
              <w:right w:w="108" w:type="dxa"/>
            </w:tcMar>
            <w:hideMark/>
          </w:tcPr>
          <w:p w:rsidR="005F535C" w:rsidRPr="004130F0" w:rsidRDefault="005F535C" w:rsidP="00DE49A9">
            <w:pPr>
              <w:jc w:val="right"/>
            </w:pPr>
            <w:r w:rsidRPr="004130F0">
              <w:t>9,800</w:t>
            </w:r>
          </w:p>
        </w:tc>
        <w:tc>
          <w:tcPr>
            <w:tcW w:w="810" w:type="dxa"/>
            <w:noWrap/>
            <w:tcMar>
              <w:top w:w="0" w:type="dxa"/>
              <w:left w:w="108" w:type="dxa"/>
              <w:bottom w:w="0" w:type="dxa"/>
              <w:right w:w="108" w:type="dxa"/>
            </w:tcMar>
            <w:hideMark/>
          </w:tcPr>
          <w:p w:rsidR="005F535C" w:rsidRPr="004130F0" w:rsidRDefault="005F535C" w:rsidP="00DE49A9">
            <w:pPr>
              <w:jc w:val="right"/>
            </w:pPr>
            <w:r w:rsidRPr="004130F0">
              <w:t>4,500</w:t>
            </w:r>
          </w:p>
        </w:tc>
        <w:tc>
          <w:tcPr>
            <w:tcW w:w="1170" w:type="dxa"/>
            <w:noWrap/>
            <w:tcMar>
              <w:top w:w="0" w:type="dxa"/>
              <w:left w:w="108" w:type="dxa"/>
              <w:bottom w:w="0" w:type="dxa"/>
              <w:right w:w="108" w:type="dxa"/>
            </w:tcMar>
            <w:hideMark/>
          </w:tcPr>
          <w:p w:rsidR="005F535C" w:rsidRPr="004130F0" w:rsidRDefault="005F535C" w:rsidP="00DE49A9">
            <w:pPr>
              <w:jc w:val="right"/>
            </w:pPr>
            <w:r w:rsidRPr="004130F0">
              <w:t>26,700</w:t>
            </w:r>
          </w:p>
        </w:tc>
      </w:tr>
      <w:tr w:rsidR="005F535C" w:rsidRPr="004130F0" w:rsidTr="00DE49A9">
        <w:trPr>
          <w:trHeight w:val="300"/>
        </w:trPr>
        <w:tc>
          <w:tcPr>
            <w:tcW w:w="6228" w:type="dxa"/>
            <w:noWrap/>
            <w:tcMar>
              <w:top w:w="0" w:type="dxa"/>
              <w:left w:w="108" w:type="dxa"/>
              <w:bottom w:w="0" w:type="dxa"/>
              <w:right w:w="108" w:type="dxa"/>
            </w:tcMar>
            <w:vAlign w:val="bottom"/>
            <w:hideMark/>
          </w:tcPr>
          <w:p w:rsidR="005F535C" w:rsidRPr="004130F0" w:rsidRDefault="005F535C" w:rsidP="00DE49A9">
            <w:pPr>
              <w:jc w:val="right"/>
              <w:rPr>
                <w:color w:val="000000"/>
              </w:rPr>
            </w:pPr>
            <w:r w:rsidRPr="004130F0">
              <w:rPr>
                <w:color w:val="000000"/>
              </w:rPr>
              <w:t>2009</w:t>
            </w:r>
          </w:p>
        </w:tc>
        <w:tc>
          <w:tcPr>
            <w:tcW w:w="1260" w:type="dxa"/>
            <w:noWrap/>
            <w:tcMar>
              <w:top w:w="0" w:type="dxa"/>
              <w:left w:w="108" w:type="dxa"/>
              <w:bottom w:w="0" w:type="dxa"/>
              <w:right w:w="108" w:type="dxa"/>
            </w:tcMar>
            <w:hideMark/>
          </w:tcPr>
          <w:p w:rsidR="005F535C" w:rsidRPr="004130F0" w:rsidRDefault="005F535C" w:rsidP="00DE49A9">
            <w:pPr>
              <w:jc w:val="right"/>
            </w:pPr>
            <w:r w:rsidRPr="004130F0">
              <w:t>8,800</w:t>
            </w:r>
          </w:p>
        </w:tc>
        <w:tc>
          <w:tcPr>
            <w:tcW w:w="810" w:type="dxa"/>
            <w:noWrap/>
            <w:tcMar>
              <w:top w:w="0" w:type="dxa"/>
              <w:left w:w="108" w:type="dxa"/>
              <w:bottom w:w="0" w:type="dxa"/>
              <w:right w:w="108" w:type="dxa"/>
            </w:tcMar>
            <w:hideMark/>
          </w:tcPr>
          <w:p w:rsidR="005F535C" w:rsidRPr="004130F0" w:rsidRDefault="005F535C" w:rsidP="00DE49A9">
            <w:pPr>
              <w:jc w:val="right"/>
            </w:pPr>
            <w:r w:rsidRPr="004130F0">
              <w:t>3,800</w:t>
            </w:r>
          </w:p>
        </w:tc>
        <w:tc>
          <w:tcPr>
            <w:tcW w:w="1170" w:type="dxa"/>
            <w:noWrap/>
            <w:tcMar>
              <w:top w:w="0" w:type="dxa"/>
              <w:left w:w="108" w:type="dxa"/>
              <w:bottom w:w="0" w:type="dxa"/>
              <w:right w:w="108" w:type="dxa"/>
            </w:tcMar>
            <w:hideMark/>
          </w:tcPr>
          <w:p w:rsidR="005F535C" w:rsidRPr="004130F0" w:rsidRDefault="005F535C" w:rsidP="00DE49A9">
            <w:pPr>
              <w:jc w:val="right"/>
            </w:pPr>
            <w:r w:rsidRPr="004130F0">
              <w:t>27,100</w:t>
            </w:r>
          </w:p>
        </w:tc>
      </w:tr>
      <w:tr w:rsidR="005F535C" w:rsidRPr="004130F0" w:rsidTr="00DE49A9">
        <w:trPr>
          <w:trHeight w:val="300"/>
        </w:trPr>
        <w:tc>
          <w:tcPr>
            <w:tcW w:w="6228"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3-year average</w:t>
            </w:r>
          </w:p>
        </w:tc>
        <w:tc>
          <w:tcPr>
            <w:tcW w:w="1260" w:type="dxa"/>
            <w:noWrap/>
            <w:tcMar>
              <w:top w:w="0" w:type="dxa"/>
              <w:left w:w="108" w:type="dxa"/>
              <w:bottom w:w="0" w:type="dxa"/>
              <w:right w:w="108" w:type="dxa"/>
            </w:tcMar>
            <w:vAlign w:val="bottom"/>
          </w:tcPr>
          <w:p w:rsidR="005F535C" w:rsidRPr="004130F0" w:rsidRDefault="005F535C" w:rsidP="00DE49A9">
            <w:pPr>
              <w:jc w:val="right"/>
              <w:rPr>
                <w:rFonts w:eastAsia="Times New Roman"/>
                <w:color w:val="000000"/>
              </w:rPr>
            </w:pPr>
            <w:r w:rsidRPr="004130F0">
              <w:rPr>
                <w:color w:val="000000"/>
              </w:rPr>
              <w:t xml:space="preserve">         9,867 </w:t>
            </w:r>
          </w:p>
        </w:tc>
        <w:tc>
          <w:tcPr>
            <w:tcW w:w="81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 xml:space="preserve"> 4,300 </w:t>
            </w:r>
          </w:p>
        </w:tc>
        <w:tc>
          <w:tcPr>
            <w:tcW w:w="117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 xml:space="preserve">      27,967 </w:t>
            </w:r>
          </w:p>
        </w:tc>
      </w:tr>
      <w:tr w:rsidR="005F535C" w:rsidRPr="004130F0" w:rsidTr="00DE49A9">
        <w:trPr>
          <w:trHeight w:val="300"/>
        </w:trPr>
        <w:tc>
          <w:tcPr>
            <w:tcW w:w="6228"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Simulation 1: 3-year average compared with surveillance data 3-year average</w:t>
            </w:r>
          </w:p>
        </w:tc>
        <w:tc>
          <w:tcPr>
            <w:tcW w:w="126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22%</w:t>
            </w:r>
          </w:p>
        </w:tc>
        <w:tc>
          <w:tcPr>
            <w:tcW w:w="81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68%</w:t>
            </w:r>
          </w:p>
        </w:tc>
        <w:tc>
          <w:tcPr>
            <w:tcW w:w="117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120%</w:t>
            </w:r>
          </w:p>
        </w:tc>
      </w:tr>
      <w:tr w:rsidR="005F535C" w:rsidRPr="004130F0" w:rsidTr="00DE49A9">
        <w:trPr>
          <w:trHeight w:val="300"/>
        </w:trPr>
        <w:tc>
          <w:tcPr>
            <w:tcW w:w="6228"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Simulation 2: 3-year average compared with surveillance data 3-year average</w:t>
            </w:r>
          </w:p>
        </w:tc>
        <w:tc>
          <w:tcPr>
            <w:tcW w:w="126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58%</w:t>
            </w:r>
          </w:p>
        </w:tc>
        <w:tc>
          <w:tcPr>
            <w:tcW w:w="81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71%</w:t>
            </w:r>
          </w:p>
        </w:tc>
        <w:tc>
          <w:tcPr>
            <w:tcW w:w="117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121%</w:t>
            </w:r>
          </w:p>
        </w:tc>
      </w:tr>
      <w:tr w:rsidR="005F535C" w:rsidRPr="004130F0" w:rsidTr="00DE49A9">
        <w:trPr>
          <w:trHeight w:val="300"/>
        </w:trPr>
        <w:tc>
          <w:tcPr>
            <w:tcW w:w="6228"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Simulation 3: 3-year average compared with surveillance data 3-year average</w:t>
            </w:r>
          </w:p>
        </w:tc>
        <w:tc>
          <w:tcPr>
            <w:tcW w:w="126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91%</w:t>
            </w:r>
          </w:p>
        </w:tc>
        <w:tc>
          <w:tcPr>
            <w:tcW w:w="81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77%</w:t>
            </w:r>
          </w:p>
        </w:tc>
        <w:tc>
          <w:tcPr>
            <w:tcW w:w="1170" w:type="dxa"/>
            <w:noWrap/>
            <w:tcMar>
              <w:top w:w="0" w:type="dxa"/>
              <w:left w:w="108" w:type="dxa"/>
              <w:bottom w:w="0" w:type="dxa"/>
              <w:right w:w="108" w:type="dxa"/>
            </w:tcMar>
            <w:vAlign w:val="bottom"/>
          </w:tcPr>
          <w:p w:rsidR="005F535C" w:rsidRPr="004130F0" w:rsidRDefault="005F535C" w:rsidP="00DE49A9">
            <w:pPr>
              <w:jc w:val="right"/>
              <w:rPr>
                <w:color w:val="000000"/>
              </w:rPr>
            </w:pPr>
            <w:r w:rsidRPr="004130F0">
              <w:rPr>
                <w:color w:val="000000"/>
              </w:rPr>
              <w:t>98%</w:t>
            </w:r>
          </w:p>
        </w:tc>
      </w:tr>
    </w:tbl>
    <w:p w:rsidR="005F535C" w:rsidRPr="00D27059" w:rsidRDefault="005F535C" w:rsidP="005F535C">
      <w:pPr>
        <w:rPr>
          <w:rFonts w:ascii="Times New Roman" w:hAnsi="Times New Roman"/>
          <w:sz w:val="24"/>
          <w:szCs w:val="24"/>
        </w:rPr>
      </w:pPr>
    </w:p>
    <w:p w:rsidR="005F535C" w:rsidRDefault="005F535C" w:rsidP="005F535C">
      <w:pPr>
        <w:tabs>
          <w:tab w:val="right" w:pos="12960"/>
        </w:tabs>
        <w:spacing w:line="480" w:lineRule="auto"/>
        <w:rPr>
          <w:rFonts w:ascii="Arial" w:hAnsi="Arial" w:cs="Arial"/>
          <w:sz w:val="24"/>
          <w:szCs w:val="24"/>
        </w:rPr>
      </w:pPr>
    </w:p>
    <w:p w:rsidR="005F535C" w:rsidRDefault="005F535C" w:rsidP="005F535C">
      <w:pPr>
        <w:tabs>
          <w:tab w:val="right" w:pos="12960"/>
        </w:tabs>
        <w:spacing w:line="480" w:lineRule="auto"/>
        <w:rPr>
          <w:rFonts w:ascii="Arial" w:hAnsi="Arial" w:cs="Arial"/>
          <w:sz w:val="24"/>
          <w:szCs w:val="24"/>
        </w:rPr>
      </w:pPr>
    </w:p>
    <w:p w:rsidR="005F535C" w:rsidRDefault="005F535C" w:rsidP="005F535C">
      <w:pPr>
        <w:tabs>
          <w:tab w:val="right" w:pos="12960"/>
        </w:tabs>
        <w:spacing w:line="480" w:lineRule="auto"/>
        <w:rPr>
          <w:rFonts w:ascii="Arial" w:hAnsi="Arial" w:cs="Arial"/>
          <w:sz w:val="24"/>
          <w:szCs w:val="24"/>
        </w:rPr>
      </w:pPr>
    </w:p>
    <w:p w:rsidR="005F535C" w:rsidRDefault="005F535C" w:rsidP="005F535C">
      <w:pPr>
        <w:tabs>
          <w:tab w:val="right" w:pos="12960"/>
        </w:tabs>
        <w:spacing w:line="480" w:lineRule="auto"/>
        <w:rPr>
          <w:rFonts w:ascii="Arial" w:hAnsi="Arial" w:cs="Arial"/>
          <w:sz w:val="24"/>
          <w:szCs w:val="24"/>
        </w:rPr>
      </w:pPr>
    </w:p>
    <w:p w:rsidR="005F535C" w:rsidRDefault="005F535C" w:rsidP="005F535C">
      <w:pPr>
        <w:tabs>
          <w:tab w:val="right" w:pos="12960"/>
        </w:tabs>
        <w:spacing w:line="480" w:lineRule="auto"/>
        <w:rPr>
          <w:rFonts w:ascii="Arial" w:hAnsi="Arial" w:cs="Arial"/>
          <w:sz w:val="24"/>
          <w:szCs w:val="24"/>
        </w:rPr>
      </w:pPr>
    </w:p>
    <w:p w:rsidR="005F535C" w:rsidRDefault="005F535C" w:rsidP="005F535C">
      <w:pPr>
        <w:tabs>
          <w:tab w:val="right" w:pos="12960"/>
        </w:tabs>
        <w:spacing w:line="480" w:lineRule="auto"/>
        <w:rPr>
          <w:rFonts w:ascii="Arial" w:hAnsi="Arial" w:cs="Arial"/>
          <w:sz w:val="24"/>
          <w:szCs w:val="24"/>
        </w:rPr>
      </w:pPr>
    </w:p>
    <w:p w:rsidR="005F535C" w:rsidRDefault="005F535C" w:rsidP="005F535C">
      <w:pPr>
        <w:tabs>
          <w:tab w:val="right" w:pos="12960"/>
        </w:tabs>
        <w:spacing w:line="480" w:lineRule="auto"/>
        <w:rPr>
          <w:rFonts w:ascii="Arial" w:hAnsi="Arial" w:cs="Arial"/>
          <w:sz w:val="24"/>
          <w:szCs w:val="24"/>
        </w:rPr>
      </w:pPr>
    </w:p>
    <w:p w:rsidR="005F535C" w:rsidRDefault="005F535C" w:rsidP="005F535C">
      <w:pPr>
        <w:tabs>
          <w:tab w:val="right" w:pos="12960"/>
        </w:tabs>
        <w:spacing w:line="480" w:lineRule="auto"/>
        <w:rPr>
          <w:rFonts w:ascii="Arial" w:hAnsi="Arial" w:cs="Arial"/>
          <w:sz w:val="24"/>
          <w:szCs w:val="24"/>
        </w:rPr>
      </w:pPr>
    </w:p>
    <w:p w:rsidR="005F535C" w:rsidRDefault="005F535C" w:rsidP="005F535C">
      <w:pPr>
        <w:tabs>
          <w:tab w:val="right" w:pos="12960"/>
        </w:tabs>
        <w:spacing w:line="480" w:lineRule="auto"/>
        <w:rPr>
          <w:rFonts w:ascii="Arial" w:hAnsi="Arial" w:cs="Arial"/>
          <w:sz w:val="24"/>
          <w:szCs w:val="24"/>
        </w:rPr>
      </w:pPr>
    </w:p>
    <w:p w:rsidR="005F535C" w:rsidRPr="006F5A1C" w:rsidRDefault="005F535C" w:rsidP="005F535C">
      <w:pPr>
        <w:tabs>
          <w:tab w:val="right" w:pos="12960"/>
        </w:tabs>
        <w:spacing w:line="480" w:lineRule="auto"/>
        <w:rPr>
          <w:rFonts w:ascii="Arial" w:hAnsi="Arial" w:cs="Arial"/>
          <w:b/>
          <w:sz w:val="24"/>
          <w:szCs w:val="24"/>
        </w:rPr>
      </w:pPr>
      <w:r w:rsidRPr="006F5A1C">
        <w:rPr>
          <w:rFonts w:ascii="Arial" w:hAnsi="Arial" w:cs="Arial"/>
          <w:b/>
          <w:sz w:val="24"/>
          <w:szCs w:val="24"/>
        </w:rPr>
        <w:lastRenderedPageBreak/>
        <w:t>References</w:t>
      </w:r>
    </w:p>
    <w:p w:rsidR="005F535C" w:rsidRPr="00A04044" w:rsidRDefault="005F535C" w:rsidP="005F535C">
      <w:pPr>
        <w:pStyle w:val="NormalWeb"/>
        <w:rPr>
          <w:rFonts w:ascii="Arial" w:hAnsi="Arial" w:cs="Arial"/>
        </w:rPr>
      </w:pPr>
      <w:r>
        <w:rPr>
          <w:rFonts w:ascii="Arial" w:hAnsi="Arial" w:cs="Arial"/>
        </w:rPr>
        <w:fldChar w:fldCharType="begin"/>
      </w:r>
      <w:r>
        <w:rPr>
          <w:rFonts w:ascii="Arial" w:hAnsi="Arial" w:cs="Arial"/>
        </w:rPr>
        <w:instrText>ADDIN RW.BIB</w:instrText>
      </w:r>
      <w:r>
        <w:rPr>
          <w:rFonts w:ascii="Arial" w:hAnsi="Arial" w:cs="Arial"/>
        </w:rPr>
        <w:fldChar w:fldCharType="separate"/>
      </w:r>
      <w:r w:rsidRPr="00A04044">
        <w:rPr>
          <w:rFonts w:ascii="Arial" w:hAnsi="Arial" w:cs="Arial"/>
        </w:rPr>
        <w:t xml:space="preserve">(1) Centers for Disease Control and Prevention. HIV Surveillance Report, 2013; vol. 25. </w:t>
      </w:r>
      <w:hyperlink r:id="rId124" w:tgtFrame="_blank" w:history="1">
        <w:r w:rsidRPr="00A04044">
          <w:rPr>
            <w:rStyle w:val="Hyperlink"/>
            <w:rFonts w:ascii="Arial" w:hAnsi="Arial" w:cs="Arial"/>
          </w:rPr>
          <w:t>http://www.cdc.gov/hiv/library/reports/surveillance/.</w:t>
        </w:r>
      </w:hyperlink>
      <w:r w:rsidRPr="00A04044">
        <w:rPr>
          <w:rFonts w:ascii="Arial" w:hAnsi="Arial" w:cs="Arial"/>
        </w:rPr>
        <w:t xml:space="preserve"> Published February 2015. Accessed [December 2015]. </w:t>
      </w:r>
    </w:p>
    <w:p w:rsidR="005F535C" w:rsidRPr="00A04044" w:rsidRDefault="005F535C" w:rsidP="005F535C">
      <w:pPr>
        <w:pStyle w:val="NormalWeb"/>
        <w:rPr>
          <w:rFonts w:ascii="Arial" w:hAnsi="Arial" w:cs="Arial"/>
        </w:rPr>
      </w:pPr>
      <w:r w:rsidRPr="00A04044">
        <w:rPr>
          <w:rFonts w:ascii="Arial" w:hAnsi="Arial" w:cs="Arial"/>
        </w:rPr>
        <w:t xml:space="preserve">(2) Centers for Disease Control and Prevention. Monitoring selected national HIV prevention and care objectives by using HIV surveillance data—United States and 6 dependent areas, 2014. HIV Surveillance Supplemental Report 2016; 21(No. 4). </w:t>
      </w:r>
      <w:hyperlink r:id="rId125" w:tgtFrame="_blank" w:history="1">
        <w:r w:rsidRPr="00A04044">
          <w:rPr>
            <w:rStyle w:val="Hyperlink"/>
            <w:rFonts w:ascii="Arial" w:hAnsi="Arial" w:cs="Arial"/>
          </w:rPr>
          <w:t>http://www.cdc.gov/hiv/library/reports/surveillance/.</w:t>
        </w:r>
      </w:hyperlink>
      <w:r w:rsidRPr="00A04044">
        <w:rPr>
          <w:rFonts w:ascii="Arial" w:hAnsi="Arial" w:cs="Arial"/>
        </w:rPr>
        <w:t xml:space="preserve"> Published July 2016. Accessed [October 2016]. </w:t>
      </w:r>
    </w:p>
    <w:p w:rsidR="005F535C" w:rsidRPr="00A04044" w:rsidRDefault="005F535C" w:rsidP="005F535C">
      <w:pPr>
        <w:pStyle w:val="NormalWeb"/>
        <w:rPr>
          <w:rFonts w:ascii="Arial" w:hAnsi="Arial" w:cs="Arial"/>
        </w:rPr>
      </w:pPr>
      <w:r w:rsidRPr="00A04044">
        <w:rPr>
          <w:rFonts w:ascii="Arial" w:hAnsi="Arial" w:cs="Arial"/>
        </w:rPr>
        <w:t>(3) Gopalappa C, Farnham PG, Chen YH, Sansom SL. Progression and Transmission of HIV/AIDS (PATH 2.0). Med Decis Making 2017 Feb;37(2):224-233.</w:t>
      </w:r>
    </w:p>
    <w:p w:rsidR="005F535C" w:rsidRPr="00A04044" w:rsidRDefault="005F535C" w:rsidP="005F535C">
      <w:pPr>
        <w:pStyle w:val="NormalWeb"/>
        <w:rPr>
          <w:rFonts w:ascii="Arial" w:hAnsi="Arial" w:cs="Arial"/>
        </w:rPr>
      </w:pPr>
      <w:r w:rsidRPr="00A04044">
        <w:rPr>
          <w:rFonts w:ascii="Arial" w:hAnsi="Arial" w:cs="Arial"/>
        </w:rPr>
        <w:t>(4) Campsmith ML, Rhodes PH, Hall HI, Green TA. Undiagnosed HIV prevalence among adults and adolescents in the United States at the end of 2006. J Acquir Immune Defic Syndr 2010 Apr;53(5):619-24.</w:t>
      </w:r>
    </w:p>
    <w:p w:rsidR="005F535C" w:rsidRPr="00A04044" w:rsidRDefault="005F535C" w:rsidP="005F535C">
      <w:pPr>
        <w:pStyle w:val="NormalWeb"/>
        <w:rPr>
          <w:rFonts w:ascii="Arial" w:hAnsi="Arial" w:cs="Arial"/>
        </w:rPr>
      </w:pPr>
      <w:r w:rsidRPr="00A04044">
        <w:rPr>
          <w:rFonts w:ascii="Arial" w:hAnsi="Arial" w:cs="Arial"/>
        </w:rPr>
        <w:t>(5) Prejean J, Song R, Hernandez A, Ziebell R, Green T, Walker F, et al. Estimated HIV incidence in the United States, 2006-2009. PLoS One 2011;6(8):e17502.</w:t>
      </w:r>
    </w:p>
    <w:p w:rsidR="005F535C" w:rsidRPr="00A04044" w:rsidRDefault="005F535C" w:rsidP="005F535C">
      <w:pPr>
        <w:pStyle w:val="NormalWeb"/>
        <w:rPr>
          <w:rFonts w:ascii="Arial" w:hAnsi="Arial" w:cs="Arial"/>
        </w:rPr>
      </w:pPr>
      <w:r w:rsidRPr="00A04044">
        <w:rPr>
          <w:rFonts w:ascii="Arial" w:hAnsi="Arial" w:cs="Arial"/>
        </w:rPr>
        <w:t>(6) Gardner EM, McLees MP, Steiner JF, Del Rio C, Burman WJ. The spectrum of engagement in HIV care and its relevance to test-and-treat strategies for prevention of HIV infection. Clinical Infectious Diseases 2011 Mar;52(6):793-800.</w:t>
      </w:r>
    </w:p>
    <w:p w:rsidR="005F535C" w:rsidRPr="00A04044" w:rsidRDefault="005F535C" w:rsidP="005F535C">
      <w:pPr>
        <w:pStyle w:val="NormalWeb"/>
        <w:rPr>
          <w:rFonts w:ascii="Arial" w:hAnsi="Arial" w:cs="Arial"/>
        </w:rPr>
      </w:pPr>
      <w:r w:rsidRPr="00A04044">
        <w:rPr>
          <w:rFonts w:ascii="Arial" w:hAnsi="Arial" w:cs="Arial"/>
        </w:rPr>
        <w:t>(7) Schacker TW, Hughes JP, Shea T, Coombs RW, Corey L. Biological and virologic characteristics of primary HIV infection. Ann Intern Med 1998;128(8):613-20.</w:t>
      </w:r>
    </w:p>
    <w:p w:rsidR="005F535C" w:rsidRPr="00A04044" w:rsidRDefault="005F535C" w:rsidP="005F535C">
      <w:pPr>
        <w:pStyle w:val="NormalWeb"/>
        <w:rPr>
          <w:rFonts w:ascii="Arial" w:hAnsi="Arial" w:cs="Arial"/>
        </w:rPr>
      </w:pPr>
      <w:r w:rsidRPr="00A04044">
        <w:rPr>
          <w:rFonts w:ascii="Arial" w:hAnsi="Arial" w:cs="Arial"/>
        </w:rPr>
        <w:t>(8) Schacker TW, Collier AC, Hughes JP, Shea T, Corey L. Clinical and epidemiologic features of primary HIV infection. Ann Intern Med 1996;125(4):257-264 (erratum: Ann Intern Med 1997;126:174).</w:t>
      </w:r>
    </w:p>
    <w:p w:rsidR="005F535C" w:rsidRPr="00A04044" w:rsidRDefault="005F535C" w:rsidP="005F535C">
      <w:pPr>
        <w:pStyle w:val="NormalWeb"/>
        <w:rPr>
          <w:rFonts w:ascii="Arial" w:hAnsi="Arial" w:cs="Arial"/>
        </w:rPr>
      </w:pPr>
      <w:r w:rsidRPr="00A04044">
        <w:rPr>
          <w:rFonts w:ascii="Arial" w:hAnsi="Arial" w:cs="Arial"/>
        </w:rPr>
        <w:t>(9) Turner BJ, Hecht FM, Ismail RB. CD4+ T-lymphocyte measures in the treatment of individuals infected with human immuno deficiency virus type 1: a review for clinical practitioners. Arch Intern Med 1994;154:1561-73.</w:t>
      </w:r>
    </w:p>
    <w:p w:rsidR="005F535C" w:rsidRPr="00A04044" w:rsidRDefault="005F535C" w:rsidP="005F535C">
      <w:pPr>
        <w:pStyle w:val="NormalWeb"/>
        <w:rPr>
          <w:rFonts w:ascii="Arial" w:hAnsi="Arial" w:cs="Arial"/>
        </w:rPr>
      </w:pPr>
      <w:r w:rsidRPr="00A04044">
        <w:rPr>
          <w:rFonts w:ascii="Arial" w:hAnsi="Arial" w:cs="Arial"/>
        </w:rPr>
        <w:t>(10) Herbeck JT, Gottlieb GS, Li X, Hu Z, Detels R, Phair J, et al. Lack of evidence for changing virulence of HIV-1 in North America. PLOS One 2008;2(1-8).</w:t>
      </w:r>
    </w:p>
    <w:p w:rsidR="005F535C" w:rsidRPr="00A04044" w:rsidRDefault="005F535C" w:rsidP="005F535C">
      <w:pPr>
        <w:pStyle w:val="NormalWeb"/>
        <w:rPr>
          <w:rFonts w:ascii="Arial" w:hAnsi="Arial" w:cs="Arial"/>
        </w:rPr>
      </w:pPr>
      <w:r w:rsidRPr="00A04044">
        <w:rPr>
          <w:rFonts w:ascii="Arial" w:hAnsi="Arial" w:cs="Arial"/>
        </w:rPr>
        <w:t>(11) Rodriguez B, Sethi AK, Cheruvu VK, Mackay W, Bosch RJ, Kitahata M, et al. Predictive value of plasma HIV RNA level on rate of CD4 T-cell decline in untreated HIV infection. Jama-J Am Med Assoc 2006 Sep 27;296(12):1498-1506.</w:t>
      </w:r>
    </w:p>
    <w:p w:rsidR="005F535C" w:rsidRPr="00A04044" w:rsidRDefault="005F535C" w:rsidP="005F535C">
      <w:pPr>
        <w:pStyle w:val="NormalWeb"/>
        <w:rPr>
          <w:rFonts w:ascii="Arial" w:hAnsi="Arial" w:cs="Arial"/>
        </w:rPr>
      </w:pPr>
      <w:r w:rsidRPr="00A04044">
        <w:rPr>
          <w:rFonts w:ascii="Arial" w:hAnsi="Arial" w:cs="Arial"/>
        </w:rPr>
        <w:lastRenderedPageBreak/>
        <w:t>(12) Paltiel AD, Weinstein MC, Kimmel AD, Seage III GR, Losina E, Zhang H, et al. Expanded screening for HIV in the United States — An analysis of cost-effectiveness. New England Journal of Medicine 2005;352:586-95.</w:t>
      </w:r>
    </w:p>
    <w:p w:rsidR="005F535C" w:rsidRPr="00A04044" w:rsidRDefault="005F535C" w:rsidP="005F535C">
      <w:pPr>
        <w:pStyle w:val="NormalWeb"/>
        <w:rPr>
          <w:rFonts w:ascii="Arial" w:hAnsi="Arial" w:cs="Arial"/>
        </w:rPr>
      </w:pPr>
      <w:r w:rsidRPr="00A04044">
        <w:rPr>
          <w:rFonts w:ascii="Arial" w:hAnsi="Arial" w:cs="Arial"/>
        </w:rPr>
        <w:t>(13) Weinstein MC, Goldie SJ, Losina E, Cohen CJ, Baxter JD, Zhang H, et al. Use of genotypic resistance testing to guide HIV therapy: Clinical impact and cost-effectiveness. Ann Intern Med 2001 Mar 20;134(6):440-450.</w:t>
      </w:r>
    </w:p>
    <w:p w:rsidR="005F535C" w:rsidRPr="00A04044" w:rsidRDefault="005F535C" w:rsidP="005F535C">
      <w:pPr>
        <w:pStyle w:val="NormalWeb"/>
        <w:rPr>
          <w:rFonts w:ascii="Arial" w:hAnsi="Arial" w:cs="Arial"/>
        </w:rPr>
      </w:pPr>
      <w:r w:rsidRPr="00A04044">
        <w:rPr>
          <w:rFonts w:ascii="Arial" w:hAnsi="Arial" w:cs="Arial"/>
        </w:rPr>
        <w:t>(14) The United Kingdom Collaborative HIV Cohort (CHIC) Study. Rate of AIDS diseases or death in HIV-infected antiretroviral therapy-naive individuals with high CD4 cell count. AIDS 2007;21:1717-1721; 1943.</w:t>
      </w:r>
    </w:p>
    <w:p w:rsidR="005F535C" w:rsidRPr="00A04044" w:rsidRDefault="005F535C" w:rsidP="005F535C">
      <w:pPr>
        <w:pStyle w:val="NormalWeb"/>
        <w:rPr>
          <w:rFonts w:ascii="Arial" w:hAnsi="Arial" w:cs="Arial"/>
        </w:rPr>
      </w:pPr>
      <w:r w:rsidRPr="00A04044">
        <w:rPr>
          <w:rFonts w:ascii="Arial" w:hAnsi="Arial" w:cs="Arial"/>
        </w:rPr>
        <w:t>(15) Arias E. United States Life Tables, 2004. National Vital Statistics Report 2007;56(9):1-40.</w:t>
      </w:r>
    </w:p>
    <w:p w:rsidR="005F535C" w:rsidRPr="00A04044" w:rsidRDefault="005F535C" w:rsidP="005F535C">
      <w:pPr>
        <w:pStyle w:val="NormalWeb"/>
        <w:rPr>
          <w:rFonts w:ascii="Arial" w:hAnsi="Arial" w:cs="Arial"/>
        </w:rPr>
      </w:pPr>
      <w:r w:rsidRPr="00A04044">
        <w:rPr>
          <w:rFonts w:ascii="Arial" w:hAnsi="Arial" w:cs="Arial"/>
        </w:rPr>
        <w:t>(16) Antiretroviral Therapy Cohort Collaboration. Importance of baseline prognostic factors with increasing time since initiation of highly active antiretroviral therapy: collaborative analysis of cohorts of HIV-1-infected patients. Journal of Acquired Immune Deficiency Syndromes 2007;46(5):607-15.</w:t>
      </w:r>
    </w:p>
    <w:p w:rsidR="005F535C" w:rsidRPr="00A04044" w:rsidRDefault="005F535C" w:rsidP="005F535C">
      <w:pPr>
        <w:pStyle w:val="NormalWeb"/>
        <w:rPr>
          <w:rFonts w:ascii="Arial" w:hAnsi="Arial" w:cs="Arial"/>
        </w:rPr>
      </w:pPr>
      <w:r w:rsidRPr="00A04044">
        <w:rPr>
          <w:rFonts w:ascii="Arial" w:hAnsi="Arial" w:cs="Arial"/>
        </w:rPr>
        <w:t>(17) Antiretroviral Therapy Cohort Collaboration. Prognosis of HIV-1-infected patients up to 5 years after initiation of HAART: collaborative analysis of prospective studies. AIDS 2007;21(9):1185-1197.</w:t>
      </w:r>
    </w:p>
    <w:p w:rsidR="005F535C" w:rsidRPr="00A04044" w:rsidRDefault="005F535C" w:rsidP="005F535C">
      <w:pPr>
        <w:pStyle w:val="NormalWeb"/>
        <w:rPr>
          <w:rFonts w:ascii="Arial" w:hAnsi="Arial" w:cs="Arial"/>
        </w:rPr>
      </w:pPr>
      <w:r w:rsidRPr="00A04044">
        <w:rPr>
          <w:rFonts w:ascii="Arial" w:hAnsi="Arial" w:cs="Arial"/>
        </w:rPr>
        <w:t>(18) Raboud JM, Montaner JSG, Conway B, Rae S, Reiss P, Vella S, et al. Suppression of plasma viral load below 20 copies/ml is required to achieve a long-term response to therapy. AIDS 1998;12(13):1619-1624.</w:t>
      </w:r>
    </w:p>
    <w:p w:rsidR="005F535C" w:rsidRPr="00A04044" w:rsidRDefault="005F535C" w:rsidP="005F535C">
      <w:pPr>
        <w:pStyle w:val="NormalWeb"/>
        <w:rPr>
          <w:rFonts w:ascii="Arial" w:hAnsi="Arial" w:cs="Arial"/>
        </w:rPr>
      </w:pPr>
      <w:r w:rsidRPr="00A04044">
        <w:rPr>
          <w:rFonts w:ascii="Arial" w:hAnsi="Arial" w:cs="Arial"/>
        </w:rPr>
        <w:t>(19) The United Kingdom Collaborative HIV Cohort (CHIC) Study. Treatment switches after viral rebound in HIV-infected adults starting antiretroviral therapy: multicentre cohort study. AIDS 2008;22:1943-1950; 1943.</w:t>
      </w:r>
    </w:p>
    <w:p w:rsidR="005F535C" w:rsidRPr="00A04044" w:rsidRDefault="005F535C" w:rsidP="005F535C">
      <w:pPr>
        <w:pStyle w:val="NormalWeb"/>
        <w:rPr>
          <w:rFonts w:ascii="Arial" w:hAnsi="Arial" w:cs="Arial"/>
        </w:rPr>
      </w:pPr>
      <w:r w:rsidRPr="00A04044">
        <w:rPr>
          <w:rFonts w:ascii="Arial" w:hAnsi="Arial" w:cs="Arial"/>
        </w:rPr>
        <w:t>(20) Lennox JL, Dejesus E, Berger DS, Lazzarin A, Pollard RB, Ramalho Madruga JV, et al. Raltegravir versus Efavirenz regimens in treatment-naive HIV-1-infected patients: 96-week efficacy, durability, subgroup, safety, and metabolic analyses. J Acquir Immune Defic Syndr 2010 Sep 1;55(1):39-48.</w:t>
      </w:r>
    </w:p>
    <w:p w:rsidR="005F535C" w:rsidRPr="00A04044" w:rsidRDefault="005F535C" w:rsidP="005F535C">
      <w:pPr>
        <w:pStyle w:val="NormalWeb"/>
        <w:rPr>
          <w:rFonts w:ascii="Arial" w:hAnsi="Arial" w:cs="Arial"/>
        </w:rPr>
      </w:pPr>
      <w:r w:rsidRPr="00A04044">
        <w:rPr>
          <w:rFonts w:ascii="Arial" w:hAnsi="Arial" w:cs="Arial"/>
        </w:rPr>
        <w:t>(21) Lennox JL, DeJesus E, Lazzarin A, Pollard RB, Madruga JV, Berger DS, et al. Safety and efficacy of raltegravir-based versus efavirenz-based combination therapy in treatment-naive patients with HIV-1 infection: a multicentre, double-blind randomised controlled trial. Lancet 2009 Sep 5;374(9692):796-806.</w:t>
      </w:r>
    </w:p>
    <w:p w:rsidR="005F535C" w:rsidRPr="00A04044" w:rsidRDefault="005F535C" w:rsidP="005F535C">
      <w:pPr>
        <w:pStyle w:val="NormalWeb"/>
        <w:rPr>
          <w:rFonts w:ascii="Arial" w:hAnsi="Arial" w:cs="Arial"/>
        </w:rPr>
      </w:pPr>
      <w:r w:rsidRPr="00A04044">
        <w:rPr>
          <w:rFonts w:ascii="Arial" w:hAnsi="Arial" w:cs="Arial"/>
        </w:rPr>
        <w:t>(22) Molina JM, Andrade-Villanueva J, Echevarria J, Chetchotisakd P, Corral J, David N, et al. Once-daily Atazanavir/Ritonavir compared with twice-daily Lopinavir/Ritonavir, each in combination with Tenofovir and Emtricitabine, for management of antiretroviral-</w:t>
      </w:r>
      <w:r w:rsidRPr="00A04044">
        <w:rPr>
          <w:rFonts w:ascii="Arial" w:hAnsi="Arial" w:cs="Arial"/>
        </w:rPr>
        <w:lastRenderedPageBreak/>
        <w:t>naive HIV-1-infected patients: 96-Week efficacy and safety results of the CASTLE study. Jaids-J Acq Imm Def 2010 Mar 1;53(3):323-332.</w:t>
      </w:r>
    </w:p>
    <w:p w:rsidR="005F535C" w:rsidRPr="00A04044" w:rsidRDefault="005F535C" w:rsidP="005F535C">
      <w:pPr>
        <w:pStyle w:val="NormalWeb"/>
        <w:rPr>
          <w:rFonts w:ascii="Arial" w:hAnsi="Arial" w:cs="Arial"/>
        </w:rPr>
      </w:pPr>
      <w:r w:rsidRPr="00A04044">
        <w:rPr>
          <w:rFonts w:ascii="Arial" w:hAnsi="Arial" w:cs="Arial"/>
        </w:rPr>
        <w:t>(23) Molina JM, Andrade-Villanueva J, Echevarria J, Chetchotisakd P, Corral J, David N, et al. Once-daily atazanavir/ritonavir versus twice-daily lopinavir/ritonavir, each in combination with tenofovir and erntricitabine, for management of antiretroviral-naive HIV-1-infected patients: 48 week efficacy and safety results of the CASTLE study. Lancet 2008 Aug 23;372(9639):646-655.</w:t>
      </w:r>
    </w:p>
    <w:p w:rsidR="005F535C" w:rsidRPr="00A04044" w:rsidRDefault="005F535C" w:rsidP="005F535C">
      <w:pPr>
        <w:pStyle w:val="NormalWeb"/>
        <w:rPr>
          <w:rFonts w:ascii="Arial" w:hAnsi="Arial" w:cs="Arial"/>
        </w:rPr>
      </w:pPr>
      <w:r w:rsidRPr="00A04044">
        <w:rPr>
          <w:rFonts w:ascii="Arial" w:hAnsi="Arial" w:cs="Arial"/>
        </w:rPr>
        <w:t>(24) Mills AM, Nelson M, Jayaweera D, Ruxrungtham K, Cassetti I, Girard PM, et al. Once-daily darunavir/ritonavir vs. lopinavir/ritonavir in treatment-naive, HIV-1-infected patients: 96-week analysis. Aids 2009 Aug 24;23(13):1679-1688.</w:t>
      </w:r>
    </w:p>
    <w:p w:rsidR="005F535C" w:rsidRPr="00A04044" w:rsidRDefault="005F535C" w:rsidP="005F535C">
      <w:pPr>
        <w:pStyle w:val="NormalWeb"/>
        <w:rPr>
          <w:rFonts w:ascii="Arial" w:hAnsi="Arial" w:cs="Arial"/>
        </w:rPr>
      </w:pPr>
      <w:r w:rsidRPr="00A04044">
        <w:rPr>
          <w:rFonts w:ascii="Arial" w:hAnsi="Arial" w:cs="Arial"/>
        </w:rPr>
        <w:t>(25) Hogg R, Lima V, Sterne JAC, Grabar S, Battegay M. Life expectancy of individuals on combination antiretroviral therapy in high-income countries: a collaborative analysis of 14 cohort studies. Lancet 2008 Jul 26;372(9635):293-9.</w:t>
      </w:r>
    </w:p>
    <w:p w:rsidR="005F535C" w:rsidRPr="00A04044" w:rsidRDefault="005F535C" w:rsidP="005F535C">
      <w:pPr>
        <w:pStyle w:val="NormalWeb"/>
        <w:rPr>
          <w:rFonts w:ascii="Arial" w:hAnsi="Arial" w:cs="Arial"/>
        </w:rPr>
      </w:pPr>
      <w:r w:rsidRPr="00A04044">
        <w:rPr>
          <w:rFonts w:ascii="Arial" w:hAnsi="Arial" w:cs="Arial"/>
        </w:rPr>
        <w:t>(26) Sterne JA, May M, Costagliola D, de Wolf F, Phillips AN, Harris R, et al. Timing of initiation of antiretroviral therapy in AIDS-free HIV-1-infected patients: a collaborative analysis of 18 HIV cohort studies. Lancet 2009 Apr 18;373(9672):1352-63.</w:t>
      </w:r>
    </w:p>
    <w:p w:rsidR="005F535C" w:rsidRPr="00A04044" w:rsidRDefault="005F535C" w:rsidP="005F535C">
      <w:pPr>
        <w:pStyle w:val="NormalWeb"/>
        <w:rPr>
          <w:rFonts w:ascii="Arial" w:hAnsi="Arial" w:cs="Arial"/>
        </w:rPr>
      </w:pPr>
      <w:r w:rsidRPr="00A04044">
        <w:rPr>
          <w:rFonts w:ascii="Arial" w:hAnsi="Arial" w:cs="Arial"/>
        </w:rPr>
        <w:t xml:space="preserve">(27) Panel on Antiretroviral Guidelines for Adults and Adolescents. Guidelines for the use of antiretroviral agents in HIV-1-infected adults and adolescents. Department of Health and Human Services. 1–239. 2012. Available at </w:t>
      </w:r>
      <w:hyperlink r:id="rId126" w:tgtFrame="_blank" w:history="1">
        <w:r w:rsidRPr="00A04044">
          <w:rPr>
            <w:rStyle w:val="Hyperlink"/>
            <w:rFonts w:ascii="Arial" w:hAnsi="Arial" w:cs="Arial"/>
          </w:rPr>
          <w:t>http://www.aidsinfo.nih.gov/ContentFiles/AdultandAdolescentGL.pdf</w:t>
        </w:r>
      </w:hyperlink>
      <w:r w:rsidRPr="00A04044">
        <w:rPr>
          <w:rFonts w:ascii="Arial" w:hAnsi="Arial" w:cs="Arial"/>
        </w:rPr>
        <w:t xml:space="preserve">. </w:t>
      </w:r>
    </w:p>
    <w:p w:rsidR="005F535C" w:rsidRPr="00A04044" w:rsidRDefault="005F535C" w:rsidP="005F535C">
      <w:pPr>
        <w:pStyle w:val="NormalWeb"/>
        <w:rPr>
          <w:rFonts w:ascii="Arial" w:hAnsi="Arial" w:cs="Arial"/>
        </w:rPr>
      </w:pPr>
      <w:r w:rsidRPr="00A04044">
        <w:rPr>
          <w:rFonts w:ascii="Arial" w:hAnsi="Arial" w:cs="Arial"/>
        </w:rPr>
        <w:t>(28) Smith CJ, Phillips AN, Dauer B, Johnson MA, Lampe FC, Youle MS, et al. Factors associated with viral rebound among highly treatment-experienced HIV-positive patients who have achieved viral suppression. Hiv Med 2009 Jan;10(1):19-27.</w:t>
      </w:r>
    </w:p>
    <w:p w:rsidR="005F535C" w:rsidRPr="00A04044" w:rsidRDefault="005F535C" w:rsidP="005F535C">
      <w:pPr>
        <w:pStyle w:val="NormalWeb"/>
        <w:rPr>
          <w:rFonts w:ascii="Arial" w:hAnsi="Arial" w:cs="Arial"/>
        </w:rPr>
      </w:pPr>
      <w:r w:rsidRPr="00A04044">
        <w:rPr>
          <w:rFonts w:ascii="Arial" w:hAnsi="Arial" w:cs="Arial"/>
        </w:rPr>
        <w:t>(29) Gras L, Kesselring AM, Griffin JT, van Sighem AI, Fraser C, Ghani AC, et al. CD4 cell counts of 800 cells/mm3 or greater after 7 years of highly active antiretroviral therapy are feasible in most patients starting with 350 cells/mm3 or greater. J Acquir Immune Defic Syndr 2007 Jun 1;45(2):183-92.</w:t>
      </w:r>
    </w:p>
    <w:p w:rsidR="005F535C" w:rsidRPr="00A04044" w:rsidRDefault="005F535C" w:rsidP="005F535C">
      <w:pPr>
        <w:pStyle w:val="NormalWeb"/>
        <w:rPr>
          <w:rFonts w:ascii="Arial" w:hAnsi="Arial" w:cs="Arial"/>
        </w:rPr>
      </w:pPr>
      <w:r w:rsidRPr="00A04044">
        <w:rPr>
          <w:rFonts w:ascii="Arial" w:hAnsi="Arial" w:cs="Arial"/>
        </w:rPr>
        <w:t>(30) Chandra A, Mosher WD, Copen C, Sionean C. Sexual behavior, sexual attraction, and sexual identity in the United States: data from the 2006-2008 National Survey of Family Growth. Natl Health Stat Report 2011 Mar 3(36):1-36.</w:t>
      </w:r>
    </w:p>
    <w:p w:rsidR="005F535C" w:rsidRPr="00A04044" w:rsidRDefault="005F535C" w:rsidP="005F535C">
      <w:pPr>
        <w:pStyle w:val="NormalWeb"/>
        <w:rPr>
          <w:rFonts w:ascii="Arial" w:hAnsi="Arial" w:cs="Arial"/>
        </w:rPr>
      </w:pPr>
      <w:r w:rsidRPr="00A04044">
        <w:rPr>
          <w:rFonts w:ascii="Arial" w:hAnsi="Arial" w:cs="Arial"/>
        </w:rPr>
        <w:t>(31) Herbenick D, Reece M, Schick V, Sanders SA, Dodge B, Fortenberry JD. Sexual behavior in the United States: results from a national probability sample of men and women ages 14-94. J Sex Med 2010 Oct;7 Suppl 5:255-265.</w:t>
      </w:r>
    </w:p>
    <w:p w:rsidR="005F535C" w:rsidRPr="00A04044" w:rsidRDefault="005F535C" w:rsidP="005F535C">
      <w:pPr>
        <w:pStyle w:val="NormalWeb"/>
        <w:rPr>
          <w:rFonts w:ascii="Arial" w:hAnsi="Arial" w:cs="Arial"/>
        </w:rPr>
      </w:pPr>
      <w:r w:rsidRPr="00A04044">
        <w:rPr>
          <w:rFonts w:ascii="Arial" w:hAnsi="Arial" w:cs="Arial"/>
        </w:rPr>
        <w:t>(32) Reece M, Herbenick D, Schick V, Sanders SA, Dodge B, Fortenberry JD. Background and considerations on the National Survey of Sexual Health and Behavior (NSSHB) from the investigators. J Sex Med 2010 Oct;7 Suppl 5:243-5.</w:t>
      </w:r>
    </w:p>
    <w:p w:rsidR="005F535C" w:rsidRPr="00A04044" w:rsidRDefault="005F535C" w:rsidP="005F535C">
      <w:pPr>
        <w:pStyle w:val="NormalWeb"/>
        <w:rPr>
          <w:rFonts w:ascii="Arial" w:hAnsi="Arial" w:cs="Arial"/>
        </w:rPr>
      </w:pPr>
      <w:r w:rsidRPr="00A04044">
        <w:rPr>
          <w:rFonts w:ascii="Arial" w:hAnsi="Arial" w:cs="Arial"/>
        </w:rPr>
        <w:lastRenderedPageBreak/>
        <w:t>(33) Reece M, Herbenick D, Schick V, Sanders SA, Dodge B, Fortenberry JD. Sexual behaviors, relationships, and perceived health among adult men in the United States: Results from a national probability sample. J Sex Med 2010 Oct;7:291-304.</w:t>
      </w:r>
    </w:p>
    <w:p w:rsidR="005F535C" w:rsidRPr="00A04044" w:rsidRDefault="005F535C" w:rsidP="005F535C">
      <w:pPr>
        <w:pStyle w:val="NormalWeb"/>
        <w:rPr>
          <w:rFonts w:ascii="Arial" w:hAnsi="Arial" w:cs="Arial"/>
        </w:rPr>
      </w:pPr>
      <w:r w:rsidRPr="00A04044">
        <w:rPr>
          <w:rFonts w:ascii="Arial" w:hAnsi="Arial" w:cs="Arial"/>
        </w:rPr>
        <w:t>(34) Herbenick D, Reece M, Schick V, Sanders SA, Dodge B, Fortenberry JD. Sexual behaviors, relationships, and perceived health status among adult women in the United States: Results from a national probability sample. J Sex Med 2010 Oct;7:277-290.</w:t>
      </w:r>
    </w:p>
    <w:p w:rsidR="005F535C" w:rsidRPr="00A04044" w:rsidRDefault="005F535C" w:rsidP="005F535C">
      <w:pPr>
        <w:pStyle w:val="NormalWeb"/>
        <w:rPr>
          <w:rFonts w:ascii="Arial" w:hAnsi="Arial" w:cs="Arial"/>
        </w:rPr>
      </w:pPr>
      <w:r w:rsidRPr="00A04044">
        <w:rPr>
          <w:rFonts w:ascii="Arial" w:hAnsi="Arial" w:cs="Arial"/>
        </w:rPr>
        <w:t>(35) Rosenberg ES, Sullivan PS, Dinenno EA, Salazar LF, Sanchez TH. Number of casual male sexual partners and associated factors among men who have sex with men: results from the National HIV Behavioral Surveillance system. BMC public health 2011;11:189.</w:t>
      </w:r>
    </w:p>
    <w:p w:rsidR="005F535C" w:rsidRPr="00A04044" w:rsidRDefault="005F535C" w:rsidP="005F535C">
      <w:pPr>
        <w:pStyle w:val="NormalWeb"/>
        <w:rPr>
          <w:rFonts w:ascii="Arial" w:hAnsi="Arial" w:cs="Arial"/>
        </w:rPr>
      </w:pPr>
      <w:r w:rsidRPr="00A04044">
        <w:rPr>
          <w:rFonts w:ascii="Arial" w:hAnsi="Arial" w:cs="Arial"/>
        </w:rPr>
        <w:t>(36) Oster AM, Wiegand RE, Sionean C, Miles IJ, Thomas PE, Melendez-Morales L, et al. Understanding disparities in HIV infection between black and white MSM in the United States. AIDS 2011 May 15;25(8):1103-12.</w:t>
      </w:r>
    </w:p>
    <w:p w:rsidR="005F535C" w:rsidRPr="00A04044" w:rsidRDefault="005F535C" w:rsidP="005F535C">
      <w:pPr>
        <w:pStyle w:val="NormalWeb"/>
        <w:rPr>
          <w:rFonts w:ascii="Arial" w:hAnsi="Arial" w:cs="Arial"/>
        </w:rPr>
      </w:pPr>
      <w:r w:rsidRPr="00A04044">
        <w:rPr>
          <w:rFonts w:ascii="Arial" w:hAnsi="Arial" w:cs="Arial"/>
        </w:rPr>
        <w:t>(37) Marks G, Millett G, Bingham T, Lauby J, Murrill C, Stueve A. Prevalence and protective value of serosorting and strategic positioning among Black and Latino men who have sex with men. Sexually Transmitted Diseases 2010;37(5):325-7.</w:t>
      </w:r>
    </w:p>
    <w:p w:rsidR="005F535C" w:rsidRPr="00A04044" w:rsidRDefault="005F535C" w:rsidP="005F535C">
      <w:pPr>
        <w:pStyle w:val="NormalWeb"/>
        <w:rPr>
          <w:rFonts w:ascii="Arial" w:hAnsi="Arial" w:cs="Arial"/>
        </w:rPr>
      </w:pPr>
      <w:r w:rsidRPr="00A04044">
        <w:rPr>
          <w:rFonts w:ascii="Arial" w:hAnsi="Arial" w:cs="Arial"/>
        </w:rPr>
        <w:t>(38) McFarland W, Chen YH, Nguyen B, Grasso M, Levine D, Stall R, et al. Behavior, intention or chance? A longitudinal study of HIV seroadaptive behaviors, abstinence and condom use. AIDS Behav 2012 Jan;16(1):121-31.</w:t>
      </w:r>
    </w:p>
    <w:p w:rsidR="005F535C" w:rsidRPr="00A04044" w:rsidRDefault="005F535C" w:rsidP="005F535C">
      <w:pPr>
        <w:pStyle w:val="NormalWeb"/>
        <w:rPr>
          <w:rFonts w:ascii="Arial" w:hAnsi="Arial" w:cs="Arial"/>
        </w:rPr>
      </w:pPr>
      <w:r w:rsidRPr="00A04044">
        <w:rPr>
          <w:rFonts w:ascii="Arial" w:hAnsi="Arial" w:cs="Arial"/>
        </w:rPr>
        <w:t>(39) McFarland W, Chen YH, Raymond HF, Binh N, Colfax G, Mehrtens J, et al. HIV seroadaptation among individuals, within sexual dyads, and by sexual episodes, men who have sex with men, San Francisco, 2008. Aids Care 2011;23(3):261-268.</w:t>
      </w:r>
    </w:p>
    <w:p w:rsidR="005F535C" w:rsidRPr="00A04044" w:rsidRDefault="005F535C" w:rsidP="005F535C">
      <w:pPr>
        <w:pStyle w:val="NormalWeb"/>
        <w:rPr>
          <w:rFonts w:ascii="Arial" w:hAnsi="Arial" w:cs="Arial"/>
        </w:rPr>
      </w:pPr>
      <w:r w:rsidRPr="00A04044">
        <w:rPr>
          <w:rFonts w:ascii="Arial" w:hAnsi="Arial" w:cs="Arial"/>
        </w:rPr>
        <w:t>(40) Pinkerton SD,Abramson P.R. The Bernoulli-process model of HIV transmission. In: Holtgrave D, editor. Handbook of Economic Evaluation of HIV Prevention Programs: Springer; 1998.</w:t>
      </w:r>
    </w:p>
    <w:p w:rsidR="005F535C" w:rsidRPr="00A04044" w:rsidRDefault="005F535C" w:rsidP="005F535C">
      <w:pPr>
        <w:pStyle w:val="NormalWeb"/>
        <w:rPr>
          <w:rFonts w:ascii="Arial" w:hAnsi="Arial" w:cs="Arial"/>
        </w:rPr>
      </w:pPr>
      <w:r w:rsidRPr="00A04044">
        <w:rPr>
          <w:rFonts w:ascii="Arial" w:hAnsi="Arial" w:cs="Arial"/>
        </w:rPr>
        <w:t>(41) Pinkerton SD, Holtgrave DR. A method for evaluating the economic efficiency of HIV behavioral risk reduction interventions. AIDS and Behavior 1998;2(3):189-201.</w:t>
      </w:r>
    </w:p>
    <w:p w:rsidR="005F535C" w:rsidRPr="00A04044" w:rsidRDefault="005F535C" w:rsidP="005F535C">
      <w:pPr>
        <w:pStyle w:val="NormalWeb"/>
        <w:rPr>
          <w:rFonts w:ascii="Arial" w:hAnsi="Arial" w:cs="Arial"/>
        </w:rPr>
      </w:pPr>
      <w:r w:rsidRPr="00A04044">
        <w:rPr>
          <w:rFonts w:ascii="Arial" w:hAnsi="Arial" w:cs="Arial"/>
        </w:rPr>
        <w:t>(42) Pinkerton SD, Holtgrave DR, Leviton LC, Wagstaff DA, Abramsom PR. Model-based evaluation of HIV prevention interventions. Eval Rev 1998 Apr;22(2):155-74.</w:t>
      </w:r>
    </w:p>
    <w:p w:rsidR="005F535C" w:rsidRPr="00A04044" w:rsidRDefault="005F535C" w:rsidP="005F535C">
      <w:pPr>
        <w:pStyle w:val="NormalWeb"/>
        <w:rPr>
          <w:rFonts w:ascii="Arial" w:hAnsi="Arial" w:cs="Arial"/>
        </w:rPr>
      </w:pPr>
      <w:r w:rsidRPr="00A04044">
        <w:rPr>
          <w:rFonts w:ascii="Arial" w:hAnsi="Arial" w:cs="Arial"/>
        </w:rPr>
        <w:t>(43) Pilcher C, Tien H, Joseph J. E,Jr, Vernazza P, Leu S, Stewart P, et al. Brief but efficient: acute HIV infection and the sexual transmission of HIV. The Journal of Infectious Diseases 2004;189(10):1785-1792.</w:t>
      </w:r>
    </w:p>
    <w:p w:rsidR="005F535C" w:rsidRPr="00A04044" w:rsidRDefault="005F535C" w:rsidP="005F535C">
      <w:pPr>
        <w:pStyle w:val="NormalWeb"/>
        <w:rPr>
          <w:rFonts w:ascii="Arial" w:hAnsi="Arial" w:cs="Arial"/>
        </w:rPr>
      </w:pPr>
      <w:r w:rsidRPr="00A04044">
        <w:rPr>
          <w:rFonts w:ascii="Arial" w:hAnsi="Arial" w:cs="Arial"/>
        </w:rPr>
        <w:t>(44) Pilcher CD, Joaki G, Hoffman IF, Martinson FE, Mapanje C, Stewart PW, et al. Amplified transmission of HIV-1: comparison of HIV-1 concentrations in semen and blood during acute and chronic infection. AIDS 2007 Aug 20;21(13):1723-30.</w:t>
      </w:r>
    </w:p>
    <w:p w:rsidR="005F535C" w:rsidRPr="00A04044" w:rsidRDefault="005F535C" w:rsidP="005F535C">
      <w:pPr>
        <w:pStyle w:val="NormalWeb"/>
        <w:rPr>
          <w:rFonts w:ascii="Arial" w:hAnsi="Arial" w:cs="Arial"/>
        </w:rPr>
      </w:pPr>
      <w:r w:rsidRPr="00A04044">
        <w:rPr>
          <w:rFonts w:ascii="Arial" w:hAnsi="Arial" w:cs="Arial"/>
        </w:rPr>
        <w:lastRenderedPageBreak/>
        <w:t>(45) Hollingsworth TD, Anderson RM, Fraser C. HIV-1 transmission, by stage of infection. J Infect Dis 2008 Sep 1;198(5):687-93.</w:t>
      </w:r>
    </w:p>
    <w:p w:rsidR="005F535C" w:rsidRPr="00A04044" w:rsidRDefault="005F535C" w:rsidP="005F535C">
      <w:pPr>
        <w:pStyle w:val="NormalWeb"/>
        <w:rPr>
          <w:rFonts w:ascii="Arial" w:hAnsi="Arial" w:cs="Arial"/>
        </w:rPr>
      </w:pPr>
      <w:r w:rsidRPr="00A04044">
        <w:rPr>
          <w:rFonts w:ascii="Arial" w:hAnsi="Arial" w:cs="Arial"/>
        </w:rPr>
        <w:t>(46) Hughes JP, Baeten JM, Lingappa JR, Magaret AS, Wald A, de Bruyn G, et al. Determinants of per-coital-act HIV-1 infectivity among African HIV-1-serodiscordant couples. J Infect Dis 2012 Feb;205(3):358-365.</w:t>
      </w:r>
    </w:p>
    <w:p w:rsidR="005F535C" w:rsidRPr="00A04044" w:rsidRDefault="005F535C" w:rsidP="005F535C">
      <w:pPr>
        <w:pStyle w:val="NormalWeb"/>
        <w:rPr>
          <w:rFonts w:ascii="Arial" w:hAnsi="Arial" w:cs="Arial"/>
        </w:rPr>
      </w:pPr>
      <w:r w:rsidRPr="00A04044">
        <w:rPr>
          <w:rFonts w:ascii="Arial" w:hAnsi="Arial" w:cs="Arial"/>
        </w:rPr>
        <w:t>(47) HIV prevalence estimates--United States, 2006. MMWR Morb Mortal Wkly Rep 2008 Oct 3;57(39):1073-6.</w:t>
      </w:r>
    </w:p>
    <w:p w:rsidR="005F535C" w:rsidRPr="00A04044" w:rsidRDefault="005F535C" w:rsidP="005F535C">
      <w:pPr>
        <w:pStyle w:val="NormalWeb"/>
        <w:rPr>
          <w:rFonts w:ascii="Arial" w:hAnsi="Arial" w:cs="Arial"/>
        </w:rPr>
      </w:pPr>
      <w:r w:rsidRPr="00A04044">
        <w:rPr>
          <w:rFonts w:ascii="Arial" w:hAnsi="Arial" w:cs="Arial"/>
        </w:rPr>
        <w:t>(48) Centers for Disease Control and Prevention, HIV Surveillance Report, 2008. ;20.</w:t>
      </w:r>
    </w:p>
    <w:p w:rsidR="005F535C" w:rsidRPr="00A04044" w:rsidRDefault="005F535C" w:rsidP="005F535C">
      <w:pPr>
        <w:pStyle w:val="NormalWeb"/>
        <w:rPr>
          <w:rFonts w:ascii="Arial" w:hAnsi="Arial" w:cs="Arial"/>
        </w:rPr>
      </w:pPr>
      <w:r w:rsidRPr="00A04044">
        <w:rPr>
          <w:rFonts w:ascii="Arial" w:hAnsi="Arial" w:cs="Arial"/>
        </w:rPr>
        <w:t>(49) Centers for Disease C, Prevention. HIV surveillance--United States, 1981-2008. MMWR 2011 Jun 3;60(21):689-93.</w:t>
      </w:r>
    </w:p>
    <w:p w:rsidR="005F535C" w:rsidRPr="00A04044" w:rsidRDefault="005F535C" w:rsidP="005F535C">
      <w:pPr>
        <w:pStyle w:val="NormalWeb"/>
        <w:rPr>
          <w:rFonts w:ascii="Arial" w:hAnsi="Arial" w:cs="Arial"/>
        </w:rPr>
      </w:pPr>
      <w:r w:rsidRPr="00A04044">
        <w:rPr>
          <w:rFonts w:ascii="Arial" w:hAnsi="Arial" w:cs="Arial"/>
        </w:rPr>
        <w:t>(50) Hall HI, McDavid K, Ling Q, Sloggett A. Determinants of progression to AIDS or death after HIV diagnosis, United States, 1996 to 2001. Ann Epidemiol 2006 Nov;16(11):824-33.</w:t>
      </w:r>
    </w:p>
    <w:p w:rsidR="005F535C" w:rsidRPr="00A04044" w:rsidRDefault="005F535C" w:rsidP="005F535C">
      <w:pPr>
        <w:pStyle w:val="NormalWeb"/>
        <w:rPr>
          <w:rFonts w:ascii="Arial" w:hAnsi="Arial" w:cs="Arial"/>
        </w:rPr>
      </w:pPr>
      <w:r w:rsidRPr="00A04044">
        <w:rPr>
          <w:rFonts w:ascii="Arial" w:hAnsi="Arial" w:cs="Arial"/>
        </w:rPr>
        <w:t>(51) Buchacz K, Armon C, Palella FJ, Baker RK, Tedaldi E, Durham MD, et al. CD4 cell counts at HIV diagnosis among HIV Outpatient Study participants, 2000-2009. AIDS Res Treat 2012;2012:869841.</w:t>
      </w:r>
    </w:p>
    <w:p w:rsidR="005F535C" w:rsidRPr="00A04044" w:rsidRDefault="005F535C" w:rsidP="005F535C">
      <w:pPr>
        <w:pStyle w:val="NormalWeb"/>
        <w:rPr>
          <w:rFonts w:ascii="Arial" w:hAnsi="Arial" w:cs="Arial"/>
        </w:rPr>
      </w:pPr>
      <w:r w:rsidRPr="00A04044">
        <w:rPr>
          <w:rFonts w:ascii="Arial" w:hAnsi="Arial" w:cs="Arial"/>
        </w:rPr>
        <w:t>(52) Althoff KN, Gange SJ, Klein MB, Brooks JT, Hogg RS, Bosch RJ, et al. Late presentation for human immunodeficiency virus care in the United States and Canada. Clinical Infectious Diseases 2010 Jun 1;50(11):1512-20.</w:t>
      </w:r>
    </w:p>
    <w:p w:rsidR="005F535C" w:rsidRPr="00A04044" w:rsidRDefault="005F535C" w:rsidP="005F535C">
      <w:pPr>
        <w:pStyle w:val="NormalWeb"/>
        <w:rPr>
          <w:rFonts w:ascii="Arial" w:hAnsi="Arial" w:cs="Arial"/>
        </w:rPr>
      </w:pPr>
      <w:r w:rsidRPr="00A04044">
        <w:rPr>
          <w:rFonts w:ascii="Arial" w:hAnsi="Arial" w:cs="Arial"/>
        </w:rPr>
        <w:t>(53) Vital Signs: HIV prevention through care and treatment - United States. MMWR Morb Mortal Wkly Rep 2011 Dec 2;60:1618-23.</w:t>
      </w:r>
    </w:p>
    <w:p w:rsidR="005F535C" w:rsidRPr="00A04044" w:rsidRDefault="005F535C" w:rsidP="005F535C">
      <w:pPr>
        <w:pStyle w:val="NormalWeb"/>
        <w:rPr>
          <w:rFonts w:ascii="Arial" w:hAnsi="Arial" w:cs="Arial"/>
        </w:rPr>
      </w:pPr>
      <w:r w:rsidRPr="00A04044">
        <w:rPr>
          <w:rFonts w:ascii="Arial" w:hAnsi="Arial" w:cs="Arial"/>
        </w:rPr>
        <w:t>(54) Voetsch AC, Lansky A, Drake AJ, MacKellar D, Bingham TA, Oster AM, et al. Comparison of demographic and behavioral characteristics of men who have sex with men by enrollment venue type in the National HIV Behavioral Surveillance System. Sex Transm Dis 2012 Mar;39(3):229-235.</w:t>
      </w:r>
    </w:p>
    <w:p w:rsidR="005F535C" w:rsidRPr="00A04044" w:rsidRDefault="005F535C" w:rsidP="005F535C">
      <w:pPr>
        <w:pStyle w:val="NormalWeb"/>
        <w:rPr>
          <w:rFonts w:ascii="Arial" w:hAnsi="Arial" w:cs="Arial"/>
        </w:rPr>
      </w:pPr>
      <w:r w:rsidRPr="00A04044">
        <w:rPr>
          <w:rFonts w:ascii="Arial" w:hAnsi="Arial" w:cs="Arial"/>
        </w:rPr>
        <w:t>(55) Finlayson TJ, Le B, Smith A, Bowles K, Cribbin M, Miles I, et al. HIV risk, prevention, and testing behaviors among men who have sex with men--National HIV Behavioral Surveillance System, 21 U.S. cities, United States, 2008. MMWR Surveillance Summaries 2011 Oct 28;60(14):1-34.</w:t>
      </w:r>
    </w:p>
    <w:p w:rsidR="005F535C" w:rsidRPr="00A04044" w:rsidRDefault="005F535C" w:rsidP="005F535C">
      <w:pPr>
        <w:pStyle w:val="NormalWeb"/>
        <w:rPr>
          <w:rFonts w:ascii="Arial" w:hAnsi="Arial" w:cs="Arial"/>
        </w:rPr>
      </w:pPr>
      <w:r w:rsidRPr="00A04044">
        <w:rPr>
          <w:rFonts w:ascii="Arial" w:hAnsi="Arial" w:cs="Arial"/>
        </w:rPr>
        <w:t>(56) Friedman MR, Wei C, Klem ML, Silvestre AJ, Markovic N, Stall R. HIV infection and sexual risk among men who have sex with men and women (MSMW): a systematic review and meta-analysis. PLoS One 2014 Jan 30;9(1):e87139.</w:t>
      </w:r>
    </w:p>
    <w:p w:rsidR="005F535C" w:rsidRPr="00A04044" w:rsidRDefault="005F535C" w:rsidP="005F535C">
      <w:pPr>
        <w:pStyle w:val="NormalWeb"/>
        <w:rPr>
          <w:rFonts w:ascii="Arial" w:hAnsi="Arial" w:cs="Arial"/>
        </w:rPr>
      </w:pPr>
      <w:r w:rsidRPr="00A04044">
        <w:rPr>
          <w:rFonts w:ascii="Arial" w:hAnsi="Arial" w:cs="Arial"/>
        </w:rPr>
        <w:lastRenderedPageBreak/>
        <w:t xml:space="preserve">(57) Centers for Disease Control and Prevention. HIV Surveillance Report, 2010; vol. 22. </w:t>
      </w:r>
      <w:hyperlink r:id="rId127" w:tgtFrame="_blank" w:history="1">
        <w:r w:rsidRPr="00A04044">
          <w:rPr>
            <w:rStyle w:val="Hyperlink"/>
            <w:rFonts w:ascii="Arial" w:hAnsi="Arial" w:cs="Arial"/>
          </w:rPr>
          <w:t>http://www.cdc.gov/hiv/topics/surveillance/resources/reports/</w:t>
        </w:r>
      </w:hyperlink>
      <w:r w:rsidRPr="00A04044">
        <w:rPr>
          <w:rFonts w:ascii="Arial" w:hAnsi="Arial" w:cs="Arial"/>
        </w:rPr>
        <w:t xml:space="preserve">  Published March 2012. Accessed [December 2015]. </w:t>
      </w:r>
    </w:p>
    <w:p w:rsidR="005F535C" w:rsidRPr="00A04044" w:rsidRDefault="005F535C" w:rsidP="005F535C">
      <w:pPr>
        <w:pStyle w:val="NormalWeb"/>
        <w:rPr>
          <w:rFonts w:ascii="Arial" w:hAnsi="Arial" w:cs="Arial"/>
        </w:rPr>
      </w:pPr>
      <w:r w:rsidRPr="00A04044">
        <w:rPr>
          <w:rFonts w:ascii="Arial" w:hAnsi="Arial" w:cs="Arial"/>
        </w:rPr>
        <w:t xml:space="preserve">(58) Centers for Disease Control and Prevention. Monitoring selected national HIV prevention and care  objectives by using HIV surveillance data—United States and 6 dependent areas—2011. HIV  Surveillance Supplemental Report 2013;18(No. 5). </w:t>
      </w:r>
      <w:hyperlink r:id="rId128" w:tgtFrame="_blank" w:history="1">
        <w:r w:rsidRPr="00A04044">
          <w:rPr>
            <w:rStyle w:val="Hyperlink"/>
            <w:rFonts w:ascii="Arial" w:hAnsi="Arial" w:cs="Arial"/>
          </w:rPr>
          <w:t>http://www.cdc.gov/hiv/library/reports/</w:t>
        </w:r>
      </w:hyperlink>
      <w:r w:rsidRPr="00A04044">
        <w:rPr>
          <w:rFonts w:ascii="Arial" w:hAnsi="Arial" w:cs="Arial"/>
        </w:rPr>
        <w:t xml:space="preserve"> surveillance/. Published October 2013. Accessed November 1st,  2014. </w:t>
      </w:r>
    </w:p>
    <w:p w:rsidR="005F535C" w:rsidRPr="00A04044" w:rsidRDefault="005F535C" w:rsidP="005F535C">
      <w:pPr>
        <w:pStyle w:val="NormalWeb"/>
        <w:rPr>
          <w:rFonts w:ascii="Arial" w:hAnsi="Arial" w:cs="Arial"/>
        </w:rPr>
      </w:pPr>
      <w:r w:rsidRPr="00A04044">
        <w:rPr>
          <w:rFonts w:ascii="Arial" w:hAnsi="Arial" w:cs="Arial"/>
        </w:rPr>
        <w:t>(59) Lodi S, Phillips A, Touloumi G, Geskus R, Meyer L, Thiebaut R, et al. Time from human immunodeficiency virus seroconversion to reaching CD4+ cell count thresholds 200, 350, and 500 Cells/mm(3): assessment of need following changes in treatment guidelines. Clin Infect Dis 2011 Oct;53(8):817-825.</w:t>
      </w:r>
    </w:p>
    <w:p w:rsidR="005F535C" w:rsidRPr="00A04044" w:rsidRDefault="005F535C" w:rsidP="005F535C">
      <w:pPr>
        <w:pStyle w:val="NormalWeb"/>
        <w:rPr>
          <w:rFonts w:ascii="Arial" w:hAnsi="Arial" w:cs="Arial"/>
        </w:rPr>
      </w:pPr>
      <w:r w:rsidRPr="00A04044">
        <w:rPr>
          <w:rFonts w:ascii="Arial" w:hAnsi="Arial" w:cs="Arial"/>
        </w:rPr>
        <w:t>(60) Vo TTN, Ledergerber B, Keiser O, Hirschel B, Furrer H, Battegay M, et al. Durability and outcome of initial antiretroviral treatments received during 2000-2005 by patients in the Swiss HIV Cohort Study. JID 2008;197:1685-94; 1685.</w:t>
      </w:r>
    </w:p>
    <w:p w:rsidR="005F535C" w:rsidRPr="00A04044" w:rsidRDefault="005F535C" w:rsidP="005F535C">
      <w:pPr>
        <w:pStyle w:val="NormalWeb"/>
        <w:rPr>
          <w:rFonts w:ascii="Arial" w:hAnsi="Arial" w:cs="Arial"/>
        </w:rPr>
      </w:pPr>
      <w:r w:rsidRPr="00A04044">
        <w:rPr>
          <w:rFonts w:ascii="Arial" w:hAnsi="Arial" w:cs="Arial"/>
        </w:rPr>
        <w:t>(61) Sanders GD, Bayoumi AM, Sundaram V, Bilir SP, Neukermans CP, Rydzak CE, et al. Cost-effectiveness of screening for HIV in the era of highly active antiretroviral therapy. N Engl J Med 2005 Feb 10;352(6):570-85.</w:t>
      </w:r>
    </w:p>
    <w:p w:rsidR="005F535C" w:rsidRPr="00A04044" w:rsidRDefault="005F535C" w:rsidP="005F535C">
      <w:pPr>
        <w:pStyle w:val="NormalWeb"/>
        <w:rPr>
          <w:rFonts w:ascii="Arial" w:hAnsi="Arial" w:cs="Arial"/>
        </w:rPr>
      </w:pPr>
      <w:r w:rsidRPr="00A04044">
        <w:rPr>
          <w:rFonts w:ascii="Arial" w:hAnsi="Arial" w:cs="Arial"/>
        </w:rPr>
        <w:t>(62) Reece M, Herbenick D, Schick V, Sanders SA, Dodge B, Fortenberry JD. Condom use rates in a national probability sample of males and females ages 14 to 94 in the United States. J Sex Med 2010 Oct;7:266-276.</w:t>
      </w:r>
    </w:p>
    <w:p w:rsidR="005F535C" w:rsidRPr="00A04044" w:rsidRDefault="005F535C" w:rsidP="005F535C">
      <w:pPr>
        <w:pStyle w:val="NormalWeb"/>
        <w:rPr>
          <w:rFonts w:ascii="Arial" w:hAnsi="Arial" w:cs="Arial"/>
        </w:rPr>
      </w:pPr>
      <w:r w:rsidRPr="00A04044">
        <w:rPr>
          <w:rFonts w:ascii="Arial" w:hAnsi="Arial" w:cs="Arial"/>
        </w:rPr>
        <w:t>(63) Marks G, Crepaz N, Janssen RS. Estimating sexual transmission of HIV from persons aware and unaware that they are infected with the virus in the USA. Aids 2006 Jun 26;20(10):1447-1450.</w:t>
      </w:r>
    </w:p>
    <w:p w:rsidR="005F535C" w:rsidRPr="00A04044" w:rsidRDefault="005F535C" w:rsidP="005F535C">
      <w:pPr>
        <w:pStyle w:val="NormalWeb"/>
        <w:rPr>
          <w:rFonts w:ascii="Arial" w:hAnsi="Arial" w:cs="Arial"/>
        </w:rPr>
      </w:pPr>
      <w:r w:rsidRPr="00A04044">
        <w:rPr>
          <w:rFonts w:ascii="Arial" w:hAnsi="Arial" w:cs="Arial"/>
        </w:rPr>
        <w:t>(64) Doherty IA, Schoenbach VJ, Adimora AA. Condom use and duration of concurrent partnerships among men in the United States. Sex Transm Dis 2009 May;36(5):265-72.</w:t>
      </w:r>
    </w:p>
    <w:p w:rsidR="005F535C" w:rsidRPr="00A04044" w:rsidRDefault="005F535C" w:rsidP="005F535C">
      <w:pPr>
        <w:pStyle w:val="NormalWeb"/>
        <w:rPr>
          <w:rFonts w:ascii="Arial" w:hAnsi="Arial" w:cs="Arial"/>
        </w:rPr>
      </w:pPr>
      <w:r w:rsidRPr="00A04044">
        <w:rPr>
          <w:rFonts w:ascii="Arial" w:hAnsi="Arial" w:cs="Arial"/>
        </w:rPr>
        <w:t>(65) Adimora AA, Schoenbach VJ, Doherty IA. Concurrent sexual partnerships among men in the United States. Am J Public Health 2007 Dec;97(12):2230-7.</w:t>
      </w:r>
    </w:p>
    <w:p w:rsidR="005F535C" w:rsidRPr="00A04044" w:rsidRDefault="005F535C" w:rsidP="005F535C">
      <w:pPr>
        <w:pStyle w:val="NormalWeb"/>
        <w:rPr>
          <w:rFonts w:ascii="Arial" w:hAnsi="Arial" w:cs="Arial"/>
        </w:rPr>
      </w:pPr>
      <w:r w:rsidRPr="00A04044">
        <w:rPr>
          <w:rFonts w:ascii="Arial" w:hAnsi="Arial" w:cs="Arial"/>
        </w:rPr>
        <w:t>(66) Baggaley R, White R, Boily M. HIV transmission risk through anal intercourse: systematic review, meta-analysis and implications for HIV prevention. International Journal of Epidemiology 2010;39(4):1048-63.</w:t>
      </w:r>
    </w:p>
    <w:p w:rsidR="005F535C" w:rsidRPr="00A04044" w:rsidRDefault="005F535C" w:rsidP="005F535C">
      <w:pPr>
        <w:pStyle w:val="NormalWeb"/>
        <w:rPr>
          <w:rFonts w:ascii="Arial" w:hAnsi="Arial" w:cs="Arial"/>
        </w:rPr>
      </w:pPr>
      <w:r w:rsidRPr="00A04044">
        <w:rPr>
          <w:rFonts w:ascii="Arial" w:hAnsi="Arial" w:cs="Arial"/>
        </w:rPr>
        <w:t>(67) Boily MC, Baggaley RF, Wang L, Masse B, White RG, Hayes RJ, et al. Heterosexual risk of HIV-1 infection per sexual act: systematic review and meta-analysis of observational studies. Lancet Infect Dis 2009 Feb;9(2):118-29.</w:t>
      </w:r>
    </w:p>
    <w:p w:rsidR="005F535C" w:rsidRPr="00A04044" w:rsidRDefault="005F535C" w:rsidP="005F535C">
      <w:pPr>
        <w:pStyle w:val="NormalWeb"/>
        <w:rPr>
          <w:rFonts w:ascii="Arial" w:hAnsi="Arial" w:cs="Arial"/>
        </w:rPr>
      </w:pPr>
      <w:r w:rsidRPr="00A04044">
        <w:rPr>
          <w:rFonts w:ascii="Arial" w:hAnsi="Arial" w:cs="Arial"/>
        </w:rPr>
        <w:lastRenderedPageBreak/>
        <w:t>(68) Sorensen SW, Sansom SL, Brooks JT, Marks G, Begier EM, Buchacz K, et al. A mathematical model of comprehensive test-and-treat services and HIV incidence among men who have sex with men in the United States. PloS one 2012;7(2):e29098.</w:t>
      </w:r>
    </w:p>
    <w:p w:rsidR="005F535C" w:rsidRPr="00A04044" w:rsidRDefault="005F535C" w:rsidP="005F535C">
      <w:pPr>
        <w:pStyle w:val="NormalWeb"/>
        <w:rPr>
          <w:rFonts w:ascii="Arial" w:hAnsi="Arial" w:cs="Arial"/>
        </w:rPr>
      </w:pPr>
      <w:r w:rsidRPr="00A04044">
        <w:rPr>
          <w:rFonts w:ascii="Arial" w:hAnsi="Arial" w:cs="Arial"/>
        </w:rPr>
        <w:t>(69) Pinkerton SD, Abramson PR. Effectiveness of condoms in preventing HIV transmission. Soc Sci Med 1997 May;44(9):1303-12.</w:t>
      </w:r>
    </w:p>
    <w:p w:rsidR="005F535C" w:rsidRPr="00A04044" w:rsidRDefault="005F535C" w:rsidP="005F535C">
      <w:pPr>
        <w:pStyle w:val="NormalWeb"/>
        <w:rPr>
          <w:rFonts w:ascii="Arial" w:hAnsi="Arial" w:cs="Arial"/>
        </w:rPr>
      </w:pPr>
      <w:r w:rsidRPr="00A04044">
        <w:rPr>
          <w:rFonts w:ascii="Arial" w:hAnsi="Arial" w:cs="Arial"/>
        </w:rPr>
        <w:t>(70) Davis KR, Weller SC. The effectiveness of condoms in reducing heterosexual transmission of HIV. Family planning perspectives 1999;31(6):272-279.</w:t>
      </w:r>
    </w:p>
    <w:p w:rsidR="005F535C" w:rsidRPr="00A04044" w:rsidRDefault="005F535C" w:rsidP="005F535C">
      <w:pPr>
        <w:pStyle w:val="NormalWeb"/>
        <w:rPr>
          <w:rFonts w:ascii="Arial" w:hAnsi="Arial" w:cs="Arial"/>
        </w:rPr>
      </w:pPr>
      <w:r w:rsidRPr="00A04044">
        <w:rPr>
          <w:rFonts w:ascii="Arial" w:hAnsi="Arial" w:cs="Arial"/>
        </w:rPr>
        <w:t>(71) Weller SC, Davis-Beaty K. Condom effectiveness in reducing heterosexual HIV transmission (review). The Cochrane Library 2009(1).</w:t>
      </w:r>
    </w:p>
    <w:p w:rsidR="005F535C" w:rsidRPr="00A04044" w:rsidRDefault="005F535C" w:rsidP="005F535C">
      <w:pPr>
        <w:pStyle w:val="NormalWeb"/>
        <w:rPr>
          <w:rFonts w:ascii="Arial" w:hAnsi="Arial" w:cs="Arial"/>
        </w:rPr>
      </w:pPr>
      <w:r w:rsidRPr="00A04044">
        <w:rPr>
          <w:rFonts w:ascii="Arial" w:hAnsi="Arial" w:cs="Arial"/>
        </w:rPr>
        <w:t>(72) Cohen MS, Chen YQ, McCauley M, Gamble T, Hosseinipour MC, Kumarasamy N, et al. Prevention of HIV-1 infection with early antiretroviral therapy. N Engl J Med 2011 Aug 11;365(6):493-505.</w:t>
      </w:r>
    </w:p>
    <w:p w:rsidR="005F535C" w:rsidRPr="00A04044" w:rsidRDefault="005F535C" w:rsidP="005F535C">
      <w:pPr>
        <w:pStyle w:val="NormalWeb"/>
        <w:rPr>
          <w:rFonts w:ascii="Arial" w:hAnsi="Arial" w:cs="Arial"/>
        </w:rPr>
      </w:pPr>
      <w:r w:rsidRPr="00A04044">
        <w:rPr>
          <w:rFonts w:ascii="Arial" w:hAnsi="Arial" w:cs="Arial"/>
        </w:rPr>
        <w:t xml:space="preserve">(73) Centers for Disease Control and Prevention. Estimated HIV incidence in the United States, 2007– 2010. HIV Surveillance Supplemental Report 2012;17(No. 4). </w:t>
      </w:r>
      <w:hyperlink r:id="rId129" w:tgtFrame="_blank" w:history="1">
        <w:r w:rsidRPr="00A04044">
          <w:rPr>
            <w:rStyle w:val="Hyperlink"/>
            <w:rFonts w:ascii="Arial" w:hAnsi="Arial" w:cs="Arial"/>
          </w:rPr>
          <w:t>http://www.cdc.gov/hiv/pdf/statistics_hssr_vol_17_no_4.pdf.</w:t>
        </w:r>
      </w:hyperlink>
      <w:r w:rsidRPr="00A04044">
        <w:rPr>
          <w:rFonts w:ascii="Arial" w:hAnsi="Arial" w:cs="Arial"/>
        </w:rPr>
        <w:t xml:space="preserve"> Published December 2012. [Accessed: December 2015]. </w:t>
      </w:r>
    </w:p>
    <w:p w:rsidR="005F535C" w:rsidRDefault="005F535C" w:rsidP="005F535C">
      <w:pPr>
        <w:rPr>
          <w:rFonts w:ascii="Arial" w:hAnsi="Arial" w:cs="Arial"/>
          <w:sz w:val="24"/>
          <w:szCs w:val="24"/>
        </w:rPr>
      </w:pPr>
      <w:r w:rsidRPr="00A04044">
        <w:rPr>
          <w:rFonts w:ascii="Arial" w:eastAsia="Times New Roman" w:hAnsi="Arial" w:cs="Arial"/>
          <w:sz w:val="24"/>
        </w:rPr>
        <w:t> </w:t>
      </w:r>
      <w:r>
        <w:rPr>
          <w:rFonts w:ascii="Arial" w:hAnsi="Arial" w:cs="Arial"/>
          <w:sz w:val="24"/>
          <w:szCs w:val="24"/>
        </w:rPr>
        <w:fldChar w:fldCharType="end"/>
      </w:r>
    </w:p>
    <w:p w:rsidR="005F535C" w:rsidRPr="00006066" w:rsidRDefault="005F535C" w:rsidP="005F535C">
      <w:pPr>
        <w:tabs>
          <w:tab w:val="right" w:pos="12960"/>
        </w:tabs>
        <w:spacing w:line="480" w:lineRule="auto"/>
        <w:rPr>
          <w:rFonts w:ascii="Arial" w:hAnsi="Arial" w:cs="Arial"/>
          <w:sz w:val="24"/>
          <w:szCs w:val="24"/>
        </w:rPr>
      </w:pPr>
    </w:p>
    <w:p w:rsidR="0043125F" w:rsidRDefault="0043125F"/>
    <w:sectPr w:rsidR="0043125F" w:rsidSect="00157B67">
      <w:headerReference w:type="even" r:id="rId130"/>
      <w:headerReference w:type="default" r:id="rId131"/>
      <w:footerReference w:type="even" r:id="rId132"/>
      <w:footerReference w:type="default" r:id="rId133"/>
      <w:headerReference w:type="first" r:id="rId134"/>
      <w:footerReference w:type="first" r:id="rId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1C6" w:rsidRDefault="00351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70A" w:rsidRDefault="00351F00">
    <w:pPr>
      <w:pStyle w:val="Footer"/>
      <w:jc w:val="right"/>
    </w:pPr>
    <w:r>
      <w:fldChar w:fldCharType="begin"/>
    </w:r>
    <w:r>
      <w:instrText xml:space="preserve"> PAGE   \* MERGEFORMAT </w:instrText>
    </w:r>
    <w:r>
      <w:fldChar w:fldCharType="separate"/>
    </w:r>
    <w:r>
      <w:rPr>
        <w:noProof/>
      </w:rPr>
      <w:t>20</w:t>
    </w:r>
    <w:r>
      <w:rPr>
        <w:noProof/>
      </w:rPr>
      <w:fldChar w:fldCharType="end"/>
    </w:r>
  </w:p>
  <w:p w:rsidR="00EB470A" w:rsidRDefault="00351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70A" w:rsidRDefault="00351F00">
    <w:pPr>
      <w:pStyle w:val="Footer"/>
      <w:jc w:val="right"/>
    </w:pPr>
    <w:r>
      <w:fldChar w:fldCharType="begin"/>
    </w:r>
    <w:r>
      <w:instrText xml:space="preserve"> PAGE   \* MERGEFORMAT </w:instrText>
    </w:r>
    <w:r>
      <w:fldChar w:fldCharType="separate"/>
    </w:r>
    <w:r>
      <w:rPr>
        <w:noProof/>
      </w:rPr>
      <w:t>1</w:t>
    </w:r>
    <w:r>
      <w:rPr>
        <w:noProof/>
      </w:rPr>
      <w:fldChar w:fldCharType="end"/>
    </w:r>
  </w:p>
  <w:p w:rsidR="00EB470A" w:rsidRDefault="00351F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70A" w:rsidRDefault="00351F00">
    <w:pPr>
      <w:pStyle w:val="Footer"/>
      <w:jc w:val="right"/>
    </w:pPr>
    <w:r>
      <w:fldChar w:fldCharType="begin"/>
    </w:r>
    <w:r>
      <w:instrText xml:space="preserve"> PAGE   \* MERGEFORMAT </w:instrText>
    </w:r>
    <w:r>
      <w:fldChar w:fldCharType="separate"/>
    </w:r>
    <w:r>
      <w:rPr>
        <w:noProof/>
      </w:rPr>
      <w:t>21</w:t>
    </w:r>
    <w:r>
      <w:rPr>
        <w:noProof/>
      </w:rPr>
      <w:fldChar w:fldCharType="end"/>
    </w:r>
  </w:p>
  <w:p w:rsidR="00EB470A" w:rsidRDefault="00351F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70A" w:rsidRDefault="00351F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70A" w:rsidRDefault="00351F00">
    <w:pPr>
      <w:pStyle w:val="Footer"/>
      <w:jc w:val="right"/>
    </w:pPr>
    <w:r>
      <w:fldChar w:fldCharType="begin"/>
    </w:r>
    <w:r>
      <w:instrText xml:space="preserve"> PAGE   \* MERGEFORMAT </w:instrText>
    </w:r>
    <w:r>
      <w:fldChar w:fldCharType="separate"/>
    </w:r>
    <w:r>
      <w:rPr>
        <w:noProof/>
      </w:rPr>
      <w:t>36</w:t>
    </w:r>
    <w:r>
      <w:rPr>
        <w:noProof/>
      </w:rPr>
      <w:fldChar w:fldCharType="end"/>
    </w:r>
  </w:p>
  <w:p w:rsidR="00EB470A" w:rsidRDefault="00351F0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70A" w:rsidRDefault="00351F00">
    <w:pPr>
      <w:pStyle w:val="Footer"/>
      <w:jc w:val="right"/>
    </w:pPr>
    <w:r>
      <w:fldChar w:fldCharType="begin"/>
    </w:r>
    <w:r>
      <w:instrText xml:space="preserve"> PAGE   \* MERGEFORMAT </w:instrText>
    </w:r>
    <w:r>
      <w:fldChar w:fldCharType="separate"/>
    </w:r>
    <w:r>
      <w:rPr>
        <w:noProof/>
      </w:rPr>
      <w:t>67</w:t>
    </w:r>
    <w:r>
      <w:rPr>
        <w:noProof/>
      </w:rPr>
      <w:fldChar w:fldCharType="end"/>
    </w:r>
  </w:p>
  <w:p w:rsidR="00EB470A" w:rsidRDefault="00351F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1C6" w:rsidRDefault="00351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70A" w:rsidRDefault="005F535C">
    <w:pPr>
      <w:pStyle w:val="Header"/>
    </w:pPr>
    <w:r>
      <w:rPr>
        <w:noProof/>
        <w:lang w:eastAsia="zh-TW"/>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F535C" w:rsidRDefault="005F535C" w:rsidP="005F535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f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Ies&#10;p8O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5F535C" w:rsidRDefault="005F535C" w:rsidP="005F535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1C6" w:rsidRDefault="00351F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5F6" w:rsidRDefault="00351F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70A" w:rsidRDefault="005F535C">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10668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B470A" w:rsidRDefault="00351F00" w:rsidP="002974C5">
                          <w:pPr>
                            <w:pStyle w:val="NormalWeb"/>
                            <w:spacing w:before="0" w:beforeAutospacing="0" w:after="0" w:afterAutospacing="0"/>
                            <w:jc w:val="center"/>
                          </w:pPr>
                          <w:r w:rsidRPr="004130F0">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0;width:412.4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" o:allowincell="f" filled="f" stroked="f">
              <v:stroke joinstyle="round"/>
              <o:lock v:ext="edit" shapetype="t"/>
              <v:textbox style="mso-fit-shape-to-text:t">
                <w:txbxContent>
                  <w:p w:rsidR="00EB470A" w:rsidRDefault="00351F00" w:rsidP="002974C5">
                    <w:pPr>
                      <w:pStyle w:val="NormalWeb"/>
                      <w:spacing w:before="0" w:beforeAutospacing="0" w:after="0" w:afterAutospacing="0"/>
                      <w:jc w:val="center"/>
                    </w:pPr>
                    <w:r w:rsidRPr="004130F0">
                      <w:rPr>
                        <w:rFonts w:ascii="Calibri" w:hAnsi="Calibri"/>
                        <w:color w:val="C0C0C0"/>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5F6" w:rsidRDefault="00351F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70A" w:rsidRDefault="00351F0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70A" w:rsidRDefault="005F535C">
    <w:pPr>
      <w:pStyle w:val="Header"/>
    </w:pPr>
    <w:r>
      <w:rPr>
        <w:noProof/>
        <w:lang w:eastAsia="zh-TW"/>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F535C" w:rsidRDefault="005F535C" w:rsidP="005F535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Xp2ajIwCAAAE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rsidR="005F535C" w:rsidRDefault="005F535C" w:rsidP="005F535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70A" w:rsidRDefault="00351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EBE"/>
    <w:multiLevelType w:val="hybridMultilevel"/>
    <w:tmpl w:val="FAB0FC9E"/>
    <w:lvl w:ilvl="0" w:tplc="07B652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9168A"/>
    <w:multiLevelType w:val="hybridMultilevel"/>
    <w:tmpl w:val="B298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B3A80"/>
    <w:multiLevelType w:val="hybridMultilevel"/>
    <w:tmpl w:val="536CE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E7952"/>
    <w:multiLevelType w:val="hybridMultilevel"/>
    <w:tmpl w:val="43A8EF9C"/>
    <w:lvl w:ilvl="0" w:tplc="3BC68CB4">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44D8A"/>
    <w:multiLevelType w:val="hybridMultilevel"/>
    <w:tmpl w:val="E61E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E6BF8"/>
    <w:multiLevelType w:val="hybridMultilevel"/>
    <w:tmpl w:val="CB1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F2EDD"/>
    <w:multiLevelType w:val="hybridMultilevel"/>
    <w:tmpl w:val="E152B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427E5"/>
    <w:multiLevelType w:val="hybridMultilevel"/>
    <w:tmpl w:val="4A40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177A9"/>
    <w:multiLevelType w:val="hybridMultilevel"/>
    <w:tmpl w:val="02EEB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248EF"/>
    <w:multiLevelType w:val="hybridMultilevel"/>
    <w:tmpl w:val="FDF2C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F5B56"/>
    <w:multiLevelType w:val="hybridMultilevel"/>
    <w:tmpl w:val="75E2D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6C6307"/>
    <w:multiLevelType w:val="hybridMultilevel"/>
    <w:tmpl w:val="C6A67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92B0C"/>
    <w:multiLevelType w:val="hybridMultilevel"/>
    <w:tmpl w:val="D804A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E5784"/>
    <w:multiLevelType w:val="hybridMultilevel"/>
    <w:tmpl w:val="CDC82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C41281A"/>
    <w:multiLevelType w:val="hybridMultilevel"/>
    <w:tmpl w:val="AD4EFE7A"/>
    <w:lvl w:ilvl="0" w:tplc="B4A6D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1C6D74"/>
    <w:multiLevelType w:val="hybridMultilevel"/>
    <w:tmpl w:val="F2763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F5BEB"/>
    <w:multiLevelType w:val="hybridMultilevel"/>
    <w:tmpl w:val="63E83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32DA8"/>
    <w:multiLevelType w:val="hybridMultilevel"/>
    <w:tmpl w:val="27A8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E4620E"/>
    <w:multiLevelType w:val="hybridMultilevel"/>
    <w:tmpl w:val="16ECC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8"/>
  </w:num>
  <w:num w:numId="4">
    <w:abstractNumId w:val="5"/>
  </w:num>
  <w:num w:numId="5">
    <w:abstractNumId w:val="10"/>
  </w:num>
  <w:num w:numId="6">
    <w:abstractNumId w:val="7"/>
  </w:num>
  <w:num w:numId="7">
    <w:abstractNumId w:val="14"/>
  </w:num>
  <w:num w:numId="8">
    <w:abstractNumId w:val="15"/>
  </w:num>
  <w:num w:numId="9">
    <w:abstractNumId w:val="6"/>
  </w:num>
  <w:num w:numId="10">
    <w:abstractNumId w:val="16"/>
  </w:num>
  <w:num w:numId="11">
    <w:abstractNumId w:val="17"/>
  </w:num>
  <w:num w:numId="12">
    <w:abstractNumId w:val="1"/>
  </w:num>
  <w:num w:numId="13">
    <w:abstractNumId w:val="2"/>
  </w:num>
  <w:num w:numId="14">
    <w:abstractNumId w:val="8"/>
  </w:num>
  <w:num w:numId="15">
    <w:abstractNumId w:val="9"/>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C"/>
    <w:rsid w:val="00000DE9"/>
    <w:rsid w:val="000022BB"/>
    <w:rsid w:val="00007C89"/>
    <w:rsid w:val="000127FE"/>
    <w:rsid w:val="00013C9E"/>
    <w:rsid w:val="0001443F"/>
    <w:rsid w:val="00014BEF"/>
    <w:rsid w:val="00017E7A"/>
    <w:rsid w:val="00020813"/>
    <w:rsid w:val="00022BC0"/>
    <w:rsid w:val="000257B2"/>
    <w:rsid w:val="0002749B"/>
    <w:rsid w:val="0003074E"/>
    <w:rsid w:val="00032327"/>
    <w:rsid w:val="00032365"/>
    <w:rsid w:val="00032B66"/>
    <w:rsid w:val="0003451C"/>
    <w:rsid w:val="00036189"/>
    <w:rsid w:val="00036631"/>
    <w:rsid w:val="00040AC2"/>
    <w:rsid w:val="00040B6D"/>
    <w:rsid w:val="00044403"/>
    <w:rsid w:val="0004535E"/>
    <w:rsid w:val="00045C36"/>
    <w:rsid w:val="0004721B"/>
    <w:rsid w:val="00047FDD"/>
    <w:rsid w:val="00052A7F"/>
    <w:rsid w:val="00053950"/>
    <w:rsid w:val="00054DDE"/>
    <w:rsid w:val="00056DD1"/>
    <w:rsid w:val="000620EE"/>
    <w:rsid w:val="00063832"/>
    <w:rsid w:val="000671FA"/>
    <w:rsid w:val="00067683"/>
    <w:rsid w:val="000704C9"/>
    <w:rsid w:val="00070D3F"/>
    <w:rsid w:val="00073D10"/>
    <w:rsid w:val="0007411C"/>
    <w:rsid w:val="00076ABE"/>
    <w:rsid w:val="00082AEC"/>
    <w:rsid w:val="00082F38"/>
    <w:rsid w:val="000836C6"/>
    <w:rsid w:val="00083765"/>
    <w:rsid w:val="00083AE4"/>
    <w:rsid w:val="00084296"/>
    <w:rsid w:val="00085367"/>
    <w:rsid w:val="00087235"/>
    <w:rsid w:val="00087BAC"/>
    <w:rsid w:val="00087F41"/>
    <w:rsid w:val="00091040"/>
    <w:rsid w:val="000934F0"/>
    <w:rsid w:val="0009423D"/>
    <w:rsid w:val="000948E7"/>
    <w:rsid w:val="000A1000"/>
    <w:rsid w:val="000A2A66"/>
    <w:rsid w:val="000A534A"/>
    <w:rsid w:val="000A6BA2"/>
    <w:rsid w:val="000A77BA"/>
    <w:rsid w:val="000B0B9B"/>
    <w:rsid w:val="000B111C"/>
    <w:rsid w:val="000B41D0"/>
    <w:rsid w:val="000B5009"/>
    <w:rsid w:val="000B530E"/>
    <w:rsid w:val="000B73E8"/>
    <w:rsid w:val="000C0ADA"/>
    <w:rsid w:val="000C0C1F"/>
    <w:rsid w:val="000C2ABC"/>
    <w:rsid w:val="000C39AD"/>
    <w:rsid w:val="000C5308"/>
    <w:rsid w:val="000C550A"/>
    <w:rsid w:val="000C6D1E"/>
    <w:rsid w:val="000C72D8"/>
    <w:rsid w:val="000D0C15"/>
    <w:rsid w:val="000D181B"/>
    <w:rsid w:val="000D1EF2"/>
    <w:rsid w:val="000D3F9B"/>
    <w:rsid w:val="000D5DB8"/>
    <w:rsid w:val="000D6B21"/>
    <w:rsid w:val="000E0106"/>
    <w:rsid w:val="000E0BDC"/>
    <w:rsid w:val="000E2CA0"/>
    <w:rsid w:val="000E4108"/>
    <w:rsid w:val="000E601D"/>
    <w:rsid w:val="000E786B"/>
    <w:rsid w:val="000F0950"/>
    <w:rsid w:val="000F204E"/>
    <w:rsid w:val="000F435E"/>
    <w:rsid w:val="000F54AB"/>
    <w:rsid w:val="000F5F9B"/>
    <w:rsid w:val="000F73CD"/>
    <w:rsid w:val="000F751B"/>
    <w:rsid w:val="001031A4"/>
    <w:rsid w:val="00104FDC"/>
    <w:rsid w:val="00105F6A"/>
    <w:rsid w:val="0011166C"/>
    <w:rsid w:val="00113AD3"/>
    <w:rsid w:val="0011408D"/>
    <w:rsid w:val="0011630A"/>
    <w:rsid w:val="00120881"/>
    <w:rsid w:val="00120A4D"/>
    <w:rsid w:val="001212DB"/>
    <w:rsid w:val="0012161F"/>
    <w:rsid w:val="0012261E"/>
    <w:rsid w:val="0012473A"/>
    <w:rsid w:val="00125112"/>
    <w:rsid w:val="00125294"/>
    <w:rsid w:val="00127EE1"/>
    <w:rsid w:val="001307DE"/>
    <w:rsid w:val="0013098C"/>
    <w:rsid w:val="00131A0C"/>
    <w:rsid w:val="00131C4C"/>
    <w:rsid w:val="00132C4F"/>
    <w:rsid w:val="001407A3"/>
    <w:rsid w:val="001440B6"/>
    <w:rsid w:val="001440BE"/>
    <w:rsid w:val="00144151"/>
    <w:rsid w:val="001452CF"/>
    <w:rsid w:val="00150453"/>
    <w:rsid w:val="00150557"/>
    <w:rsid w:val="00150F63"/>
    <w:rsid w:val="0015180E"/>
    <w:rsid w:val="00151AD5"/>
    <w:rsid w:val="001535B5"/>
    <w:rsid w:val="00154363"/>
    <w:rsid w:val="00157BC8"/>
    <w:rsid w:val="0016134F"/>
    <w:rsid w:val="00162453"/>
    <w:rsid w:val="00164F13"/>
    <w:rsid w:val="00165386"/>
    <w:rsid w:val="0016587A"/>
    <w:rsid w:val="001711D9"/>
    <w:rsid w:val="001736D5"/>
    <w:rsid w:val="001739D4"/>
    <w:rsid w:val="00173D7F"/>
    <w:rsid w:val="00176079"/>
    <w:rsid w:val="00177F7E"/>
    <w:rsid w:val="0018030C"/>
    <w:rsid w:val="001816D0"/>
    <w:rsid w:val="001850D2"/>
    <w:rsid w:val="00185355"/>
    <w:rsid w:val="001858EA"/>
    <w:rsid w:val="0018612E"/>
    <w:rsid w:val="00187E78"/>
    <w:rsid w:val="0019026E"/>
    <w:rsid w:val="00191876"/>
    <w:rsid w:val="00192F9E"/>
    <w:rsid w:val="0019504F"/>
    <w:rsid w:val="001950F1"/>
    <w:rsid w:val="00195A23"/>
    <w:rsid w:val="0019690E"/>
    <w:rsid w:val="001977B5"/>
    <w:rsid w:val="001A0427"/>
    <w:rsid w:val="001A0C99"/>
    <w:rsid w:val="001A11BF"/>
    <w:rsid w:val="001A1A68"/>
    <w:rsid w:val="001A35EE"/>
    <w:rsid w:val="001A5792"/>
    <w:rsid w:val="001A62C9"/>
    <w:rsid w:val="001A737D"/>
    <w:rsid w:val="001B09D9"/>
    <w:rsid w:val="001B0BE9"/>
    <w:rsid w:val="001B25DF"/>
    <w:rsid w:val="001B69FD"/>
    <w:rsid w:val="001B7816"/>
    <w:rsid w:val="001B7ED3"/>
    <w:rsid w:val="001C0DE3"/>
    <w:rsid w:val="001C1201"/>
    <w:rsid w:val="001C20B3"/>
    <w:rsid w:val="001C2E61"/>
    <w:rsid w:val="001C34C0"/>
    <w:rsid w:val="001C353A"/>
    <w:rsid w:val="001C4093"/>
    <w:rsid w:val="001C4794"/>
    <w:rsid w:val="001C517C"/>
    <w:rsid w:val="001C61D4"/>
    <w:rsid w:val="001D0EFD"/>
    <w:rsid w:val="001D14D8"/>
    <w:rsid w:val="001D2243"/>
    <w:rsid w:val="001D249C"/>
    <w:rsid w:val="001D32D9"/>
    <w:rsid w:val="001D6139"/>
    <w:rsid w:val="001E03F9"/>
    <w:rsid w:val="001E1FC3"/>
    <w:rsid w:val="001E2AE2"/>
    <w:rsid w:val="001E42F2"/>
    <w:rsid w:val="001E73A2"/>
    <w:rsid w:val="001F216C"/>
    <w:rsid w:val="001F2CFE"/>
    <w:rsid w:val="001F548F"/>
    <w:rsid w:val="001F6C7F"/>
    <w:rsid w:val="00201AC6"/>
    <w:rsid w:val="002029D4"/>
    <w:rsid w:val="00202FCA"/>
    <w:rsid w:val="0020536A"/>
    <w:rsid w:val="002168C4"/>
    <w:rsid w:val="002200BD"/>
    <w:rsid w:val="002202B2"/>
    <w:rsid w:val="002218D1"/>
    <w:rsid w:val="0022794C"/>
    <w:rsid w:val="00232879"/>
    <w:rsid w:val="002364AE"/>
    <w:rsid w:val="00236589"/>
    <w:rsid w:val="002407D9"/>
    <w:rsid w:val="00241CB6"/>
    <w:rsid w:val="00246BC1"/>
    <w:rsid w:val="002471A5"/>
    <w:rsid w:val="00247C4D"/>
    <w:rsid w:val="0025366E"/>
    <w:rsid w:val="00256725"/>
    <w:rsid w:val="00256A1F"/>
    <w:rsid w:val="00263121"/>
    <w:rsid w:val="00264283"/>
    <w:rsid w:val="00267609"/>
    <w:rsid w:val="002701D6"/>
    <w:rsid w:val="00270567"/>
    <w:rsid w:val="00271AC3"/>
    <w:rsid w:val="00275ECD"/>
    <w:rsid w:val="00277478"/>
    <w:rsid w:val="002824FF"/>
    <w:rsid w:val="0028336A"/>
    <w:rsid w:val="00292784"/>
    <w:rsid w:val="0029281A"/>
    <w:rsid w:val="00292F01"/>
    <w:rsid w:val="00293434"/>
    <w:rsid w:val="002939AA"/>
    <w:rsid w:val="00293A00"/>
    <w:rsid w:val="00295E5B"/>
    <w:rsid w:val="00295E91"/>
    <w:rsid w:val="002A1178"/>
    <w:rsid w:val="002A5BB7"/>
    <w:rsid w:val="002B1E61"/>
    <w:rsid w:val="002B310F"/>
    <w:rsid w:val="002B37DE"/>
    <w:rsid w:val="002B4EA4"/>
    <w:rsid w:val="002B6F8D"/>
    <w:rsid w:val="002C2BB6"/>
    <w:rsid w:val="002C43E4"/>
    <w:rsid w:val="002C4B9A"/>
    <w:rsid w:val="002C5181"/>
    <w:rsid w:val="002C553E"/>
    <w:rsid w:val="002C590C"/>
    <w:rsid w:val="002C611E"/>
    <w:rsid w:val="002D1460"/>
    <w:rsid w:val="002D1E19"/>
    <w:rsid w:val="002D3B85"/>
    <w:rsid w:val="002D5083"/>
    <w:rsid w:val="002D5C97"/>
    <w:rsid w:val="002D77BD"/>
    <w:rsid w:val="002E0435"/>
    <w:rsid w:val="002E3C9A"/>
    <w:rsid w:val="002E6810"/>
    <w:rsid w:val="002F17AF"/>
    <w:rsid w:val="002F242C"/>
    <w:rsid w:val="002F28DF"/>
    <w:rsid w:val="002F2B42"/>
    <w:rsid w:val="002F3CCE"/>
    <w:rsid w:val="002F5FCD"/>
    <w:rsid w:val="002F6197"/>
    <w:rsid w:val="00300060"/>
    <w:rsid w:val="00301B86"/>
    <w:rsid w:val="00302F30"/>
    <w:rsid w:val="00304865"/>
    <w:rsid w:val="00304F42"/>
    <w:rsid w:val="00305C62"/>
    <w:rsid w:val="003065DE"/>
    <w:rsid w:val="00306C86"/>
    <w:rsid w:val="00306E8C"/>
    <w:rsid w:val="003122FE"/>
    <w:rsid w:val="00313618"/>
    <w:rsid w:val="00315340"/>
    <w:rsid w:val="00315821"/>
    <w:rsid w:val="0031672D"/>
    <w:rsid w:val="00322E95"/>
    <w:rsid w:val="00324B25"/>
    <w:rsid w:val="00324D27"/>
    <w:rsid w:val="00326D55"/>
    <w:rsid w:val="00334748"/>
    <w:rsid w:val="00334EAE"/>
    <w:rsid w:val="00336971"/>
    <w:rsid w:val="0033740C"/>
    <w:rsid w:val="0033766A"/>
    <w:rsid w:val="00337741"/>
    <w:rsid w:val="00340202"/>
    <w:rsid w:val="00340890"/>
    <w:rsid w:val="003451CC"/>
    <w:rsid w:val="0034554E"/>
    <w:rsid w:val="00346284"/>
    <w:rsid w:val="00346CE8"/>
    <w:rsid w:val="00351F00"/>
    <w:rsid w:val="00352459"/>
    <w:rsid w:val="003542F9"/>
    <w:rsid w:val="0035430D"/>
    <w:rsid w:val="00354AEC"/>
    <w:rsid w:val="00357A5C"/>
    <w:rsid w:val="00361712"/>
    <w:rsid w:val="00361F6D"/>
    <w:rsid w:val="00362499"/>
    <w:rsid w:val="0036449E"/>
    <w:rsid w:val="00364B0E"/>
    <w:rsid w:val="00364EB1"/>
    <w:rsid w:val="0037168E"/>
    <w:rsid w:val="00373C04"/>
    <w:rsid w:val="00374DBA"/>
    <w:rsid w:val="00382533"/>
    <w:rsid w:val="003825AC"/>
    <w:rsid w:val="00384B67"/>
    <w:rsid w:val="0038550D"/>
    <w:rsid w:val="00386C79"/>
    <w:rsid w:val="00387190"/>
    <w:rsid w:val="003873CE"/>
    <w:rsid w:val="00394409"/>
    <w:rsid w:val="0039440C"/>
    <w:rsid w:val="00394D43"/>
    <w:rsid w:val="0039572A"/>
    <w:rsid w:val="0039788A"/>
    <w:rsid w:val="00397F09"/>
    <w:rsid w:val="003A1E53"/>
    <w:rsid w:val="003A29C5"/>
    <w:rsid w:val="003A3152"/>
    <w:rsid w:val="003A3375"/>
    <w:rsid w:val="003A4112"/>
    <w:rsid w:val="003A526F"/>
    <w:rsid w:val="003B12FE"/>
    <w:rsid w:val="003B399F"/>
    <w:rsid w:val="003B3F34"/>
    <w:rsid w:val="003B4856"/>
    <w:rsid w:val="003B523D"/>
    <w:rsid w:val="003B5500"/>
    <w:rsid w:val="003B6051"/>
    <w:rsid w:val="003B74D8"/>
    <w:rsid w:val="003C058F"/>
    <w:rsid w:val="003C2E5A"/>
    <w:rsid w:val="003C3FE9"/>
    <w:rsid w:val="003C6579"/>
    <w:rsid w:val="003D114C"/>
    <w:rsid w:val="003D14D3"/>
    <w:rsid w:val="003D2517"/>
    <w:rsid w:val="003D306A"/>
    <w:rsid w:val="003D487A"/>
    <w:rsid w:val="003E1380"/>
    <w:rsid w:val="003E17D8"/>
    <w:rsid w:val="003E3B4E"/>
    <w:rsid w:val="003E454B"/>
    <w:rsid w:val="003E4ADF"/>
    <w:rsid w:val="003E4E02"/>
    <w:rsid w:val="003F3BED"/>
    <w:rsid w:val="003F3CA0"/>
    <w:rsid w:val="003F6BA2"/>
    <w:rsid w:val="003F7363"/>
    <w:rsid w:val="00403865"/>
    <w:rsid w:val="00403C78"/>
    <w:rsid w:val="00404C87"/>
    <w:rsid w:val="00404D3D"/>
    <w:rsid w:val="00410675"/>
    <w:rsid w:val="004106D0"/>
    <w:rsid w:val="00410788"/>
    <w:rsid w:val="0041223E"/>
    <w:rsid w:val="004132AC"/>
    <w:rsid w:val="004142BE"/>
    <w:rsid w:val="00420A46"/>
    <w:rsid w:val="00425F65"/>
    <w:rsid w:val="00425FBE"/>
    <w:rsid w:val="0043125F"/>
    <w:rsid w:val="00431301"/>
    <w:rsid w:val="004314A8"/>
    <w:rsid w:val="00434E09"/>
    <w:rsid w:val="00440F71"/>
    <w:rsid w:val="00443ABD"/>
    <w:rsid w:val="004454FF"/>
    <w:rsid w:val="00447F4E"/>
    <w:rsid w:val="0045051A"/>
    <w:rsid w:val="004560C5"/>
    <w:rsid w:val="00456AF6"/>
    <w:rsid w:val="00457D26"/>
    <w:rsid w:val="004611AA"/>
    <w:rsid w:val="0046210D"/>
    <w:rsid w:val="0046236D"/>
    <w:rsid w:val="00464109"/>
    <w:rsid w:val="0046549B"/>
    <w:rsid w:val="00466017"/>
    <w:rsid w:val="00466546"/>
    <w:rsid w:val="00466ACF"/>
    <w:rsid w:val="0047496A"/>
    <w:rsid w:val="004759D1"/>
    <w:rsid w:val="00482390"/>
    <w:rsid w:val="00484062"/>
    <w:rsid w:val="00484910"/>
    <w:rsid w:val="00484F73"/>
    <w:rsid w:val="00487C1B"/>
    <w:rsid w:val="00490F0B"/>
    <w:rsid w:val="00491C19"/>
    <w:rsid w:val="00492959"/>
    <w:rsid w:val="00495FE6"/>
    <w:rsid w:val="00496837"/>
    <w:rsid w:val="00497AA8"/>
    <w:rsid w:val="004A036F"/>
    <w:rsid w:val="004A0479"/>
    <w:rsid w:val="004A0ECD"/>
    <w:rsid w:val="004A1985"/>
    <w:rsid w:val="004A2658"/>
    <w:rsid w:val="004A27B0"/>
    <w:rsid w:val="004A44FE"/>
    <w:rsid w:val="004A6A71"/>
    <w:rsid w:val="004B0D54"/>
    <w:rsid w:val="004B708B"/>
    <w:rsid w:val="004C17F4"/>
    <w:rsid w:val="004C3946"/>
    <w:rsid w:val="004C4B3C"/>
    <w:rsid w:val="004C5B3A"/>
    <w:rsid w:val="004C681E"/>
    <w:rsid w:val="004C6CAD"/>
    <w:rsid w:val="004C74ED"/>
    <w:rsid w:val="004D18EC"/>
    <w:rsid w:val="004D3380"/>
    <w:rsid w:val="004D526D"/>
    <w:rsid w:val="004D74B1"/>
    <w:rsid w:val="004E03B0"/>
    <w:rsid w:val="004E0B01"/>
    <w:rsid w:val="004E12E6"/>
    <w:rsid w:val="004E1EED"/>
    <w:rsid w:val="004E1EFB"/>
    <w:rsid w:val="004E34C1"/>
    <w:rsid w:val="004E393E"/>
    <w:rsid w:val="004E4D36"/>
    <w:rsid w:val="004E539F"/>
    <w:rsid w:val="004E65E3"/>
    <w:rsid w:val="004E66D2"/>
    <w:rsid w:val="004F0D42"/>
    <w:rsid w:val="004F160C"/>
    <w:rsid w:val="004F2F9B"/>
    <w:rsid w:val="004F3B28"/>
    <w:rsid w:val="004F5D3C"/>
    <w:rsid w:val="004F7E41"/>
    <w:rsid w:val="00500E78"/>
    <w:rsid w:val="005029F8"/>
    <w:rsid w:val="00502A2D"/>
    <w:rsid w:val="00502DFE"/>
    <w:rsid w:val="00506EA2"/>
    <w:rsid w:val="00507AC5"/>
    <w:rsid w:val="0051003C"/>
    <w:rsid w:val="00510828"/>
    <w:rsid w:val="00510BE5"/>
    <w:rsid w:val="005158E6"/>
    <w:rsid w:val="00516BCF"/>
    <w:rsid w:val="00517A90"/>
    <w:rsid w:val="0052070E"/>
    <w:rsid w:val="00520E6C"/>
    <w:rsid w:val="00520F0B"/>
    <w:rsid w:val="0052159E"/>
    <w:rsid w:val="0052234C"/>
    <w:rsid w:val="005227D7"/>
    <w:rsid w:val="00522B87"/>
    <w:rsid w:val="0052505A"/>
    <w:rsid w:val="00525681"/>
    <w:rsid w:val="00525CAC"/>
    <w:rsid w:val="0052641E"/>
    <w:rsid w:val="00526C4B"/>
    <w:rsid w:val="00527022"/>
    <w:rsid w:val="00527C41"/>
    <w:rsid w:val="00527DD8"/>
    <w:rsid w:val="0053033B"/>
    <w:rsid w:val="00530944"/>
    <w:rsid w:val="00532C81"/>
    <w:rsid w:val="00533E0B"/>
    <w:rsid w:val="00534A92"/>
    <w:rsid w:val="00535FB9"/>
    <w:rsid w:val="005365EC"/>
    <w:rsid w:val="005370AF"/>
    <w:rsid w:val="00541A9A"/>
    <w:rsid w:val="00541E77"/>
    <w:rsid w:val="00542C97"/>
    <w:rsid w:val="00543A73"/>
    <w:rsid w:val="005447DF"/>
    <w:rsid w:val="0054533F"/>
    <w:rsid w:val="00547BC5"/>
    <w:rsid w:val="005505C5"/>
    <w:rsid w:val="0055089A"/>
    <w:rsid w:val="005508D0"/>
    <w:rsid w:val="0055118C"/>
    <w:rsid w:val="00551D2E"/>
    <w:rsid w:val="0055304A"/>
    <w:rsid w:val="00553856"/>
    <w:rsid w:val="005558E3"/>
    <w:rsid w:val="00555FE8"/>
    <w:rsid w:val="0055665E"/>
    <w:rsid w:val="00556ED0"/>
    <w:rsid w:val="00557316"/>
    <w:rsid w:val="0056053C"/>
    <w:rsid w:val="0056104B"/>
    <w:rsid w:val="0056167F"/>
    <w:rsid w:val="005620E8"/>
    <w:rsid w:val="00567251"/>
    <w:rsid w:val="00572FAF"/>
    <w:rsid w:val="005734F6"/>
    <w:rsid w:val="00575441"/>
    <w:rsid w:val="00575578"/>
    <w:rsid w:val="00580A6A"/>
    <w:rsid w:val="00580D5C"/>
    <w:rsid w:val="00585354"/>
    <w:rsid w:val="00585FCF"/>
    <w:rsid w:val="005917E5"/>
    <w:rsid w:val="005922D5"/>
    <w:rsid w:val="005933B6"/>
    <w:rsid w:val="00593A98"/>
    <w:rsid w:val="005954CC"/>
    <w:rsid w:val="00597257"/>
    <w:rsid w:val="005A0935"/>
    <w:rsid w:val="005A2EAE"/>
    <w:rsid w:val="005A2FA8"/>
    <w:rsid w:val="005A442E"/>
    <w:rsid w:val="005A4CF6"/>
    <w:rsid w:val="005B46A8"/>
    <w:rsid w:val="005C061A"/>
    <w:rsid w:val="005C11A9"/>
    <w:rsid w:val="005C1F75"/>
    <w:rsid w:val="005C3844"/>
    <w:rsid w:val="005C40E0"/>
    <w:rsid w:val="005C4B70"/>
    <w:rsid w:val="005C6313"/>
    <w:rsid w:val="005C6366"/>
    <w:rsid w:val="005C6AD3"/>
    <w:rsid w:val="005C6EED"/>
    <w:rsid w:val="005C6FC9"/>
    <w:rsid w:val="005C7FC4"/>
    <w:rsid w:val="005D4ED6"/>
    <w:rsid w:val="005E1C4F"/>
    <w:rsid w:val="005E327D"/>
    <w:rsid w:val="005E33CB"/>
    <w:rsid w:val="005E3548"/>
    <w:rsid w:val="005E4262"/>
    <w:rsid w:val="005E47D3"/>
    <w:rsid w:val="005E5C6E"/>
    <w:rsid w:val="005E6730"/>
    <w:rsid w:val="005E6781"/>
    <w:rsid w:val="005E6CF6"/>
    <w:rsid w:val="005E72C2"/>
    <w:rsid w:val="005E77A9"/>
    <w:rsid w:val="005F0206"/>
    <w:rsid w:val="005F17EE"/>
    <w:rsid w:val="005F1CC8"/>
    <w:rsid w:val="005F449D"/>
    <w:rsid w:val="005F535C"/>
    <w:rsid w:val="005F5B88"/>
    <w:rsid w:val="005F5DF1"/>
    <w:rsid w:val="005F6A8E"/>
    <w:rsid w:val="005F7302"/>
    <w:rsid w:val="00600970"/>
    <w:rsid w:val="00604869"/>
    <w:rsid w:val="00604FD6"/>
    <w:rsid w:val="0060773D"/>
    <w:rsid w:val="00610BEC"/>
    <w:rsid w:val="006137DC"/>
    <w:rsid w:val="006148C9"/>
    <w:rsid w:val="0061545A"/>
    <w:rsid w:val="006159F0"/>
    <w:rsid w:val="00616718"/>
    <w:rsid w:val="00617348"/>
    <w:rsid w:val="0061770F"/>
    <w:rsid w:val="00620177"/>
    <w:rsid w:val="00620F3F"/>
    <w:rsid w:val="0062191C"/>
    <w:rsid w:val="00621E3A"/>
    <w:rsid w:val="00622497"/>
    <w:rsid w:val="006231B0"/>
    <w:rsid w:val="00627CDC"/>
    <w:rsid w:val="00630CF4"/>
    <w:rsid w:val="00631CEF"/>
    <w:rsid w:val="00632C36"/>
    <w:rsid w:val="006336F5"/>
    <w:rsid w:val="0063491C"/>
    <w:rsid w:val="00634A6F"/>
    <w:rsid w:val="00634AFA"/>
    <w:rsid w:val="00634B41"/>
    <w:rsid w:val="00634E6B"/>
    <w:rsid w:val="00641735"/>
    <w:rsid w:val="00644662"/>
    <w:rsid w:val="00644B0B"/>
    <w:rsid w:val="00644D2B"/>
    <w:rsid w:val="006458D4"/>
    <w:rsid w:val="00650A21"/>
    <w:rsid w:val="0065408C"/>
    <w:rsid w:val="006575E6"/>
    <w:rsid w:val="00660198"/>
    <w:rsid w:val="006603A5"/>
    <w:rsid w:val="00661998"/>
    <w:rsid w:val="006676E5"/>
    <w:rsid w:val="006701DA"/>
    <w:rsid w:val="00670287"/>
    <w:rsid w:val="0067077A"/>
    <w:rsid w:val="00673805"/>
    <w:rsid w:val="00673CB3"/>
    <w:rsid w:val="00674D85"/>
    <w:rsid w:val="006800B0"/>
    <w:rsid w:val="0068159E"/>
    <w:rsid w:val="00683164"/>
    <w:rsid w:val="006868A9"/>
    <w:rsid w:val="006878E8"/>
    <w:rsid w:val="00687F57"/>
    <w:rsid w:val="00694A10"/>
    <w:rsid w:val="00694C42"/>
    <w:rsid w:val="00695468"/>
    <w:rsid w:val="00695577"/>
    <w:rsid w:val="00696CD2"/>
    <w:rsid w:val="006A095C"/>
    <w:rsid w:val="006A4276"/>
    <w:rsid w:val="006A471B"/>
    <w:rsid w:val="006A6B6C"/>
    <w:rsid w:val="006B036A"/>
    <w:rsid w:val="006B20EF"/>
    <w:rsid w:val="006B5232"/>
    <w:rsid w:val="006B630F"/>
    <w:rsid w:val="006C105F"/>
    <w:rsid w:val="006C11C9"/>
    <w:rsid w:val="006C2006"/>
    <w:rsid w:val="006C2757"/>
    <w:rsid w:val="006C379A"/>
    <w:rsid w:val="006C3EF3"/>
    <w:rsid w:val="006C42BC"/>
    <w:rsid w:val="006C52F9"/>
    <w:rsid w:val="006C62BF"/>
    <w:rsid w:val="006C7150"/>
    <w:rsid w:val="006D08F4"/>
    <w:rsid w:val="006D140B"/>
    <w:rsid w:val="006D2D88"/>
    <w:rsid w:val="006D45BC"/>
    <w:rsid w:val="006D4745"/>
    <w:rsid w:val="006D6927"/>
    <w:rsid w:val="006E063B"/>
    <w:rsid w:val="006E27CD"/>
    <w:rsid w:val="006E4BAC"/>
    <w:rsid w:val="006E5944"/>
    <w:rsid w:val="006E701B"/>
    <w:rsid w:val="006E7A08"/>
    <w:rsid w:val="006F1B8A"/>
    <w:rsid w:val="006F1D8B"/>
    <w:rsid w:val="006F2DAB"/>
    <w:rsid w:val="00700033"/>
    <w:rsid w:val="007015CF"/>
    <w:rsid w:val="007036F3"/>
    <w:rsid w:val="007070BC"/>
    <w:rsid w:val="00710839"/>
    <w:rsid w:val="00717045"/>
    <w:rsid w:val="007174E6"/>
    <w:rsid w:val="00720EFA"/>
    <w:rsid w:val="0072125F"/>
    <w:rsid w:val="00722549"/>
    <w:rsid w:val="00722BD9"/>
    <w:rsid w:val="007264D6"/>
    <w:rsid w:val="00727498"/>
    <w:rsid w:val="00730C3B"/>
    <w:rsid w:val="0073102B"/>
    <w:rsid w:val="0073114B"/>
    <w:rsid w:val="0073450E"/>
    <w:rsid w:val="00735AA8"/>
    <w:rsid w:val="007361E6"/>
    <w:rsid w:val="007364AC"/>
    <w:rsid w:val="007435BC"/>
    <w:rsid w:val="00743680"/>
    <w:rsid w:val="007437E1"/>
    <w:rsid w:val="00743D50"/>
    <w:rsid w:val="00747EF4"/>
    <w:rsid w:val="007514FD"/>
    <w:rsid w:val="00753C27"/>
    <w:rsid w:val="00761115"/>
    <w:rsid w:val="0076237E"/>
    <w:rsid w:val="00762C4E"/>
    <w:rsid w:val="00763DD3"/>
    <w:rsid w:val="00763FA0"/>
    <w:rsid w:val="007710B0"/>
    <w:rsid w:val="0077407D"/>
    <w:rsid w:val="00774C8A"/>
    <w:rsid w:val="007758D0"/>
    <w:rsid w:val="00776353"/>
    <w:rsid w:val="00777095"/>
    <w:rsid w:val="00780DE7"/>
    <w:rsid w:val="00782226"/>
    <w:rsid w:val="007823BB"/>
    <w:rsid w:val="00782848"/>
    <w:rsid w:val="00782DDE"/>
    <w:rsid w:val="0078370D"/>
    <w:rsid w:val="007842C7"/>
    <w:rsid w:val="0078435B"/>
    <w:rsid w:val="007864AB"/>
    <w:rsid w:val="00787645"/>
    <w:rsid w:val="00791BF6"/>
    <w:rsid w:val="00793B10"/>
    <w:rsid w:val="00793ED2"/>
    <w:rsid w:val="00794F86"/>
    <w:rsid w:val="0079675D"/>
    <w:rsid w:val="00797F78"/>
    <w:rsid w:val="007A2ECB"/>
    <w:rsid w:val="007A48CB"/>
    <w:rsid w:val="007A4D91"/>
    <w:rsid w:val="007A6193"/>
    <w:rsid w:val="007B0062"/>
    <w:rsid w:val="007B0F75"/>
    <w:rsid w:val="007B16BA"/>
    <w:rsid w:val="007B3609"/>
    <w:rsid w:val="007B4E12"/>
    <w:rsid w:val="007B6068"/>
    <w:rsid w:val="007B6267"/>
    <w:rsid w:val="007B69C6"/>
    <w:rsid w:val="007B6CCF"/>
    <w:rsid w:val="007B738A"/>
    <w:rsid w:val="007B76A2"/>
    <w:rsid w:val="007C0098"/>
    <w:rsid w:val="007C01EB"/>
    <w:rsid w:val="007C0620"/>
    <w:rsid w:val="007C0A4B"/>
    <w:rsid w:val="007C0D87"/>
    <w:rsid w:val="007C1B65"/>
    <w:rsid w:val="007C52BB"/>
    <w:rsid w:val="007C5BE2"/>
    <w:rsid w:val="007C6701"/>
    <w:rsid w:val="007C7F95"/>
    <w:rsid w:val="007D269C"/>
    <w:rsid w:val="007D2E1A"/>
    <w:rsid w:val="007D3523"/>
    <w:rsid w:val="007D3ADF"/>
    <w:rsid w:val="007D3E17"/>
    <w:rsid w:val="007D422C"/>
    <w:rsid w:val="007E2864"/>
    <w:rsid w:val="007E3520"/>
    <w:rsid w:val="007E3CA1"/>
    <w:rsid w:val="007F258D"/>
    <w:rsid w:val="007F27BC"/>
    <w:rsid w:val="007F62C6"/>
    <w:rsid w:val="00801EDA"/>
    <w:rsid w:val="00801EFC"/>
    <w:rsid w:val="00804B4A"/>
    <w:rsid w:val="00807DF4"/>
    <w:rsid w:val="008109A3"/>
    <w:rsid w:val="00810D82"/>
    <w:rsid w:val="00811146"/>
    <w:rsid w:val="00813CCF"/>
    <w:rsid w:val="00816321"/>
    <w:rsid w:val="0081661B"/>
    <w:rsid w:val="00820F3C"/>
    <w:rsid w:val="008231AB"/>
    <w:rsid w:val="0082392B"/>
    <w:rsid w:val="008252C9"/>
    <w:rsid w:val="008343A7"/>
    <w:rsid w:val="00834B68"/>
    <w:rsid w:val="008354D8"/>
    <w:rsid w:val="00835C8C"/>
    <w:rsid w:val="00835E5E"/>
    <w:rsid w:val="00842A2C"/>
    <w:rsid w:val="00842B37"/>
    <w:rsid w:val="00843ADC"/>
    <w:rsid w:val="0084483C"/>
    <w:rsid w:val="00844D01"/>
    <w:rsid w:val="0084657F"/>
    <w:rsid w:val="008476B9"/>
    <w:rsid w:val="0085277A"/>
    <w:rsid w:val="0085356B"/>
    <w:rsid w:val="008617F8"/>
    <w:rsid w:val="00862EDA"/>
    <w:rsid w:val="00865BD1"/>
    <w:rsid w:val="00865EC6"/>
    <w:rsid w:val="00866E8C"/>
    <w:rsid w:val="008708B5"/>
    <w:rsid w:val="00870D5C"/>
    <w:rsid w:val="00871BC0"/>
    <w:rsid w:val="008737AB"/>
    <w:rsid w:val="00882ABB"/>
    <w:rsid w:val="00882AFD"/>
    <w:rsid w:val="00883C2B"/>
    <w:rsid w:val="008852CF"/>
    <w:rsid w:val="00885E82"/>
    <w:rsid w:val="00885EDE"/>
    <w:rsid w:val="00887A06"/>
    <w:rsid w:val="00891170"/>
    <w:rsid w:val="00891654"/>
    <w:rsid w:val="00892C63"/>
    <w:rsid w:val="008933CA"/>
    <w:rsid w:val="008945BE"/>
    <w:rsid w:val="00895C98"/>
    <w:rsid w:val="00897F2D"/>
    <w:rsid w:val="008A1FCF"/>
    <w:rsid w:val="008A4665"/>
    <w:rsid w:val="008A4CA2"/>
    <w:rsid w:val="008A4F75"/>
    <w:rsid w:val="008A6E0E"/>
    <w:rsid w:val="008A7245"/>
    <w:rsid w:val="008B0A99"/>
    <w:rsid w:val="008B0BE9"/>
    <w:rsid w:val="008B0F18"/>
    <w:rsid w:val="008B1D15"/>
    <w:rsid w:val="008B2B5D"/>
    <w:rsid w:val="008B3CA0"/>
    <w:rsid w:val="008B58EA"/>
    <w:rsid w:val="008B5E6E"/>
    <w:rsid w:val="008B7742"/>
    <w:rsid w:val="008C03C1"/>
    <w:rsid w:val="008C3956"/>
    <w:rsid w:val="008C55CC"/>
    <w:rsid w:val="008C6972"/>
    <w:rsid w:val="008C6BA2"/>
    <w:rsid w:val="008D4FE7"/>
    <w:rsid w:val="008D6E76"/>
    <w:rsid w:val="008E0373"/>
    <w:rsid w:val="008E0E5B"/>
    <w:rsid w:val="008E10AA"/>
    <w:rsid w:val="008E1F0C"/>
    <w:rsid w:val="008E2730"/>
    <w:rsid w:val="008E3374"/>
    <w:rsid w:val="008E4F58"/>
    <w:rsid w:val="008E54DE"/>
    <w:rsid w:val="008F06CB"/>
    <w:rsid w:val="008F194D"/>
    <w:rsid w:val="008F2F3A"/>
    <w:rsid w:val="008F3ADD"/>
    <w:rsid w:val="008F475B"/>
    <w:rsid w:val="008F4E69"/>
    <w:rsid w:val="008F5462"/>
    <w:rsid w:val="008F5792"/>
    <w:rsid w:val="008F59B6"/>
    <w:rsid w:val="00903C49"/>
    <w:rsid w:val="00911C8A"/>
    <w:rsid w:val="00913B8E"/>
    <w:rsid w:val="009148FB"/>
    <w:rsid w:val="0091532B"/>
    <w:rsid w:val="00916444"/>
    <w:rsid w:val="00917F38"/>
    <w:rsid w:val="00920360"/>
    <w:rsid w:val="00921B16"/>
    <w:rsid w:val="00922D02"/>
    <w:rsid w:val="0092690B"/>
    <w:rsid w:val="00930561"/>
    <w:rsid w:val="009318BC"/>
    <w:rsid w:val="0093268E"/>
    <w:rsid w:val="00933506"/>
    <w:rsid w:val="00934C84"/>
    <w:rsid w:val="009362C0"/>
    <w:rsid w:val="00936D30"/>
    <w:rsid w:val="0093700E"/>
    <w:rsid w:val="00941E86"/>
    <w:rsid w:val="00945282"/>
    <w:rsid w:val="00945D33"/>
    <w:rsid w:val="00946729"/>
    <w:rsid w:val="00950616"/>
    <w:rsid w:val="009529B1"/>
    <w:rsid w:val="00953D87"/>
    <w:rsid w:val="00953F3B"/>
    <w:rsid w:val="00956BEE"/>
    <w:rsid w:val="00962533"/>
    <w:rsid w:val="00962C12"/>
    <w:rsid w:val="00965614"/>
    <w:rsid w:val="0096621B"/>
    <w:rsid w:val="009702CC"/>
    <w:rsid w:val="009820AA"/>
    <w:rsid w:val="00983609"/>
    <w:rsid w:val="00984665"/>
    <w:rsid w:val="009900ED"/>
    <w:rsid w:val="00990245"/>
    <w:rsid w:val="00992912"/>
    <w:rsid w:val="0099463D"/>
    <w:rsid w:val="00994A46"/>
    <w:rsid w:val="00994FFA"/>
    <w:rsid w:val="009A03E9"/>
    <w:rsid w:val="009A20A4"/>
    <w:rsid w:val="009A2CFE"/>
    <w:rsid w:val="009A356C"/>
    <w:rsid w:val="009A3C80"/>
    <w:rsid w:val="009A4B46"/>
    <w:rsid w:val="009A6D2B"/>
    <w:rsid w:val="009A6E93"/>
    <w:rsid w:val="009B312D"/>
    <w:rsid w:val="009B4401"/>
    <w:rsid w:val="009C1451"/>
    <w:rsid w:val="009C1593"/>
    <w:rsid w:val="009C2447"/>
    <w:rsid w:val="009C2C8F"/>
    <w:rsid w:val="009C4343"/>
    <w:rsid w:val="009C498D"/>
    <w:rsid w:val="009C639E"/>
    <w:rsid w:val="009C65E1"/>
    <w:rsid w:val="009C6925"/>
    <w:rsid w:val="009C7450"/>
    <w:rsid w:val="009D10C7"/>
    <w:rsid w:val="009D3FAB"/>
    <w:rsid w:val="009D5303"/>
    <w:rsid w:val="009D5F7E"/>
    <w:rsid w:val="009D6490"/>
    <w:rsid w:val="009D6547"/>
    <w:rsid w:val="009D7402"/>
    <w:rsid w:val="009E1DB2"/>
    <w:rsid w:val="009E475B"/>
    <w:rsid w:val="009E66EE"/>
    <w:rsid w:val="009E6FE9"/>
    <w:rsid w:val="009F1174"/>
    <w:rsid w:val="009F264F"/>
    <w:rsid w:val="009F3AF9"/>
    <w:rsid w:val="009F4186"/>
    <w:rsid w:val="009F5C7D"/>
    <w:rsid w:val="009F70CA"/>
    <w:rsid w:val="00A000E5"/>
    <w:rsid w:val="00A0083C"/>
    <w:rsid w:val="00A01011"/>
    <w:rsid w:val="00A02050"/>
    <w:rsid w:val="00A04B9D"/>
    <w:rsid w:val="00A0528A"/>
    <w:rsid w:val="00A057AC"/>
    <w:rsid w:val="00A05AB4"/>
    <w:rsid w:val="00A0698E"/>
    <w:rsid w:val="00A06CEF"/>
    <w:rsid w:val="00A10EA0"/>
    <w:rsid w:val="00A11036"/>
    <w:rsid w:val="00A11A77"/>
    <w:rsid w:val="00A1374E"/>
    <w:rsid w:val="00A13C66"/>
    <w:rsid w:val="00A16665"/>
    <w:rsid w:val="00A209F0"/>
    <w:rsid w:val="00A2153E"/>
    <w:rsid w:val="00A25A56"/>
    <w:rsid w:val="00A26011"/>
    <w:rsid w:val="00A2602A"/>
    <w:rsid w:val="00A26D90"/>
    <w:rsid w:val="00A302E7"/>
    <w:rsid w:val="00A3051E"/>
    <w:rsid w:val="00A31C85"/>
    <w:rsid w:val="00A32C84"/>
    <w:rsid w:val="00A33479"/>
    <w:rsid w:val="00A3531B"/>
    <w:rsid w:val="00A35D55"/>
    <w:rsid w:val="00A3773E"/>
    <w:rsid w:val="00A42C00"/>
    <w:rsid w:val="00A438B0"/>
    <w:rsid w:val="00A444A6"/>
    <w:rsid w:val="00A461C8"/>
    <w:rsid w:val="00A4657E"/>
    <w:rsid w:val="00A46C7A"/>
    <w:rsid w:val="00A46F86"/>
    <w:rsid w:val="00A47BD6"/>
    <w:rsid w:val="00A52D86"/>
    <w:rsid w:val="00A546A9"/>
    <w:rsid w:val="00A623FF"/>
    <w:rsid w:val="00A62D88"/>
    <w:rsid w:val="00A645CB"/>
    <w:rsid w:val="00A64AB7"/>
    <w:rsid w:val="00A64D9E"/>
    <w:rsid w:val="00A6508D"/>
    <w:rsid w:val="00A67ABF"/>
    <w:rsid w:val="00A71624"/>
    <w:rsid w:val="00A720E1"/>
    <w:rsid w:val="00A726E7"/>
    <w:rsid w:val="00A758C9"/>
    <w:rsid w:val="00A758DA"/>
    <w:rsid w:val="00A7642D"/>
    <w:rsid w:val="00A77D59"/>
    <w:rsid w:val="00A803AE"/>
    <w:rsid w:val="00A81CFC"/>
    <w:rsid w:val="00A82806"/>
    <w:rsid w:val="00A84EA9"/>
    <w:rsid w:val="00A8594C"/>
    <w:rsid w:val="00A8699C"/>
    <w:rsid w:val="00A9067D"/>
    <w:rsid w:val="00A963BC"/>
    <w:rsid w:val="00A97938"/>
    <w:rsid w:val="00AA2311"/>
    <w:rsid w:val="00AA3F52"/>
    <w:rsid w:val="00AA45DA"/>
    <w:rsid w:val="00AA5571"/>
    <w:rsid w:val="00AA56FC"/>
    <w:rsid w:val="00AB2F56"/>
    <w:rsid w:val="00AB4758"/>
    <w:rsid w:val="00AB4F69"/>
    <w:rsid w:val="00AB611E"/>
    <w:rsid w:val="00AC2A81"/>
    <w:rsid w:val="00AC31F5"/>
    <w:rsid w:val="00AC4C2F"/>
    <w:rsid w:val="00AC60B8"/>
    <w:rsid w:val="00AC6F9E"/>
    <w:rsid w:val="00AC7E5E"/>
    <w:rsid w:val="00AD02DE"/>
    <w:rsid w:val="00AD2961"/>
    <w:rsid w:val="00AD43E0"/>
    <w:rsid w:val="00AD6978"/>
    <w:rsid w:val="00AD7D28"/>
    <w:rsid w:val="00AD7F1C"/>
    <w:rsid w:val="00AE1B13"/>
    <w:rsid w:val="00AE476E"/>
    <w:rsid w:val="00AE59AC"/>
    <w:rsid w:val="00AE59B8"/>
    <w:rsid w:val="00AE60EE"/>
    <w:rsid w:val="00AE6625"/>
    <w:rsid w:val="00AE6F5B"/>
    <w:rsid w:val="00AF0A02"/>
    <w:rsid w:val="00AF1CEF"/>
    <w:rsid w:val="00AF2A5A"/>
    <w:rsid w:val="00AF37E7"/>
    <w:rsid w:val="00AF3822"/>
    <w:rsid w:val="00AF44F4"/>
    <w:rsid w:val="00AF66E5"/>
    <w:rsid w:val="00AF7308"/>
    <w:rsid w:val="00B007C0"/>
    <w:rsid w:val="00B00853"/>
    <w:rsid w:val="00B03BFC"/>
    <w:rsid w:val="00B045DE"/>
    <w:rsid w:val="00B04F48"/>
    <w:rsid w:val="00B0533E"/>
    <w:rsid w:val="00B0660C"/>
    <w:rsid w:val="00B0729B"/>
    <w:rsid w:val="00B07F04"/>
    <w:rsid w:val="00B1087A"/>
    <w:rsid w:val="00B1529D"/>
    <w:rsid w:val="00B1532A"/>
    <w:rsid w:val="00B1623C"/>
    <w:rsid w:val="00B16AAD"/>
    <w:rsid w:val="00B16BB4"/>
    <w:rsid w:val="00B201D9"/>
    <w:rsid w:val="00B214D5"/>
    <w:rsid w:val="00B238FF"/>
    <w:rsid w:val="00B24010"/>
    <w:rsid w:val="00B263F6"/>
    <w:rsid w:val="00B26816"/>
    <w:rsid w:val="00B303FC"/>
    <w:rsid w:val="00B30B9C"/>
    <w:rsid w:val="00B3439A"/>
    <w:rsid w:val="00B348FB"/>
    <w:rsid w:val="00B367B5"/>
    <w:rsid w:val="00B407DB"/>
    <w:rsid w:val="00B43676"/>
    <w:rsid w:val="00B466A8"/>
    <w:rsid w:val="00B467F9"/>
    <w:rsid w:val="00B53AE8"/>
    <w:rsid w:val="00B54F33"/>
    <w:rsid w:val="00B55559"/>
    <w:rsid w:val="00B563E9"/>
    <w:rsid w:val="00B56D1F"/>
    <w:rsid w:val="00B57732"/>
    <w:rsid w:val="00B6110D"/>
    <w:rsid w:val="00B61597"/>
    <w:rsid w:val="00B618B1"/>
    <w:rsid w:val="00B61928"/>
    <w:rsid w:val="00B647EA"/>
    <w:rsid w:val="00B70955"/>
    <w:rsid w:val="00B725F4"/>
    <w:rsid w:val="00B72FA3"/>
    <w:rsid w:val="00B740B9"/>
    <w:rsid w:val="00B76D45"/>
    <w:rsid w:val="00B779A1"/>
    <w:rsid w:val="00B82460"/>
    <w:rsid w:val="00B825B9"/>
    <w:rsid w:val="00B82C40"/>
    <w:rsid w:val="00B86520"/>
    <w:rsid w:val="00B874B0"/>
    <w:rsid w:val="00B87806"/>
    <w:rsid w:val="00B90625"/>
    <w:rsid w:val="00B90A02"/>
    <w:rsid w:val="00B91C3F"/>
    <w:rsid w:val="00B92D16"/>
    <w:rsid w:val="00B93803"/>
    <w:rsid w:val="00B962E7"/>
    <w:rsid w:val="00BA5F22"/>
    <w:rsid w:val="00BA6095"/>
    <w:rsid w:val="00BB1035"/>
    <w:rsid w:val="00BB13F4"/>
    <w:rsid w:val="00BB2245"/>
    <w:rsid w:val="00BB62A8"/>
    <w:rsid w:val="00BB67A2"/>
    <w:rsid w:val="00BB6B92"/>
    <w:rsid w:val="00BC0431"/>
    <w:rsid w:val="00BC0A1E"/>
    <w:rsid w:val="00BC2AEA"/>
    <w:rsid w:val="00BC4A30"/>
    <w:rsid w:val="00BC7D4A"/>
    <w:rsid w:val="00BC7FF4"/>
    <w:rsid w:val="00BD0C30"/>
    <w:rsid w:val="00BD1EEA"/>
    <w:rsid w:val="00BD2CED"/>
    <w:rsid w:val="00BD5716"/>
    <w:rsid w:val="00BD57D6"/>
    <w:rsid w:val="00BD65D3"/>
    <w:rsid w:val="00BD668B"/>
    <w:rsid w:val="00BD7C6F"/>
    <w:rsid w:val="00BE00CD"/>
    <w:rsid w:val="00BE0258"/>
    <w:rsid w:val="00BE3024"/>
    <w:rsid w:val="00BE405E"/>
    <w:rsid w:val="00BF01CF"/>
    <w:rsid w:val="00BF1224"/>
    <w:rsid w:val="00BF204E"/>
    <w:rsid w:val="00BF329D"/>
    <w:rsid w:val="00BF41A5"/>
    <w:rsid w:val="00BF5B99"/>
    <w:rsid w:val="00BF6323"/>
    <w:rsid w:val="00BF76FF"/>
    <w:rsid w:val="00C04F78"/>
    <w:rsid w:val="00C1005E"/>
    <w:rsid w:val="00C11EC8"/>
    <w:rsid w:val="00C14220"/>
    <w:rsid w:val="00C203B4"/>
    <w:rsid w:val="00C2053E"/>
    <w:rsid w:val="00C243E6"/>
    <w:rsid w:val="00C24781"/>
    <w:rsid w:val="00C30745"/>
    <w:rsid w:val="00C31158"/>
    <w:rsid w:val="00C34721"/>
    <w:rsid w:val="00C3657A"/>
    <w:rsid w:val="00C37AAA"/>
    <w:rsid w:val="00C41ED8"/>
    <w:rsid w:val="00C44CD7"/>
    <w:rsid w:val="00C463E2"/>
    <w:rsid w:val="00C4693A"/>
    <w:rsid w:val="00C53075"/>
    <w:rsid w:val="00C53D74"/>
    <w:rsid w:val="00C54B90"/>
    <w:rsid w:val="00C573CA"/>
    <w:rsid w:val="00C603E1"/>
    <w:rsid w:val="00C62033"/>
    <w:rsid w:val="00C622ED"/>
    <w:rsid w:val="00C62EA5"/>
    <w:rsid w:val="00C62EC5"/>
    <w:rsid w:val="00C6432B"/>
    <w:rsid w:val="00C64A27"/>
    <w:rsid w:val="00C65697"/>
    <w:rsid w:val="00C6673A"/>
    <w:rsid w:val="00C67236"/>
    <w:rsid w:val="00C70418"/>
    <w:rsid w:val="00C71006"/>
    <w:rsid w:val="00C7109D"/>
    <w:rsid w:val="00C73DF1"/>
    <w:rsid w:val="00C7579A"/>
    <w:rsid w:val="00C75FF5"/>
    <w:rsid w:val="00C76B2A"/>
    <w:rsid w:val="00C76E1C"/>
    <w:rsid w:val="00C80749"/>
    <w:rsid w:val="00C8124E"/>
    <w:rsid w:val="00C81701"/>
    <w:rsid w:val="00C81F51"/>
    <w:rsid w:val="00C825E5"/>
    <w:rsid w:val="00C82D1C"/>
    <w:rsid w:val="00C83DDA"/>
    <w:rsid w:val="00C8549F"/>
    <w:rsid w:val="00C85C75"/>
    <w:rsid w:val="00C876F4"/>
    <w:rsid w:val="00C9281E"/>
    <w:rsid w:val="00C9534E"/>
    <w:rsid w:val="00C95F91"/>
    <w:rsid w:val="00C964D9"/>
    <w:rsid w:val="00CA3AEB"/>
    <w:rsid w:val="00CA57B1"/>
    <w:rsid w:val="00CA6FB3"/>
    <w:rsid w:val="00CA7F01"/>
    <w:rsid w:val="00CB27EC"/>
    <w:rsid w:val="00CB31FB"/>
    <w:rsid w:val="00CB51B0"/>
    <w:rsid w:val="00CB7352"/>
    <w:rsid w:val="00CB7854"/>
    <w:rsid w:val="00CC01B3"/>
    <w:rsid w:val="00CC08F4"/>
    <w:rsid w:val="00CC1D06"/>
    <w:rsid w:val="00CC3A5C"/>
    <w:rsid w:val="00CC4069"/>
    <w:rsid w:val="00CC4AD7"/>
    <w:rsid w:val="00CC5F5A"/>
    <w:rsid w:val="00CD0C5F"/>
    <w:rsid w:val="00CD486F"/>
    <w:rsid w:val="00CD65EF"/>
    <w:rsid w:val="00CD7E21"/>
    <w:rsid w:val="00CE06B3"/>
    <w:rsid w:val="00CE072C"/>
    <w:rsid w:val="00CE0757"/>
    <w:rsid w:val="00CE27B1"/>
    <w:rsid w:val="00CE291B"/>
    <w:rsid w:val="00CE46ED"/>
    <w:rsid w:val="00CE4862"/>
    <w:rsid w:val="00CF2F8F"/>
    <w:rsid w:val="00CF476C"/>
    <w:rsid w:val="00CF4B06"/>
    <w:rsid w:val="00CF510B"/>
    <w:rsid w:val="00D000AD"/>
    <w:rsid w:val="00D01E97"/>
    <w:rsid w:val="00D02A9A"/>
    <w:rsid w:val="00D05630"/>
    <w:rsid w:val="00D05D7E"/>
    <w:rsid w:val="00D07231"/>
    <w:rsid w:val="00D10003"/>
    <w:rsid w:val="00D13A80"/>
    <w:rsid w:val="00D17BB7"/>
    <w:rsid w:val="00D17DEC"/>
    <w:rsid w:val="00D20DEB"/>
    <w:rsid w:val="00D2406E"/>
    <w:rsid w:val="00D262A4"/>
    <w:rsid w:val="00D26C09"/>
    <w:rsid w:val="00D30FAA"/>
    <w:rsid w:val="00D31133"/>
    <w:rsid w:val="00D319A1"/>
    <w:rsid w:val="00D327EF"/>
    <w:rsid w:val="00D32DCB"/>
    <w:rsid w:val="00D33D6A"/>
    <w:rsid w:val="00D37DCA"/>
    <w:rsid w:val="00D37F6A"/>
    <w:rsid w:val="00D404B4"/>
    <w:rsid w:val="00D43780"/>
    <w:rsid w:val="00D4579B"/>
    <w:rsid w:val="00D465E4"/>
    <w:rsid w:val="00D4734E"/>
    <w:rsid w:val="00D505C7"/>
    <w:rsid w:val="00D50D56"/>
    <w:rsid w:val="00D52E2D"/>
    <w:rsid w:val="00D60657"/>
    <w:rsid w:val="00D617AA"/>
    <w:rsid w:val="00D6496B"/>
    <w:rsid w:val="00D64F3C"/>
    <w:rsid w:val="00D67B63"/>
    <w:rsid w:val="00D71007"/>
    <w:rsid w:val="00D71BD3"/>
    <w:rsid w:val="00D7222E"/>
    <w:rsid w:val="00D72F00"/>
    <w:rsid w:val="00D7328B"/>
    <w:rsid w:val="00D738AF"/>
    <w:rsid w:val="00D73EA4"/>
    <w:rsid w:val="00D752A9"/>
    <w:rsid w:val="00D7727F"/>
    <w:rsid w:val="00D80C00"/>
    <w:rsid w:val="00D82E15"/>
    <w:rsid w:val="00D842E0"/>
    <w:rsid w:val="00D845F9"/>
    <w:rsid w:val="00D849FD"/>
    <w:rsid w:val="00D84C6A"/>
    <w:rsid w:val="00D8586F"/>
    <w:rsid w:val="00D86B7A"/>
    <w:rsid w:val="00D87AA3"/>
    <w:rsid w:val="00D909EE"/>
    <w:rsid w:val="00D91EF5"/>
    <w:rsid w:val="00D925BE"/>
    <w:rsid w:val="00D95E4C"/>
    <w:rsid w:val="00D96551"/>
    <w:rsid w:val="00D96C49"/>
    <w:rsid w:val="00D9715E"/>
    <w:rsid w:val="00D977FB"/>
    <w:rsid w:val="00D97F31"/>
    <w:rsid w:val="00DA3A3A"/>
    <w:rsid w:val="00DA3F4D"/>
    <w:rsid w:val="00DB419B"/>
    <w:rsid w:val="00DB6F29"/>
    <w:rsid w:val="00DB72C0"/>
    <w:rsid w:val="00DC067F"/>
    <w:rsid w:val="00DC3336"/>
    <w:rsid w:val="00DC3C2B"/>
    <w:rsid w:val="00DC6DEF"/>
    <w:rsid w:val="00DC6EA6"/>
    <w:rsid w:val="00DD0F76"/>
    <w:rsid w:val="00DD2385"/>
    <w:rsid w:val="00DD308A"/>
    <w:rsid w:val="00DD4B0A"/>
    <w:rsid w:val="00DD52B2"/>
    <w:rsid w:val="00DD56F6"/>
    <w:rsid w:val="00DD5AEC"/>
    <w:rsid w:val="00DD6BDC"/>
    <w:rsid w:val="00DE6149"/>
    <w:rsid w:val="00DF0D81"/>
    <w:rsid w:val="00DF13B2"/>
    <w:rsid w:val="00DF1497"/>
    <w:rsid w:val="00DF178D"/>
    <w:rsid w:val="00DF3122"/>
    <w:rsid w:val="00DF3A79"/>
    <w:rsid w:val="00DF4138"/>
    <w:rsid w:val="00DF42F4"/>
    <w:rsid w:val="00DF4A44"/>
    <w:rsid w:val="00DF4CB9"/>
    <w:rsid w:val="00DF5CA6"/>
    <w:rsid w:val="00E02C8B"/>
    <w:rsid w:val="00E043BC"/>
    <w:rsid w:val="00E06AA3"/>
    <w:rsid w:val="00E06DA4"/>
    <w:rsid w:val="00E131FB"/>
    <w:rsid w:val="00E1662F"/>
    <w:rsid w:val="00E1753B"/>
    <w:rsid w:val="00E17FD0"/>
    <w:rsid w:val="00E20983"/>
    <w:rsid w:val="00E20ABB"/>
    <w:rsid w:val="00E212CE"/>
    <w:rsid w:val="00E2355A"/>
    <w:rsid w:val="00E23EB4"/>
    <w:rsid w:val="00E259D2"/>
    <w:rsid w:val="00E25AFF"/>
    <w:rsid w:val="00E27747"/>
    <w:rsid w:val="00E330FA"/>
    <w:rsid w:val="00E352A3"/>
    <w:rsid w:val="00E358D4"/>
    <w:rsid w:val="00E36122"/>
    <w:rsid w:val="00E40AA7"/>
    <w:rsid w:val="00E42304"/>
    <w:rsid w:val="00E43E06"/>
    <w:rsid w:val="00E45EAB"/>
    <w:rsid w:val="00E46EF3"/>
    <w:rsid w:val="00E472EA"/>
    <w:rsid w:val="00E50011"/>
    <w:rsid w:val="00E56B47"/>
    <w:rsid w:val="00E578C6"/>
    <w:rsid w:val="00E6223A"/>
    <w:rsid w:val="00E62CB9"/>
    <w:rsid w:val="00E65B75"/>
    <w:rsid w:val="00E66908"/>
    <w:rsid w:val="00E720D9"/>
    <w:rsid w:val="00E7283A"/>
    <w:rsid w:val="00E72941"/>
    <w:rsid w:val="00E7423F"/>
    <w:rsid w:val="00E75C15"/>
    <w:rsid w:val="00E760B2"/>
    <w:rsid w:val="00E76C5B"/>
    <w:rsid w:val="00E820A7"/>
    <w:rsid w:val="00E86300"/>
    <w:rsid w:val="00E86AC3"/>
    <w:rsid w:val="00E87927"/>
    <w:rsid w:val="00E90998"/>
    <w:rsid w:val="00E91273"/>
    <w:rsid w:val="00E922F5"/>
    <w:rsid w:val="00E92A45"/>
    <w:rsid w:val="00E93B9D"/>
    <w:rsid w:val="00E93EFB"/>
    <w:rsid w:val="00E9721F"/>
    <w:rsid w:val="00EA0541"/>
    <w:rsid w:val="00EA063F"/>
    <w:rsid w:val="00EA1559"/>
    <w:rsid w:val="00EA24FC"/>
    <w:rsid w:val="00EA2E9F"/>
    <w:rsid w:val="00EA457A"/>
    <w:rsid w:val="00EB07F4"/>
    <w:rsid w:val="00EB3730"/>
    <w:rsid w:val="00EB4059"/>
    <w:rsid w:val="00EB4BB0"/>
    <w:rsid w:val="00EB5B8D"/>
    <w:rsid w:val="00EB79F7"/>
    <w:rsid w:val="00EC1A0E"/>
    <w:rsid w:val="00EC26CF"/>
    <w:rsid w:val="00EC388C"/>
    <w:rsid w:val="00EC3E55"/>
    <w:rsid w:val="00ED4DCC"/>
    <w:rsid w:val="00ED4DEA"/>
    <w:rsid w:val="00ED5722"/>
    <w:rsid w:val="00ED653B"/>
    <w:rsid w:val="00ED7683"/>
    <w:rsid w:val="00EE03EF"/>
    <w:rsid w:val="00EE0ACA"/>
    <w:rsid w:val="00EE2776"/>
    <w:rsid w:val="00EE2CD1"/>
    <w:rsid w:val="00EE589A"/>
    <w:rsid w:val="00EE61E8"/>
    <w:rsid w:val="00EF3BB2"/>
    <w:rsid w:val="00EF706B"/>
    <w:rsid w:val="00F00349"/>
    <w:rsid w:val="00F00536"/>
    <w:rsid w:val="00F0509E"/>
    <w:rsid w:val="00F06A2E"/>
    <w:rsid w:val="00F06ECD"/>
    <w:rsid w:val="00F07D6C"/>
    <w:rsid w:val="00F07DA6"/>
    <w:rsid w:val="00F110B5"/>
    <w:rsid w:val="00F1244E"/>
    <w:rsid w:val="00F1319C"/>
    <w:rsid w:val="00F22DBB"/>
    <w:rsid w:val="00F25F58"/>
    <w:rsid w:val="00F26290"/>
    <w:rsid w:val="00F2703B"/>
    <w:rsid w:val="00F31FC3"/>
    <w:rsid w:val="00F333A7"/>
    <w:rsid w:val="00F33F91"/>
    <w:rsid w:val="00F35049"/>
    <w:rsid w:val="00F36131"/>
    <w:rsid w:val="00F3656D"/>
    <w:rsid w:val="00F4071F"/>
    <w:rsid w:val="00F40BD5"/>
    <w:rsid w:val="00F41717"/>
    <w:rsid w:val="00F42846"/>
    <w:rsid w:val="00F45264"/>
    <w:rsid w:val="00F45905"/>
    <w:rsid w:val="00F465C9"/>
    <w:rsid w:val="00F472C8"/>
    <w:rsid w:val="00F51E2A"/>
    <w:rsid w:val="00F524EF"/>
    <w:rsid w:val="00F55C05"/>
    <w:rsid w:val="00F5799B"/>
    <w:rsid w:val="00F601C2"/>
    <w:rsid w:val="00F60629"/>
    <w:rsid w:val="00F60C72"/>
    <w:rsid w:val="00F61060"/>
    <w:rsid w:val="00F62BE1"/>
    <w:rsid w:val="00F63441"/>
    <w:rsid w:val="00F63A99"/>
    <w:rsid w:val="00F63B7F"/>
    <w:rsid w:val="00F6531A"/>
    <w:rsid w:val="00F66191"/>
    <w:rsid w:val="00F718E3"/>
    <w:rsid w:val="00F71F4C"/>
    <w:rsid w:val="00F71FBE"/>
    <w:rsid w:val="00F72983"/>
    <w:rsid w:val="00F729C3"/>
    <w:rsid w:val="00F7474C"/>
    <w:rsid w:val="00F760A0"/>
    <w:rsid w:val="00F76862"/>
    <w:rsid w:val="00F80F61"/>
    <w:rsid w:val="00F843E1"/>
    <w:rsid w:val="00F851F1"/>
    <w:rsid w:val="00F8576F"/>
    <w:rsid w:val="00F86A25"/>
    <w:rsid w:val="00F86FDA"/>
    <w:rsid w:val="00F87D4B"/>
    <w:rsid w:val="00F92197"/>
    <w:rsid w:val="00F96034"/>
    <w:rsid w:val="00F96155"/>
    <w:rsid w:val="00FA3E84"/>
    <w:rsid w:val="00FA5995"/>
    <w:rsid w:val="00FB1AB6"/>
    <w:rsid w:val="00FB1BC7"/>
    <w:rsid w:val="00FB4B27"/>
    <w:rsid w:val="00FB5B9D"/>
    <w:rsid w:val="00FB6178"/>
    <w:rsid w:val="00FB644E"/>
    <w:rsid w:val="00FC0203"/>
    <w:rsid w:val="00FC0FE5"/>
    <w:rsid w:val="00FC1794"/>
    <w:rsid w:val="00FC1DDE"/>
    <w:rsid w:val="00FC2667"/>
    <w:rsid w:val="00FC48C9"/>
    <w:rsid w:val="00FC7582"/>
    <w:rsid w:val="00FC7C02"/>
    <w:rsid w:val="00FD0D7D"/>
    <w:rsid w:val="00FD18D0"/>
    <w:rsid w:val="00FD2603"/>
    <w:rsid w:val="00FD3449"/>
    <w:rsid w:val="00FD5748"/>
    <w:rsid w:val="00FD5FC3"/>
    <w:rsid w:val="00FD690A"/>
    <w:rsid w:val="00FE15C2"/>
    <w:rsid w:val="00FE31E9"/>
    <w:rsid w:val="00FE55A7"/>
    <w:rsid w:val="00FE7545"/>
    <w:rsid w:val="00FF3343"/>
    <w:rsid w:val="00FF3AB1"/>
    <w:rsid w:val="00FF44C1"/>
    <w:rsid w:val="00FF50CD"/>
    <w:rsid w:val="00FF511C"/>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A3B82"/>
  <w15:chartTrackingRefBased/>
  <w15:docId w15:val="{54FF2CA3-484A-4D80-B10D-9101908E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3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35C"/>
    <w:rPr>
      <w:color w:val="0000FF"/>
      <w:u w:val="single"/>
    </w:rPr>
  </w:style>
  <w:style w:type="character" w:styleId="PlaceholderText">
    <w:name w:val="Placeholder Text"/>
    <w:uiPriority w:val="99"/>
    <w:semiHidden/>
    <w:rsid w:val="005F535C"/>
    <w:rPr>
      <w:color w:val="808080"/>
    </w:rPr>
  </w:style>
  <w:style w:type="paragraph" w:styleId="BalloonText">
    <w:name w:val="Balloon Text"/>
    <w:basedOn w:val="Normal"/>
    <w:link w:val="BalloonTextChar"/>
    <w:uiPriority w:val="99"/>
    <w:semiHidden/>
    <w:unhideWhenUsed/>
    <w:rsid w:val="005F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5C"/>
    <w:rPr>
      <w:rFonts w:ascii="Tahoma" w:eastAsia="Calibri" w:hAnsi="Tahoma" w:cs="Tahoma"/>
      <w:sz w:val="16"/>
      <w:szCs w:val="16"/>
    </w:rPr>
  </w:style>
  <w:style w:type="character" w:styleId="CommentReference">
    <w:name w:val="annotation reference"/>
    <w:uiPriority w:val="99"/>
    <w:semiHidden/>
    <w:unhideWhenUsed/>
    <w:rsid w:val="005F535C"/>
    <w:rPr>
      <w:sz w:val="16"/>
      <w:szCs w:val="16"/>
    </w:rPr>
  </w:style>
  <w:style w:type="paragraph" w:styleId="CommentText">
    <w:name w:val="annotation text"/>
    <w:basedOn w:val="Normal"/>
    <w:link w:val="CommentTextChar"/>
    <w:uiPriority w:val="99"/>
    <w:unhideWhenUsed/>
    <w:rsid w:val="005F535C"/>
    <w:pPr>
      <w:spacing w:line="240" w:lineRule="auto"/>
    </w:pPr>
    <w:rPr>
      <w:sz w:val="20"/>
      <w:szCs w:val="20"/>
    </w:rPr>
  </w:style>
  <w:style w:type="character" w:customStyle="1" w:styleId="CommentTextChar">
    <w:name w:val="Comment Text Char"/>
    <w:basedOn w:val="DefaultParagraphFont"/>
    <w:link w:val="CommentText"/>
    <w:uiPriority w:val="99"/>
    <w:rsid w:val="005F53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535C"/>
    <w:rPr>
      <w:b/>
      <w:bCs/>
    </w:rPr>
  </w:style>
  <w:style w:type="character" w:customStyle="1" w:styleId="CommentSubjectChar">
    <w:name w:val="Comment Subject Char"/>
    <w:basedOn w:val="CommentTextChar"/>
    <w:link w:val="CommentSubject"/>
    <w:uiPriority w:val="99"/>
    <w:semiHidden/>
    <w:rsid w:val="005F535C"/>
    <w:rPr>
      <w:rFonts w:ascii="Calibri" w:eastAsia="Calibri" w:hAnsi="Calibri" w:cs="Times New Roman"/>
      <w:b/>
      <w:bCs/>
      <w:sz w:val="20"/>
      <w:szCs w:val="20"/>
    </w:rPr>
  </w:style>
  <w:style w:type="paragraph" w:styleId="ListParagraph">
    <w:name w:val="List Paragraph"/>
    <w:basedOn w:val="Normal"/>
    <w:uiPriority w:val="34"/>
    <w:qFormat/>
    <w:rsid w:val="005F535C"/>
    <w:pPr>
      <w:ind w:left="720"/>
      <w:contextualSpacing/>
    </w:pPr>
  </w:style>
  <w:style w:type="table" w:styleId="TableGrid">
    <w:name w:val="Table Grid"/>
    <w:basedOn w:val="TableNormal"/>
    <w:uiPriority w:val="59"/>
    <w:rsid w:val="005F53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35C"/>
    <w:rPr>
      <w:rFonts w:ascii="Calibri" w:eastAsia="Calibri" w:hAnsi="Calibri" w:cs="Times New Roman"/>
    </w:rPr>
  </w:style>
  <w:style w:type="paragraph" w:styleId="Footer">
    <w:name w:val="footer"/>
    <w:basedOn w:val="Normal"/>
    <w:link w:val="FooterChar"/>
    <w:uiPriority w:val="99"/>
    <w:unhideWhenUsed/>
    <w:rsid w:val="005F5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35C"/>
    <w:rPr>
      <w:rFonts w:ascii="Calibri" w:eastAsia="Calibri" w:hAnsi="Calibri" w:cs="Times New Roman"/>
    </w:rPr>
  </w:style>
  <w:style w:type="paragraph" w:styleId="NormalWeb">
    <w:name w:val="Normal (Web)"/>
    <w:basedOn w:val="Normal"/>
    <w:uiPriority w:val="99"/>
    <w:unhideWhenUsed/>
    <w:rsid w:val="005F535C"/>
    <w:pPr>
      <w:spacing w:before="100" w:beforeAutospacing="1" w:after="100" w:afterAutospacing="1" w:line="240" w:lineRule="auto"/>
    </w:pPr>
    <w:rPr>
      <w:rFonts w:ascii="Times New Roman" w:eastAsia="Times New Roman" w:hAnsi="Times New Roman"/>
      <w:sz w:val="24"/>
      <w:szCs w:val="24"/>
    </w:rPr>
  </w:style>
  <w:style w:type="character" w:customStyle="1" w:styleId="reference-text">
    <w:name w:val="reference-text"/>
    <w:basedOn w:val="DefaultParagraphFont"/>
    <w:rsid w:val="005F535C"/>
  </w:style>
  <w:style w:type="character" w:customStyle="1" w:styleId="citation">
    <w:name w:val="citation"/>
    <w:basedOn w:val="DefaultParagraphFont"/>
    <w:rsid w:val="005F535C"/>
  </w:style>
  <w:style w:type="character" w:customStyle="1" w:styleId="apple-converted-space">
    <w:name w:val="apple-converted-space"/>
    <w:basedOn w:val="DefaultParagraphFont"/>
    <w:rsid w:val="005F535C"/>
  </w:style>
  <w:style w:type="paragraph" w:styleId="Revision">
    <w:name w:val="Revision"/>
    <w:hidden/>
    <w:uiPriority w:val="99"/>
    <w:semiHidden/>
    <w:rsid w:val="005F535C"/>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5F535C"/>
  </w:style>
  <w:style w:type="table" w:customStyle="1" w:styleId="TableGrid1">
    <w:name w:val="Table Grid1"/>
    <w:basedOn w:val="TableNormal"/>
    <w:next w:val="TableGrid"/>
    <w:uiPriority w:val="59"/>
    <w:rsid w:val="005F53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F535C"/>
    <w:pPr>
      <w:spacing w:line="240" w:lineRule="auto"/>
    </w:pPr>
    <w:rPr>
      <w:i/>
      <w:iCs/>
      <w:color w:val="1F497D"/>
      <w:sz w:val="18"/>
      <w:szCs w:val="18"/>
    </w:rPr>
  </w:style>
  <w:style w:type="paragraph" w:styleId="PlainText">
    <w:name w:val="Plain Text"/>
    <w:basedOn w:val="Normal"/>
    <w:link w:val="PlainTextChar"/>
    <w:uiPriority w:val="99"/>
    <w:unhideWhenUsed/>
    <w:rsid w:val="005F535C"/>
    <w:pPr>
      <w:spacing w:after="0" w:line="240" w:lineRule="auto"/>
    </w:pPr>
    <w:rPr>
      <w:szCs w:val="21"/>
    </w:rPr>
  </w:style>
  <w:style w:type="character" w:customStyle="1" w:styleId="PlainTextChar">
    <w:name w:val="Plain Text Char"/>
    <w:basedOn w:val="DefaultParagraphFont"/>
    <w:link w:val="PlainText"/>
    <w:uiPriority w:val="99"/>
    <w:rsid w:val="005F535C"/>
    <w:rPr>
      <w:rFonts w:ascii="Calibri" w:eastAsia="Calibri" w:hAnsi="Calibri" w:cs="Times New Roman"/>
      <w:szCs w:val="21"/>
    </w:rPr>
  </w:style>
  <w:style w:type="character" w:styleId="LineNumber">
    <w:name w:val="line number"/>
    <w:basedOn w:val="DefaultParagraphFont"/>
    <w:uiPriority w:val="99"/>
    <w:semiHidden/>
    <w:unhideWhenUsed/>
    <w:rsid w:val="005F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chart" Target="charts/chart1.xml"/><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oleObject" Target="embeddings/oleObject23.bin"/><Relationship Id="rId63" Type="http://schemas.openxmlformats.org/officeDocument/2006/relationships/oleObject" Target="embeddings/oleObject31.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4.bin"/><Relationship Id="rId112" Type="http://schemas.openxmlformats.org/officeDocument/2006/relationships/footer" Target="footer1.xml"/><Relationship Id="rId133" Type="http://schemas.openxmlformats.org/officeDocument/2006/relationships/footer" Target="footer6.xml"/><Relationship Id="rId16" Type="http://schemas.openxmlformats.org/officeDocument/2006/relationships/oleObject" Target="embeddings/oleObject6.bin"/><Relationship Id="rId107" Type="http://schemas.openxmlformats.org/officeDocument/2006/relationships/oleObject" Target="embeddings/oleObject53.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oleObject" Target="embeddings/oleObject26.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9.bin"/><Relationship Id="rId102" Type="http://schemas.openxmlformats.org/officeDocument/2006/relationships/image" Target="media/image48.wmf"/><Relationship Id="rId123" Type="http://schemas.openxmlformats.org/officeDocument/2006/relationships/header" Target="header6.xml"/><Relationship Id="rId128" Type="http://schemas.openxmlformats.org/officeDocument/2006/relationships/hyperlink" Target="http://www.cdc.gov/hiv/library/reports/" TargetMode="External"/><Relationship Id="rId5" Type="http://schemas.openxmlformats.org/officeDocument/2006/relationships/image" Target="media/image1.wmf"/><Relationship Id="rId90" Type="http://schemas.openxmlformats.org/officeDocument/2006/relationships/image" Target="media/image42.wmf"/><Relationship Id="rId95" Type="http://schemas.openxmlformats.org/officeDocument/2006/relationships/oleObject" Target="embeddings/oleObject47.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image" Target="media/image47.wmf"/><Relationship Id="rId105" Type="http://schemas.openxmlformats.org/officeDocument/2006/relationships/oleObject" Target="embeddings/oleObject52.bin"/><Relationship Id="rId113" Type="http://schemas.openxmlformats.org/officeDocument/2006/relationships/footer" Target="footer2.xml"/><Relationship Id="rId118" Type="http://schemas.openxmlformats.org/officeDocument/2006/relationships/image" Target="media/image53.png"/><Relationship Id="rId126" Type="http://schemas.openxmlformats.org/officeDocument/2006/relationships/hyperlink" Target="http://www.aidsinfo.nih.gov/ContentFiles/AdultandAdolescentGL.pdf" TargetMode="External"/><Relationship Id="rId134" Type="http://schemas.openxmlformats.org/officeDocument/2006/relationships/header" Target="header9.xml"/><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6.wmf"/><Relationship Id="rId121"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image" Target="media/image20.wmf"/><Relationship Id="rId59" Type="http://schemas.openxmlformats.org/officeDocument/2006/relationships/oleObject" Target="embeddings/oleObject29.bin"/><Relationship Id="rId67" Type="http://schemas.openxmlformats.org/officeDocument/2006/relationships/oleObject" Target="embeddings/oleObject33.bin"/><Relationship Id="rId103" Type="http://schemas.openxmlformats.org/officeDocument/2006/relationships/oleObject" Target="embeddings/oleObject51.bin"/><Relationship Id="rId108" Type="http://schemas.openxmlformats.org/officeDocument/2006/relationships/oleObject" Target="embeddings/oleObject54.bin"/><Relationship Id="rId116" Type="http://schemas.openxmlformats.org/officeDocument/2006/relationships/image" Target="media/image52.png"/><Relationship Id="rId124" Type="http://schemas.openxmlformats.org/officeDocument/2006/relationships/hyperlink" Target="http://www.cdc.gov/hiv/library/reports/surveillance/." TargetMode="External"/><Relationship Id="rId129" Type="http://schemas.openxmlformats.org/officeDocument/2006/relationships/hyperlink" Target="http://www.cdc.gov/hiv/pdf/statistics_hssr_vol_17_no_4.pdf." TargetMode="External"/><Relationship Id="rId137"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1.wmf"/><Relationship Id="rId91" Type="http://schemas.openxmlformats.org/officeDocument/2006/relationships/oleObject" Target="embeddings/oleObject45.bin"/><Relationship Id="rId96" Type="http://schemas.openxmlformats.org/officeDocument/2006/relationships/image" Target="media/image45.wmf"/><Relationship Id="rId111" Type="http://schemas.openxmlformats.org/officeDocument/2006/relationships/header" Target="header2.xml"/><Relationship Id="rId132"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4.bin"/><Relationship Id="rId57" Type="http://schemas.openxmlformats.org/officeDocument/2006/relationships/oleObject" Target="embeddings/oleObject28.bin"/><Relationship Id="rId106" Type="http://schemas.openxmlformats.org/officeDocument/2006/relationships/image" Target="media/image50.wmf"/><Relationship Id="rId114" Type="http://schemas.openxmlformats.org/officeDocument/2006/relationships/header" Target="header3.xml"/><Relationship Id="rId119" Type="http://schemas.openxmlformats.org/officeDocument/2006/relationships/image" Target="media/image54.png"/><Relationship Id="rId127" Type="http://schemas.openxmlformats.org/officeDocument/2006/relationships/hyperlink" Target="http://www.cdc.gov/hiv/topics/surveillance/resources/reports/" TargetMode="External"/><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1.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6.wmf"/><Relationship Id="rId81" Type="http://schemas.openxmlformats.org/officeDocument/2006/relationships/oleObject" Target="embeddings/oleObject40.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footer" Target="footer4.xml"/><Relationship Id="rId130" Type="http://schemas.openxmlformats.org/officeDocument/2006/relationships/header" Target="header7.xml"/><Relationship Id="rId135"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1.png"/><Relationship Id="rId34" Type="http://schemas.openxmlformats.org/officeDocument/2006/relationships/oleObject" Target="embeddings/oleObject15.bin"/><Relationship Id="rId50" Type="http://schemas.openxmlformats.org/officeDocument/2006/relationships/image" Target="media/image22.wmf"/><Relationship Id="rId55" Type="http://schemas.openxmlformats.org/officeDocument/2006/relationships/oleObject" Target="embeddings/oleObject27.bin"/><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image" Target="media/image49.wmf"/><Relationship Id="rId120" Type="http://schemas.openxmlformats.org/officeDocument/2006/relationships/header" Target="header4.xml"/><Relationship Id="rId125" Type="http://schemas.openxmlformats.org/officeDocument/2006/relationships/hyperlink" Target="http://www.cdc.gov/hiv/library/reports/surveillance/." TargetMode="External"/><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2.bin"/><Relationship Id="rId66" Type="http://schemas.openxmlformats.org/officeDocument/2006/relationships/image" Target="media/image30.wmf"/><Relationship Id="rId87" Type="http://schemas.openxmlformats.org/officeDocument/2006/relationships/oleObject" Target="embeddings/oleObject43.bin"/><Relationship Id="rId110" Type="http://schemas.openxmlformats.org/officeDocument/2006/relationships/header" Target="header1.xml"/><Relationship Id="rId115" Type="http://schemas.openxmlformats.org/officeDocument/2006/relationships/footer" Target="footer3.xml"/><Relationship Id="rId131" Type="http://schemas.openxmlformats.org/officeDocument/2006/relationships/header" Target="header8.xml"/><Relationship Id="rId136" Type="http://schemas.openxmlformats.org/officeDocument/2006/relationships/fontTable" Target="fontTable.xml"/><Relationship Id="rId61" Type="http://schemas.openxmlformats.org/officeDocument/2006/relationships/oleObject" Target="embeddings/oleObject30.bin"/><Relationship Id="rId82" Type="http://schemas.openxmlformats.org/officeDocument/2006/relationships/image" Target="media/image38.wmf"/><Relationship Id="rId19" Type="http://schemas.openxmlformats.org/officeDocument/2006/relationships/image" Target="media/image8.wmf"/></Relationships>
</file>

<file path=word/charts/_rels/chart1.xml.rels><?xml version="1.0" encoding="UTF-8" standalone="yes"?>
<Relationships xmlns="http://schemas.openxmlformats.org/package/2006/relationships"><Relationship Id="rId2" Type="http://schemas.openxmlformats.org/officeDocument/2006/relationships/oleObject" Target="file:///C:\Users\chaitrag\Documents\UMass\CDC\PATH2V\PATH%202%20Methods%20paper\Tables\Tables-Jun%208-201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821543246358707"/>
          <c:y val="4.7155994917188949E-2"/>
          <c:w val="0.7408505842576667"/>
          <c:h val="0.64740832179952379"/>
        </c:manualLayout>
      </c:layout>
      <c:lineChart>
        <c:grouping val="standard"/>
        <c:varyColors val="0"/>
        <c:ser>
          <c:idx val="0"/>
          <c:order val="0"/>
          <c:tx>
            <c:strRef>
              <c:f>Sheet2!$C$2</c:f>
              <c:strCache>
                <c:ptCount val="1"/>
                <c:pt idx="0">
                  <c:v>Reported mean and confidence intervals</c:v>
                </c:pt>
              </c:strCache>
            </c:strRef>
          </c:tx>
          <c:spPr>
            <a:ln>
              <a:solidFill>
                <a:schemeClr val="tx1"/>
              </a:solidFill>
              <a:prstDash val="dashDot"/>
            </a:ln>
          </c:spPr>
          <c:marker>
            <c:symbol val="none"/>
          </c:marker>
          <c:cat>
            <c:numRef>
              <c:f>Sheet2!$B$3:$B$5</c:f>
              <c:numCache>
                <c:formatCode>General</c:formatCode>
                <c:ptCount val="3"/>
                <c:pt idx="0">
                  <c:v>2007</c:v>
                </c:pt>
                <c:pt idx="1">
                  <c:v>2008</c:v>
                </c:pt>
                <c:pt idx="2">
                  <c:v>2009</c:v>
                </c:pt>
              </c:numCache>
            </c:numRef>
          </c:cat>
          <c:val>
            <c:numRef>
              <c:f>Sheet2!$C$3:$C$5</c:f>
              <c:numCache>
                <c:formatCode>General</c:formatCode>
                <c:ptCount val="3"/>
                <c:pt idx="0">
                  <c:v>41200</c:v>
                </c:pt>
                <c:pt idx="1">
                  <c:v>35500</c:v>
                </c:pt>
                <c:pt idx="2">
                  <c:v>36200</c:v>
                </c:pt>
              </c:numCache>
            </c:numRef>
          </c:val>
          <c:smooth val="0"/>
          <c:extLst>
            <c:ext xmlns:c16="http://schemas.microsoft.com/office/drawing/2014/chart" uri="{C3380CC4-5D6E-409C-BE32-E72D297353CC}">
              <c16:uniqueId val="{00000000-CCE9-48D9-850D-23B19A6F3890}"/>
            </c:ext>
          </c:extLst>
        </c:ser>
        <c:ser>
          <c:idx val="1"/>
          <c:order val="1"/>
          <c:tx>
            <c:strRef>
              <c:f>Sheet2!$D$2</c:f>
              <c:strCache>
                <c:ptCount val="1"/>
                <c:pt idx="0">
                  <c:v>Reported-Mean</c:v>
                </c:pt>
              </c:strCache>
            </c:strRef>
          </c:tx>
          <c:spPr>
            <a:ln>
              <a:solidFill>
                <a:schemeClr val="tx1"/>
              </a:solidFill>
              <a:prstDash val="dashDot"/>
            </a:ln>
          </c:spPr>
          <c:marker>
            <c:symbol val="none"/>
          </c:marker>
          <c:cat>
            <c:numRef>
              <c:f>Sheet2!$B$3:$B$5</c:f>
              <c:numCache>
                <c:formatCode>General</c:formatCode>
                <c:ptCount val="3"/>
                <c:pt idx="0">
                  <c:v>2007</c:v>
                </c:pt>
                <c:pt idx="1">
                  <c:v>2008</c:v>
                </c:pt>
                <c:pt idx="2">
                  <c:v>2009</c:v>
                </c:pt>
              </c:numCache>
            </c:numRef>
          </c:cat>
          <c:val>
            <c:numRef>
              <c:f>Sheet2!$D$3:$D$5</c:f>
              <c:numCache>
                <c:formatCode>#,##0</c:formatCode>
                <c:ptCount val="3"/>
                <c:pt idx="0">
                  <c:v>48000</c:v>
                </c:pt>
                <c:pt idx="1">
                  <c:v>41400</c:v>
                </c:pt>
                <c:pt idx="2">
                  <c:v>42200</c:v>
                </c:pt>
              </c:numCache>
            </c:numRef>
          </c:val>
          <c:smooth val="0"/>
          <c:extLst>
            <c:ext xmlns:c16="http://schemas.microsoft.com/office/drawing/2014/chart" uri="{C3380CC4-5D6E-409C-BE32-E72D297353CC}">
              <c16:uniqueId val="{00000001-CCE9-48D9-850D-23B19A6F3890}"/>
            </c:ext>
          </c:extLst>
        </c:ser>
        <c:ser>
          <c:idx val="2"/>
          <c:order val="2"/>
          <c:tx>
            <c:strRef>
              <c:f>Sheet2!$E$2</c:f>
              <c:strCache>
                <c:ptCount val="1"/>
                <c:pt idx="0">
                  <c:v>Reported-UCI</c:v>
                </c:pt>
              </c:strCache>
            </c:strRef>
          </c:tx>
          <c:spPr>
            <a:ln>
              <a:solidFill>
                <a:schemeClr val="tx1"/>
              </a:solidFill>
              <a:prstDash val="dashDot"/>
            </a:ln>
          </c:spPr>
          <c:marker>
            <c:symbol val="none"/>
          </c:marker>
          <c:cat>
            <c:numRef>
              <c:f>Sheet2!$B$3:$B$5</c:f>
              <c:numCache>
                <c:formatCode>General</c:formatCode>
                <c:ptCount val="3"/>
                <c:pt idx="0">
                  <c:v>2007</c:v>
                </c:pt>
                <c:pt idx="1">
                  <c:v>2008</c:v>
                </c:pt>
                <c:pt idx="2">
                  <c:v>2009</c:v>
                </c:pt>
              </c:numCache>
            </c:numRef>
          </c:cat>
          <c:val>
            <c:numRef>
              <c:f>Sheet2!$E$3:$E$5</c:f>
              <c:numCache>
                <c:formatCode>General</c:formatCode>
                <c:ptCount val="3"/>
                <c:pt idx="0">
                  <c:v>54900</c:v>
                </c:pt>
                <c:pt idx="1">
                  <c:v>47300</c:v>
                </c:pt>
                <c:pt idx="2">
                  <c:v>48200</c:v>
                </c:pt>
              </c:numCache>
            </c:numRef>
          </c:val>
          <c:smooth val="0"/>
          <c:extLst>
            <c:ext xmlns:c16="http://schemas.microsoft.com/office/drawing/2014/chart" uri="{C3380CC4-5D6E-409C-BE32-E72D297353CC}">
              <c16:uniqueId val="{00000002-CCE9-48D9-850D-23B19A6F3890}"/>
            </c:ext>
          </c:extLst>
        </c:ser>
        <c:ser>
          <c:idx val="3"/>
          <c:order val="3"/>
          <c:tx>
            <c:strRef>
              <c:f>Sheet2!$F$2</c:f>
              <c:strCache>
                <c:ptCount val="1"/>
                <c:pt idx="0">
                  <c:v>Simulated</c:v>
                </c:pt>
              </c:strCache>
            </c:strRef>
          </c:tx>
          <c:spPr>
            <a:ln>
              <a:solidFill>
                <a:schemeClr val="tx1"/>
              </a:solidFill>
              <a:prstDash val="sysDot"/>
            </a:ln>
          </c:spPr>
          <c:marker>
            <c:symbol val="none"/>
          </c:marker>
          <c:cat>
            <c:numRef>
              <c:f>Sheet2!$B$3:$B$5</c:f>
              <c:numCache>
                <c:formatCode>General</c:formatCode>
                <c:ptCount val="3"/>
                <c:pt idx="0">
                  <c:v>2007</c:v>
                </c:pt>
                <c:pt idx="1">
                  <c:v>2008</c:v>
                </c:pt>
                <c:pt idx="2">
                  <c:v>2009</c:v>
                </c:pt>
              </c:numCache>
            </c:numRef>
          </c:cat>
          <c:val>
            <c:numRef>
              <c:f>Sheet2!$F$3:$F$5</c:f>
              <c:numCache>
                <c:formatCode>General</c:formatCode>
                <c:ptCount val="3"/>
                <c:pt idx="0">
                  <c:v>42793.998567030976</c:v>
                </c:pt>
                <c:pt idx="1">
                  <c:v>41755.869221739114</c:v>
                </c:pt>
                <c:pt idx="2">
                  <c:v>41759.77931343513</c:v>
                </c:pt>
              </c:numCache>
            </c:numRef>
          </c:val>
          <c:smooth val="0"/>
          <c:extLst>
            <c:ext xmlns:c16="http://schemas.microsoft.com/office/drawing/2014/chart" uri="{C3380CC4-5D6E-409C-BE32-E72D297353CC}">
              <c16:uniqueId val="{00000003-CCE9-48D9-850D-23B19A6F3890}"/>
            </c:ext>
          </c:extLst>
        </c:ser>
        <c:dLbls>
          <c:showLegendKey val="0"/>
          <c:showVal val="0"/>
          <c:showCatName val="0"/>
          <c:showSerName val="0"/>
          <c:showPercent val="0"/>
          <c:showBubbleSize val="0"/>
        </c:dLbls>
        <c:smooth val="0"/>
        <c:axId val="1676093600"/>
        <c:axId val="1676101216"/>
      </c:lineChart>
      <c:catAx>
        <c:axId val="1676093600"/>
        <c:scaling>
          <c:orientation val="minMax"/>
        </c:scaling>
        <c:delete val="0"/>
        <c:axPos val="b"/>
        <c:title>
          <c:tx>
            <c:rich>
              <a:bodyPr/>
              <a:lstStyle/>
              <a:p>
                <a:pPr>
                  <a:defRPr sz="1400">
                    <a:latin typeface="Arial" panose="020B0604020202020204" pitchFamily="34" charset="0"/>
                    <a:cs typeface="Arial" panose="020B0604020202020204" pitchFamily="34" charset="0"/>
                  </a:defRPr>
                </a:pPr>
                <a:r>
                  <a:rPr lang="en-US" sz="1400">
                    <a:latin typeface="Arial" panose="020B0604020202020204" pitchFamily="34" charset="0"/>
                    <a:cs typeface="Arial" panose="020B0604020202020204" pitchFamily="34" charset="0"/>
                  </a:rPr>
                  <a:t>Year</a:t>
                </a:r>
              </a:p>
            </c:rich>
          </c:tx>
          <c:overlay val="0"/>
        </c:title>
        <c:numFmt formatCode="General" sourceLinked="1"/>
        <c:majorTickMark val="out"/>
        <c:minorTickMark val="none"/>
        <c:tickLblPos val="nextTo"/>
        <c:txPr>
          <a:bodyPr/>
          <a:lstStyle/>
          <a:p>
            <a:pPr>
              <a:defRPr sz="1600">
                <a:latin typeface="Arial" panose="020B0604020202020204" pitchFamily="34" charset="0"/>
                <a:cs typeface="Arial" panose="020B0604020202020204" pitchFamily="34" charset="0"/>
              </a:defRPr>
            </a:pPr>
            <a:endParaRPr lang="en-US"/>
          </a:p>
        </c:txPr>
        <c:crossAx val="1676101216"/>
        <c:crosses val="autoZero"/>
        <c:auto val="1"/>
        <c:lblAlgn val="ctr"/>
        <c:lblOffset val="100"/>
        <c:noMultiLvlLbl val="0"/>
      </c:catAx>
      <c:valAx>
        <c:axId val="1676101216"/>
        <c:scaling>
          <c:orientation val="minMax"/>
        </c:scaling>
        <c:delete val="0"/>
        <c:axPos val="l"/>
        <c:majorGridlines/>
        <c:title>
          <c:tx>
            <c:rich>
              <a:bodyPr rot="-5400000" vert="horz"/>
              <a:lstStyle/>
              <a:p>
                <a:pPr>
                  <a:defRPr sz="1400">
                    <a:latin typeface="Arial" panose="020B0604020202020204" pitchFamily="34" charset="0"/>
                    <a:cs typeface="Arial" panose="020B0604020202020204" pitchFamily="34" charset="0"/>
                  </a:defRPr>
                </a:pPr>
                <a:r>
                  <a:rPr lang="en-US" sz="1400">
                    <a:latin typeface="Arial" panose="020B0604020202020204" pitchFamily="34" charset="0"/>
                    <a:cs typeface="Arial" panose="020B0604020202020204" pitchFamily="34" charset="0"/>
                  </a:rPr>
                  <a:t>Number of</a:t>
                </a:r>
                <a:r>
                  <a:rPr lang="en-US" sz="1400" baseline="0">
                    <a:latin typeface="Arial" panose="020B0604020202020204" pitchFamily="34" charset="0"/>
                    <a:cs typeface="Arial" panose="020B0604020202020204" pitchFamily="34" charset="0"/>
                  </a:rPr>
                  <a:t> new infections from sexual transmission</a:t>
                </a:r>
                <a:endParaRPr lang="en-US" sz="1400">
                  <a:latin typeface="Arial" panose="020B0604020202020204" pitchFamily="34" charset="0"/>
                  <a:cs typeface="Arial" panose="020B0604020202020204" pitchFamily="34" charset="0"/>
                </a:endParaRPr>
              </a:p>
            </c:rich>
          </c:tx>
          <c:layout>
            <c:manualLayout>
              <c:xMode val="edge"/>
              <c:yMode val="edge"/>
              <c:x val="2.0241940911232249E-2"/>
              <c:y val="5.795315619438695E-2"/>
            </c:manualLayout>
          </c:layout>
          <c:overlay val="0"/>
        </c:title>
        <c:numFmt formatCode="General" sourceLinked="1"/>
        <c:majorTickMark val="out"/>
        <c:minorTickMark val="none"/>
        <c:tickLblPos val="nextTo"/>
        <c:txPr>
          <a:bodyPr/>
          <a:lstStyle/>
          <a:p>
            <a:pPr>
              <a:defRPr sz="1400">
                <a:latin typeface="Arial" panose="020B0604020202020204" pitchFamily="34" charset="0"/>
                <a:cs typeface="Arial" panose="020B0604020202020204" pitchFamily="34" charset="0"/>
              </a:defRPr>
            </a:pPr>
            <a:endParaRPr lang="en-US"/>
          </a:p>
        </c:txPr>
        <c:crossAx val="1676093600"/>
        <c:crosses val="autoZero"/>
        <c:crossBetween val="between"/>
        <c:dispUnits>
          <c:builtInUnit val="thousands"/>
          <c:dispUnitsLbl>
            <c:txPr>
              <a:bodyPr/>
              <a:lstStyle/>
              <a:p>
                <a:pPr>
                  <a:defRPr sz="1400">
                    <a:latin typeface="Arial" panose="020B0604020202020204" pitchFamily="34" charset="0"/>
                    <a:cs typeface="Arial" panose="020B0604020202020204" pitchFamily="34" charset="0"/>
                  </a:defRPr>
                </a:pPr>
                <a:endParaRPr lang="en-US"/>
              </a:p>
            </c:txPr>
          </c:dispUnitsLbl>
        </c:dispUnits>
      </c:valAx>
    </c:plotArea>
    <c:legend>
      <c:legendPos val="r"/>
      <c:legendEntry>
        <c:idx val="1"/>
        <c:delete val="1"/>
      </c:legendEntry>
      <c:legendEntry>
        <c:idx val="2"/>
        <c:delete val="1"/>
      </c:legendEntry>
      <c:layout>
        <c:manualLayout>
          <c:xMode val="edge"/>
          <c:yMode val="edge"/>
          <c:x val="2.0194854987897484E-2"/>
          <c:y val="0.86597401463858648"/>
          <c:w val="0.9308519921074655"/>
          <c:h val="0.13069761695056276"/>
        </c:manualLayout>
      </c:layout>
      <c:overlay val="0"/>
      <c:txPr>
        <a:bodyPr/>
        <a:lstStyle/>
        <a:p>
          <a:pPr>
            <a:defRPr sz="16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45</Pages>
  <Words>10805</Words>
  <Characters>61595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chaitrag</dc:creator>
  <cp:keywords/>
  <dc:description/>
  <cp:lastModifiedBy>chaitrag</cp:lastModifiedBy>
  <cp:revision>2</cp:revision>
  <dcterms:created xsi:type="dcterms:W3CDTF">2017-08-01T22:11:00Z</dcterms:created>
  <dcterms:modified xsi:type="dcterms:W3CDTF">2017-08-01T22:16:00Z</dcterms:modified>
</cp:coreProperties>
</file>