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2C860" w14:textId="77777777" w:rsidR="00562CF6" w:rsidRPr="00562CF6" w:rsidRDefault="00562CF6" w:rsidP="00562CF6">
      <w:pPr>
        <w:rPr>
          <w:rFonts w:ascii="Calibri" w:hAnsi="Calibri"/>
          <w:b/>
        </w:rPr>
      </w:pPr>
      <w:r w:rsidRPr="00562CF6">
        <w:rPr>
          <w:rFonts w:ascii="Calibri" w:hAnsi="Calibri"/>
          <w:b/>
        </w:rPr>
        <w:t>Appendix</w:t>
      </w:r>
    </w:p>
    <w:p w14:paraId="652DD31B" w14:textId="77777777" w:rsidR="00562CF6" w:rsidRPr="00562CF6" w:rsidRDefault="00562CF6" w:rsidP="00562CF6">
      <w:pPr>
        <w:rPr>
          <w:rFonts w:ascii="Calibri" w:hAnsi="Calibri"/>
        </w:rPr>
      </w:pPr>
      <w:r w:rsidRPr="00562CF6">
        <w:rPr>
          <w:rFonts w:ascii="Calibri" w:hAnsi="Calibri"/>
        </w:rPr>
        <w:t xml:space="preserve">Appendix Table 1. Number of included individuals, number of tests for drug resistance 6 months after ART initiation, number of tests for acquired drug resistance, number of tests where an acquired drug resistance was detected and numbers of virological failure* episodes by cohort. HIV-CAUSAL Collaboration, 2000-2015. </w:t>
      </w:r>
    </w:p>
    <w:tbl>
      <w:tblPr>
        <w:tblW w:w="9285" w:type="dxa"/>
        <w:tblInd w:w="93" w:type="dxa"/>
        <w:tblLook w:val="04A0" w:firstRow="1" w:lastRow="0" w:firstColumn="1" w:lastColumn="0" w:noHBand="0" w:noVBand="1"/>
      </w:tblPr>
      <w:tblGrid>
        <w:gridCol w:w="1905"/>
        <w:gridCol w:w="1205"/>
        <w:gridCol w:w="663"/>
        <w:gridCol w:w="1229"/>
        <w:gridCol w:w="551"/>
        <w:gridCol w:w="1609"/>
        <w:gridCol w:w="663"/>
        <w:gridCol w:w="1460"/>
      </w:tblGrid>
      <w:tr w:rsidR="00562CF6" w:rsidRPr="00562CF6" w14:paraId="0229A9D3" w14:textId="77777777" w:rsidTr="00F54798">
        <w:trPr>
          <w:trHeight w:val="900"/>
        </w:trPr>
        <w:tc>
          <w:tcPr>
            <w:tcW w:w="1905" w:type="dxa"/>
            <w:tcBorders>
              <w:top w:val="single" w:sz="4" w:space="0" w:color="auto"/>
            </w:tcBorders>
            <w:shd w:val="clear" w:color="auto" w:fill="auto"/>
            <w:noWrap/>
            <w:vAlign w:val="center"/>
            <w:hideMark/>
          </w:tcPr>
          <w:p w14:paraId="2A08908C" w14:textId="77777777" w:rsidR="00562CF6" w:rsidRPr="00562CF6" w:rsidRDefault="00562CF6" w:rsidP="00F54798">
            <w:pPr>
              <w:spacing w:after="0" w:line="240" w:lineRule="auto"/>
              <w:rPr>
                <w:rFonts w:ascii="Calibri" w:eastAsia="Times New Roman" w:hAnsi="Calibri" w:cs="Times New Roman"/>
                <w:color w:val="000000"/>
              </w:rPr>
            </w:pPr>
          </w:p>
        </w:tc>
        <w:tc>
          <w:tcPr>
            <w:tcW w:w="1205" w:type="dxa"/>
            <w:tcBorders>
              <w:top w:val="single" w:sz="4" w:space="0" w:color="auto"/>
              <w:right w:val="single" w:sz="4" w:space="0" w:color="auto"/>
            </w:tcBorders>
            <w:shd w:val="clear" w:color="auto" w:fill="auto"/>
            <w:noWrap/>
            <w:vAlign w:val="center"/>
            <w:hideMark/>
          </w:tcPr>
          <w:p w14:paraId="259E0741" w14:textId="77777777" w:rsidR="00562CF6" w:rsidRPr="00562CF6" w:rsidRDefault="00562CF6" w:rsidP="00F54798">
            <w:pPr>
              <w:spacing w:after="0" w:line="240" w:lineRule="auto"/>
              <w:rPr>
                <w:rFonts w:ascii="Calibri" w:eastAsia="Times New Roman" w:hAnsi="Calibri" w:cs="Times New Roman"/>
                <w:b/>
                <w:bCs/>
                <w:color w:val="000000"/>
              </w:rPr>
            </w:pPr>
            <w:r w:rsidRPr="00562CF6">
              <w:rPr>
                <w:rFonts w:ascii="Calibri" w:eastAsia="Times New Roman" w:hAnsi="Calibri" w:cs="Times New Roman"/>
                <w:b/>
                <w:bCs/>
                <w:color w:val="000000"/>
              </w:rPr>
              <w:t>Included individuals</w:t>
            </w:r>
          </w:p>
        </w:tc>
        <w:tc>
          <w:tcPr>
            <w:tcW w:w="1892" w:type="dxa"/>
            <w:gridSpan w:val="2"/>
            <w:tcBorders>
              <w:top w:val="single" w:sz="4" w:space="0" w:color="auto"/>
              <w:left w:val="single" w:sz="4" w:space="0" w:color="auto"/>
              <w:right w:val="single" w:sz="4" w:space="0" w:color="auto"/>
            </w:tcBorders>
            <w:shd w:val="clear" w:color="auto" w:fill="auto"/>
            <w:vAlign w:val="center"/>
            <w:hideMark/>
          </w:tcPr>
          <w:p w14:paraId="3A890B86" w14:textId="77777777" w:rsidR="00562CF6" w:rsidRPr="00562CF6" w:rsidRDefault="00562CF6" w:rsidP="00F54798">
            <w:pPr>
              <w:spacing w:after="0" w:line="240" w:lineRule="auto"/>
              <w:jc w:val="center"/>
              <w:rPr>
                <w:rFonts w:ascii="Calibri" w:eastAsia="Times New Roman" w:hAnsi="Calibri" w:cs="Times New Roman"/>
                <w:b/>
                <w:bCs/>
                <w:color w:val="000000"/>
              </w:rPr>
            </w:pPr>
            <w:r w:rsidRPr="00562CF6">
              <w:rPr>
                <w:rFonts w:ascii="Calibri" w:eastAsia="Times New Roman" w:hAnsi="Calibri" w:cs="Times New Roman"/>
                <w:b/>
                <w:bCs/>
                <w:color w:val="000000"/>
              </w:rPr>
              <w:t>Tests for acquired drug resistance</w:t>
            </w:r>
          </w:p>
        </w:tc>
        <w:tc>
          <w:tcPr>
            <w:tcW w:w="2160" w:type="dxa"/>
            <w:gridSpan w:val="2"/>
            <w:tcBorders>
              <w:top w:val="single" w:sz="4" w:space="0" w:color="auto"/>
              <w:left w:val="single" w:sz="4" w:space="0" w:color="auto"/>
              <w:right w:val="single" w:sz="4" w:space="0" w:color="auto"/>
            </w:tcBorders>
            <w:shd w:val="clear" w:color="auto" w:fill="auto"/>
            <w:vAlign w:val="center"/>
            <w:hideMark/>
          </w:tcPr>
          <w:p w14:paraId="368BF563" w14:textId="77777777" w:rsidR="00562CF6" w:rsidRPr="00562CF6" w:rsidRDefault="00562CF6" w:rsidP="00F54798">
            <w:pPr>
              <w:spacing w:after="0" w:line="240" w:lineRule="auto"/>
              <w:jc w:val="center"/>
              <w:rPr>
                <w:rFonts w:ascii="Calibri" w:eastAsia="Times New Roman" w:hAnsi="Calibri" w:cs="Times New Roman"/>
                <w:b/>
                <w:bCs/>
                <w:color w:val="000000"/>
              </w:rPr>
            </w:pPr>
            <w:r w:rsidRPr="00562CF6">
              <w:rPr>
                <w:rFonts w:ascii="Calibri" w:eastAsia="Times New Roman" w:hAnsi="Calibri" w:cs="Times New Roman"/>
                <w:b/>
                <w:bCs/>
                <w:color w:val="000000"/>
              </w:rPr>
              <w:t>Tests detecting acquired drug resistance</w:t>
            </w:r>
          </w:p>
        </w:tc>
        <w:tc>
          <w:tcPr>
            <w:tcW w:w="2123" w:type="dxa"/>
            <w:gridSpan w:val="2"/>
            <w:tcBorders>
              <w:top w:val="single" w:sz="4" w:space="0" w:color="auto"/>
              <w:left w:val="single" w:sz="4" w:space="0" w:color="auto"/>
            </w:tcBorders>
            <w:shd w:val="clear" w:color="auto" w:fill="auto"/>
            <w:vAlign w:val="center"/>
            <w:hideMark/>
          </w:tcPr>
          <w:p w14:paraId="3251AB69" w14:textId="77777777" w:rsidR="00562CF6" w:rsidRPr="00562CF6" w:rsidRDefault="00562CF6" w:rsidP="00F54798">
            <w:pPr>
              <w:spacing w:after="0" w:line="240" w:lineRule="auto"/>
              <w:jc w:val="center"/>
              <w:rPr>
                <w:rFonts w:ascii="Calibri" w:eastAsia="Times New Roman" w:hAnsi="Calibri" w:cs="Times New Roman"/>
                <w:b/>
                <w:bCs/>
                <w:color w:val="000000"/>
              </w:rPr>
            </w:pPr>
            <w:r w:rsidRPr="00562CF6">
              <w:rPr>
                <w:rFonts w:ascii="Calibri" w:eastAsia="Times New Roman" w:hAnsi="Calibri" w:cs="Times New Roman"/>
                <w:b/>
                <w:bCs/>
                <w:color w:val="000000"/>
              </w:rPr>
              <w:t>Virological failure episodes*</w:t>
            </w:r>
          </w:p>
        </w:tc>
      </w:tr>
      <w:tr w:rsidR="00562CF6" w:rsidRPr="00562CF6" w14:paraId="5ABF800C" w14:textId="77777777" w:rsidTr="00F54798">
        <w:trPr>
          <w:trHeight w:val="300"/>
        </w:trPr>
        <w:tc>
          <w:tcPr>
            <w:tcW w:w="1905" w:type="dxa"/>
            <w:vMerge w:val="restart"/>
            <w:shd w:val="clear" w:color="auto" w:fill="auto"/>
            <w:noWrap/>
            <w:vAlign w:val="center"/>
            <w:hideMark/>
          </w:tcPr>
          <w:p w14:paraId="1364AC7E" w14:textId="77777777" w:rsidR="00562CF6" w:rsidRPr="00562CF6" w:rsidRDefault="00562CF6" w:rsidP="00F54798">
            <w:pPr>
              <w:spacing w:after="0" w:line="240" w:lineRule="auto"/>
              <w:rPr>
                <w:rFonts w:ascii="Calibri" w:eastAsia="Times New Roman" w:hAnsi="Calibri" w:cs="Times New Roman"/>
                <w:b/>
                <w:bCs/>
                <w:color w:val="000000"/>
              </w:rPr>
            </w:pPr>
            <w:r w:rsidRPr="00562CF6">
              <w:rPr>
                <w:rFonts w:ascii="Calibri" w:eastAsia="Times New Roman" w:hAnsi="Calibri" w:cs="Times New Roman"/>
                <w:b/>
                <w:bCs/>
                <w:color w:val="000000"/>
              </w:rPr>
              <w:t>Cohort</w:t>
            </w:r>
          </w:p>
        </w:tc>
        <w:tc>
          <w:tcPr>
            <w:tcW w:w="1205" w:type="dxa"/>
            <w:tcBorders>
              <w:right w:val="single" w:sz="4" w:space="0" w:color="auto"/>
            </w:tcBorders>
            <w:shd w:val="clear" w:color="auto" w:fill="auto"/>
            <w:noWrap/>
            <w:vAlign w:val="center"/>
            <w:hideMark/>
          </w:tcPr>
          <w:p w14:paraId="183A1108" w14:textId="77777777" w:rsidR="00562CF6" w:rsidRPr="00562CF6" w:rsidRDefault="00562CF6" w:rsidP="00F54798">
            <w:pPr>
              <w:spacing w:after="0" w:line="240" w:lineRule="auto"/>
              <w:rPr>
                <w:rFonts w:ascii="Calibri" w:eastAsia="Times New Roman" w:hAnsi="Calibri" w:cs="Times New Roman"/>
                <w:b/>
                <w:bCs/>
                <w:color w:val="000000"/>
              </w:rPr>
            </w:pPr>
          </w:p>
        </w:tc>
        <w:tc>
          <w:tcPr>
            <w:tcW w:w="663" w:type="dxa"/>
            <w:vMerge w:val="restart"/>
            <w:tcBorders>
              <w:left w:val="single" w:sz="4" w:space="0" w:color="auto"/>
            </w:tcBorders>
            <w:shd w:val="clear" w:color="auto" w:fill="auto"/>
            <w:noWrap/>
            <w:vAlign w:val="center"/>
            <w:hideMark/>
          </w:tcPr>
          <w:p w14:paraId="06AC0D51" w14:textId="77777777" w:rsidR="00562CF6" w:rsidRPr="00562CF6" w:rsidRDefault="00562CF6" w:rsidP="00F54798">
            <w:pPr>
              <w:spacing w:after="0" w:line="240" w:lineRule="auto"/>
              <w:jc w:val="right"/>
              <w:rPr>
                <w:rFonts w:ascii="Calibri" w:eastAsia="Times New Roman" w:hAnsi="Calibri" w:cs="Times New Roman"/>
                <w:b/>
                <w:bCs/>
                <w:color w:val="000000"/>
              </w:rPr>
            </w:pPr>
            <w:r w:rsidRPr="00562CF6">
              <w:rPr>
                <w:rFonts w:ascii="Calibri" w:eastAsia="Times New Roman" w:hAnsi="Calibri" w:cs="Times New Roman"/>
                <w:b/>
                <w:bCs/>
                <w:color w:val="000000"/>
              </w:rPr>
              <w:t>N</w:t>
            </w:r>
          </w:p>
        </w:tc>
        <w:tc>
          <w:tcPr>
            <w:tcW w:w="1229" w:type="dxa"/>
            <w:vMerge w:val="restart"/>
            <w:tcBorders>
              <w:right w:val="single" w:sz="4" w:space="0" w:color="auto"/>
            </w:tcBorders>
            <w:shd w:val="clear" w:color="auto" w:fill="auto"/>
            <w:noWrap/>
            <w:vAlign w:val="center"/>
            <w:hideMark/>
          </w:tcPr>
          <w:p w14:paraId="118792C1" w14:textId="77777777" w:rsidR="00562CF6" w:rsidRPr="00562CF6" w:rsidRDefault="00562CF6" w:rsidP="00F54798">
            <w:pPr>
              <w:spacing w:after="0" w:line="240" w:lineRule="auto"/>
              <w:jc w:val="right"/>
              <w:rPr>
                <w:rFonts w:ascii="Calibri" w:eastAsia="Times New Roman" w:hAnsi="Calibri" w:cs="Times New Roman"/>
                <w:b/>
                <w:bCs/>
                <w:color w:val="000000"/>
              </w:rPr>
            </w:pPr>
            <w:r w:rsidRPr="00562CF6">
              <w:rPr>
                <w:rFonts w:ascii="Calibri" w:eastAsia="Times New Roman" w:hAnsi="Calibri" w:cs="Times New Roman"/>
                <w:b/>
                <w:bCs/>
                <w:color w:val="000000"/>
              </w:rPr>
              <w:t>Tests/1000 person-years</w:t>
            </w:r>
          </w:p>
        </w:tc>
        <w:tc>
          <w:tcPr>
            <w:tcW w:w="551" w:type="dxa"/>
            <w:vMerge w:val="restart"/>
            <w:tcBorders>
              <w:left w:val="single" w:sz="4" w:space="0" w:color="auto"/>
            </w:tcBorders>
            <w:shd w:val="clear" w:color="auto" w:fill="auto"/>
            <w:noWrap/>
            <w:vAlign w:val="center"/>
            <w:hideMark/>
          </w:tcPr>
          <w:p w14:paraId="19159DAE" w14:textId="77777777" w:rsidR="00562CF6" w:rsidRPr="00562CF6" w:rsidRDefault="00562CF6" w:rsidP="00F54798">
            <w:pPr>
              <w:spacing w:after="0" w:line="240" w:lineRule="auto"/>
              <w:jc w:val="right"/>
              <w:rPr>
                <w:rFonts w:ascii="Calibri" w:eastAsia="Times New Roman" w:hAnsi="Calibri" w:cs="Times New Roman"/>
                <w:b/>
                <w:bCs/>
                <w:color w:val="000000"/>
              </w:rPr>
            </w:pPr>
            <w:r w:rsidRPr="00562CF6">
              <w:rPr>
                <w:rFonts w:ascii="Calibri" w:eastAsia="Times New Roman" w:hAnsi="Calibri" w:cs="Times New Roman"/>
                <w:b/>
                <w:bCs/>
                <w:color w:val="000000"/>
              </w:rPr>
              <w:t>N</w:t>
            </w:r>
          </w:p>
        </w:tc>
        <w:tc>
          <w:tcPr>
            <w:tcW w:w="1609" w:type="dxa"/>
            <w:vMerge w:val="restart"/>
            <w:tcBorders>
              <w:right w:val="single" w:sz="4" w:space="0" w:color="auto"/>
            </w:tcBorders>
            <w:shd w:val="clear" w:color="auto" w:fill="auto"/>
            <w:noWrap/>
            <w:vAlign w:val="center"/>
            <w:hideMark/>
          </w:tcPr>
          <w:p w14:paraId="6D4ECC16" w14:textId="77777777" w:rsidR="00562CF6" w:rsidRPr="00562CF6" w:rsidRDefault="00562CF6" w:rsidP="00F54798">
            <w:pPr>
              <w:spacing w:after="0" w:line="240" w:lineRule="auto"/>
              <w:jc w:val="right"/>
              <w:rPr>
                <w:rFonts w:ascii="Calibri" w:eastAsia="Times New Roman" w:hAnsi="Calibri" w:cs="Times New Roman"/>
                <w:b/>
                <w:bCs/>
                <w:color w:val="000000"/>
              </w:rPr>
            </w:pPr>
            <w:r w:rsidRPr="00562CF6">
              <w:rPr>
                <w:rFonts w:ascii="Calibri" w:eastAsia="Times New Roman" w:hAnsi="Calibri" w:cs="Times New Roman"/>
                <w:b/>
                <w:bCs/>
                <w:color w:val="000000"/>
              </w:rPr>
              <w:t>Tests/1000 person-years</w:t>
            </w:r>
          </w:p>
        </w:tc>
        <w:tc>
          <w:tcPr>
            <w:tcW w:w="663" w:type="dxa"/>
            <w:vMerge w:val="restart"/>
            <w:tcBorders>
              <w:left w:val="single" w:sz="4" w:space="0" w:color="auto"/>
            </w:tcBorders>
            <w:shd w:val="clear" w:color="auto" w:fill="auto"/>
            <w:noWrap/>
            <w:vAlign w:val="center"/>
            <w:hideMark/>
          </w:tcPr>
          <w:p w14:paraId="02F86AD2" w14:textId="77777777" w:rsidR="00562CF6" w:rsidRPr="00562CF6" w:rsidRDefault="00562CF6" w:rsidP="00F54798">
            <w:pPr>
              <w:spacing w:after="0" w:line="240" w:lineRule="auto"/>
              <w:jc w:val="right"/>
              <w:rPr>
                <w:rFonts w:ascii="Calibri" w:eastAsia="Times New Roman" w:hAnsi="Calibri" w:cs="Times New Roman"/>
                <w:b/>
                <w:bCs/>
                <w:color w:val="000000"/>
              </w:rPr>
            </w:pPr>
            <w:r w:rsidRPr="00562CF6">
              <w:rPr>
                <w:rFonts w:ascii="Calibri" w:eastAsia="Times New Roman" w:hAnsi="Calibri" w:cs="Times New Roman"/>
                <w:b/>
                <w:bCs/>
                <w:color w:val="000000"/>
              </w:rPr>
              <w:t>N</w:t>
            </w:r>
          </w:p>
        </w:tc>
        <w:tc>
          <w:tcPr>
            <w:tcW w:w="1460" w:type="dxa"/>
            <w:shd w:val="clear" w:color="auto" w:fill="auto"/>
            <w:noWrap/>
            <w:vAlign w:val="center"/>
            <w:hideMark/>
          </w:tcPr>
          <w:p w14:paraId="0F26B376" w14:textId="77777777" w:rsidR="00562CF6" w:rsidRPr="00562CF6" w:rsidRDefault="00562CF6" w:rsidP="00F54798">
            <w:pPr>
              <w:spacing w:after="0" w:line="240" w:lineRule="auto"/>
              <w:rPr>
                <w:rFonts w:ascii="Calibri" w:eastAsia="Times New Roman" w:hAnsi="Calibri" w:cs="Times New Roman"/>
                <w:b/>
                <w:bCs/>
                <w:color w:val="000000"/>
              </w:rPr>
            </w:pPr>
            <w:r w:rsidRPr="00562CF6">
              <w:rPr>
                <w:rFonts w:ascii="Calibri" w:eastAsia="Times New Roman" w:hAnsi="Calibri" w:cs="Times New Roman"/>
                <w:b/>
                <w:bCs/>
                <w:color w:val="000000"/>
              </w:rPr>
              <w:t>Episodes/</w:t>
            </w:r>
          </w:p>
        </w:tc>
      </w:tr>
      <w:tr w:rsidR="00562CF6" w:rsidRPr="00562CF6" w14:paraId="688F3CA6" w14:textId="77777777" w:rsidTr="00F54798">
        <w:trPr>
          <w:trHeight w:val="315"/>
        </w:trPr>
        <w:tc>
          <w:tcPr>
            <w:tcW w:w="1905" w:type="dxa"/>
            <w:vMerge/>
            <w:tcBorders>
              <w:bottom w:val="single" w:sz="4" w:space="0" w:color="auto"/>
            </w:tcBorders>
            <w:vAlign w:val="center"/>
            <w:hideMark/>
          </w:tcPr>
          <w:p w14:paraId="7FA03674" w14:textId="77777777" w:rsidR="00562CF6" w:rsidRPr="00562CF6" w:rsidRDefault="00562CF6" w:rsidP="00F54798">
            <w:pPr>
              <w:spacing w:after="0" w:line="240" w:lineRule="auto"/>
              <w:rPr>
                <w:rFonts w:ascii="Calibri" w:eastAsia="Times New Roman" w:hAnsi="Calibri" w:cs="Times New Roman"/>
                <w:b/>
                <w:bCs/>
                <w:color w:val="000000"/>
              </w:rPr>
            </w:pPr>
          </w:p>
        </w:tc>
        <w:tc>
          <w:tcPr>
            <w:tcW w:w="1205" w:type="dxa"/>
            <w:tcBorders>
              <w:bottom w:val="single" w:sz="4" w:space="0" w:color="auto"/>
              <w:right w:val="single" w:sz="4" w:space="0" w:color="auto"/>
            </w:tcBorders>
            <w:shd w:val="clear" w:color="auto" w:fill="auto"/>
            <w:noWrap/>
            <w:vAlign w:val="center"/>
            <w:hideMark/>
          </w:tcPr>
          <w:p w14:paraId="40560823" w14:textId="77777777" w:rsidR="00562CF6" w:rsidRPr="00562CF6" w:rsidRDefault="00562CF6" w:rsidP="00F54798">
            <w:pPr>
              <w:spacing w:after="0" w:line="240" w:lineRule="auto"/>
              <w:rPr>
                <w:rFonts w:ascii="Calibri" w:eastAsia="Times New Roman" w:hAnsi="Calibri" w:cs="Times New Roman"/>
                <w:b/>
                <w:bCs/>
                <w:color w:val="000000"/>
              </w:rPr>
            </w:pPr>
          </w:p>
        </w:tc>
        <w:tc>
          <w:tcPr>
            <w:tcW w:w="663" w:type="dxa"/>
            <w:vMerge/>
            <w:tcBorders>
              <w:left w:val="single" w:sz="4" w:space="0" w:color="auto"/>
              <w:bottom w:val="single" w:sz="4" w:space="0" w:color="auto"/>
            </w:tcBorders>
            <w:vAlign w:val="center"/>
            <w:hideMark/>
          </w:tcPr>
          <w:p w14:paraId="3F82F444" w14:textId="77777777" w:rsidR="00562CF6" w:rsidRPr="00562CF6" w:rsidRDefault="00562CF6" w:rsidP="00F54798">
            <w:pPr>
              <w:spacing w:after="0" w:line="240" w:lineRule="auto"/>
              <w:rPr>
                <w:rFonts w:ascii="Calibri" w:eastAsia="Times New Roman" w:hAnsi="Calibri" w:cs="Times New Roman"/>
                <w:b/>
                <w:bCs/>
                <w:color w:val="000000"/>
              </w:rPr>
            </w:pPr>
          </w:p>
        </w:tc>
        <w:tc>
          <w:tcPr>
            <w:tcW w:w="1229" w:type="dxa"/>
            <w:vMerge/>
            <w:tcBorders>
              <w:bottom w:val="single" w:sz="4" w:space="0" w:color="auto"/>
              <w:right w:val="single" w:sz="4" w:space="0" w:color="auto"/>
            </w:tcBorders>
            <w:vAlign w:val="center"/>
            <w:hideMark/>
          </w:tcPr>
          <w:p w14:paraId="1DE1AE78" w14:textId="77777777" w:rsidR="00562CF6" w:rsidRPr="00562CF6" w:rsidRDefault="00562CF6" w:rsidP="00F54798">
            <w:pPr>
              <w:spacing w:after="0" w:line="240" w:lineRule="auto"/>
              <w:rPr>
                <w:rFonts w:ascii="Calibri" w:eastAsia="Times New Roman" w:hAnsi="Calibri" w:cs="Times New Roman"/>
                <w:b/>
                <w:bCs/>
                <w:color w:val="000000"/>
              </w:rPr>
            </w:pPr>
          </w:p>
        </w:tc>
        <w:tc>
          <w:tcPr>
            <w:tcW w:w="551" w:type="dxa"/>
            <w:vMerge/>
            <w:tcBorders>
              <w:left w:val="single" w:sz="4" w:space="0" w:color="auto"/>
              <w:bottom w:val="single" w:sz="4" w:space="0" w:color="auto"/>
            </w:tcBorders>
            <w:vAlign w:val="center"/>
            <w:hideMark/>
          </w:tcPr>
          <w:p w14:paraId="75EEFC4B" w14:textId="77777777" w:rsidR="00562CF6" w:rsidRPr="00562CF6" w:rsidRDefault="00562CF6" w:rsidP="00F54798">
            <w:pPr>
              <w:spacing w:after="0" w:line="240" w:lineRule="auto"/>
              <w:rPr>
                <w:rFonts w:ascii="Calibri" w:eastAsia="Times New Roman" w:hAnsi="Calibri" w:cs="Times New Roman"/>
                <w:b/>
                <w:bCs/>
                <w:color w:val="000000"/>
              </w:rPr>
            </w:pPr>
          </w:p>
        </w:tc>
        <w:tc>
          <w:tcPr>
            <w:tcW w:w="1609" w:type="dxa"/>
            <w:vMerge/>
            <w:tcBorders>
              <w:bottom w:val="single" w:sz="4" w:space="0" w:color="auto"/>
              <w:right w:val="single" w:sz="4" w:space="0" w:color="auto"/>
            </w:tcBorders>
            <w:vAlign w:val="center"/>
            <w:hideMark/>
          </w:tcPr>
          <w:p w14:paraId="6C51CD1E" w14:textId="77777777" w:rsidR="00562CF6" w:rsidRPr="00562CF6" w:rsidRDefault="00562CF6" w:rsidP="00F54798">
            <w:pPr>
              <w:spacing w:after="0" w:line="240" w:lineRule="auto"/>
              <w:rPr>
                <w:rFonts w:ascii="Calibri" w:eastAsia="Times New Roman" w:hAnsi="Calibri" w:cs="Times New Roman"/>
                <w:b/>
                <w:bCs/>
                <w:color w:val="000000"/>
              </w:rPr>
            </w:pPr>
          </w:p>
        </w:tc>
        <w:tc>
          <w:tcPr>
            <w:tcW w:w="663" w:type="dxa"/>
            <w:vMerge/>
            <w:tcBorders>
              <w:left w:val="single" w:sz="4" w:space="0" w:color="auto"/>
              <w:bottom w:val="single" w:sz="4" w:space="0" w:color="auto"/>
            </w:tcBorders>
            <w:vAlign w:val="center"/>
            <w:hideMark/>
          </w:tcPr>
          <w:p w14:paraId="1936EC1D" w14:textId="77777777" w:rsidR="00562CF6" w:rsidRPr="00562CF6" w:rsidRDefault="00562CF6" w:rsidP="00F54798">
            <w:pPr>
              <w:spacing w:after="0" w:line="240" w:lineRule="auto"/>
              <w:rPr>
                <w:rFonts w:ascii="Calibri" w:eastAsia="Times New Roman" w:hAnsi="Calibri" w:cs="Times New Roman"/>
                <w:b/>
                <w:bCs/>
                <w:color w:val="000000"/>
              </w:rPr>
            </w:pPr>
          </w:p>
        </w:tc>
        <w:tc>
          <w:tcPr>
            <w:tcW w:w="1460" w:type="dxa"/>
            <w:tcBorders>
              <w:bottom w:val="single" w:sz="4" w:space="0" w:color="auto"/>
            </w:tcBorders>
            <w:shd w:val="clear" w:color="auto" w:fill="auto"/>
            <w:noWrap/>
            <w:vAlign w:val="center"/>
            <w:hideMark/>
          </w:tcPr>
          <w:p w14:paraId="6B0CE3E2" w14:textId="77777777" w:rsidR="00562CF6" w:rsidRPr="00562CF6" w:rsidRDefault="00562CF6" w:rsidP="00F54798">
            <w:pPr>
              <w:spacing w:after="0" w:line="240" w:lineRule="auto"/>
              <w:rPr>
                <w:rFonts w:ascii="Calibri" w:eastAsia="Times New Roman" w:hAnsi="Calibri" w:cs="Times New Roman"/>
                <w:b/>
                <w:bCs/>
                <w:color w:val="000000"/>
              </w:rPr>
            </w:pPr>
            <w:r w:rsidRPr="00562CF6">
              <w:rPr>
                <w:rFonts w:ascii="Calibri" w:eastAsia="Times New Roman" w:hAnsi="Calibri" w:cs="Times New Roman"/>
                <w:b/>
                <w:bCs/>
                <w:color w:val="000000"/>
              </w:rPr>
              <w:t>1000 person-years</w:t>
            </w:r>
          </w:p>
        </w:tc>
      </w:tr>
      <w:tr w:rsidR="00562CF6" w:rsidRPr="00562CF6" w14:paraId="74DB4EF2" w14:textId="77777777" w:rsidTr="00F54798">
        <w:trPr>
          <w:trHeight w:val="300"/>
        </w:trPr>
        <w:tc>
          <w:tcPr>
            <w:tcW w:w="1905" w:type="dxa"/>
            <w:tcBorders>
              <w:top w:val="single" w:sz="4" w:space="0" w:color="auto"/>
            </w:tcBorders>
            <w:shd w:val="clear" w:color="auto" w:fill="auto"/>
            <w:vAlign w:val="center"/>
            <w:hideMark/>
          </w:tcPr>
          <w:p w14:paraId="5A16ADB4"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AMACS</w:t>
            </w:r>
          </w:p>
        </w:tc>
        <w:tc>
          <w:tcPr>
            <w:tcW w:w="1205" w:type="dxa"/>
            <w:tcBorders>
              <w:top w:val="single" w:sz="4" w:space="0" w:color="auto"/>
              <w:right w:val="single" w:sz="4" w:space="0" w:color="auto"/>
            </w:tcBorders>
            <w:shd w:val="clear" w:color="auto" w:fill="auto"/>
            <w:noWrap/>
            <w:vAlign w:val="center"/>
            <w:hideMark/>
          </w:tcPr>
          <w:p w14:paraId="3312C6D5"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4283</w:t>
            </w:r>
          </w:p>
        </w:tc>
        <w:tc>
          <w:tcPr>
            <w:tcW w:w="663" w:type="dxa"/>
            <w:tcBorders>
              <w:top w:val="single" w:sz="4" w:space="0" w:color="auto"/>
              <w:left w:val="single" w:sz="4" w:space="0" w:color="auto"/>
            </w:tcBorders>
            <w:shd w:val="clear" w:color="auto" w:fill="auto"/>
            <w:noWrap/>
            <w:vAlign w:val="center"/>
            <w:hideMark/>
          </w:tcPr>
          <w:p w14:paraId="72629731"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29</w:t>
            </w:r>
          </w:p>
        </w:tc>
        <w:tc>
          <w:tcPr>
            <w:tcW w:w="1229" w:type="dxa"/>
            <w:tcBorders>
              <w:top w:val="single" w:sz="4" w:space="0" w:color="auto"/>
              <w:right w:val="single" w:sz="4" w:space="0" w:color="auto"/>
            </w:tcBorders>
            <w:shd w:val="clear" w:color="auto" w:fill="auto"/>
            <w:noWrap/>
            <w:vAlign w:val="center"/>
            <w:hideMark/>
          </w:tcPr>
          <w:p w14:paraId="4B4F2D62"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2.8</w:t>
            </w:r>
          </w:p>
        </w:tc>
        <w:tc>
          <w:tcPr>
            <w:tcW w:w="551" w:type="dxa"/>
            <w:tcBorders>
              <w:top w:val="single" w:sz="4" w:space="0" w:color="auto"/>
              <w:left w:val="single" w:sz="4" w:space="0" w:color="auto"/>
            </w:tcBorders>
            <w:shd w:val="clear" w:color="auto" w:fill="auto"/>
            <w:noWrap/>
            <w:vAlign w:val="center"/>
            <w:hideMark/>
          </w:tcPr>
          <w:p w14:paraId="378CE8BC"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25</w:t>
            </w:r>
          </w:p>
        </w:tc>
        <w:tc>
          <w:tcPr>
            <w:tcW w:w="1609" w:type="dxa"/>
            <w:tcBorders>
              <w:top w:val="single" w:sz="4" w:space="0" w:color="auto"/>
              <w:right w:val="single" w:sz="4" w:space="0" w:color="auto"/>
            </w:tcBorders>
            <w:shd w:val="clear" w:color="auto" w:fill="auto"/>
            <w:noWrap/>
            <w:vAlign w:val="center"/>
            <w:hideMark/>
          </w:tcPr>
          <w:p w14:paraId="33C94FDC"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2.5</w:t>
            </w:r>
          </w:p>
        </w:tc>
        <w:tc>
          <w:tcPr>
            <w:tcW w:w="663" w:type="dxa"/>
            <w:tcBorders>
              <w:top w:val="single" w:sz="4" w:space="0" w:color="auto"/>
              <w:left w:val="single" w:sz="4" w:space="0" w:color="auto"/>
            </w:tcBorders>
            <w:shd w:val="clear" w:color="auto" w:fill="auto"/>
            <w:noWrap/>
            <w:vAlign w:val="center"/>
            <w:hideMark/>
          </w:tcPr>
          <w:p w14:paraId="4D098369"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160</w:t>
            </w:r>
          </w:p>
        </w:tc>
        <w:tc>
          <w:tcPr>
            <w:tcW w:w="1460" w:type="dxa"/>
            <w:tcBorders>
              <w:top w:val="single" w:sz="4" w:space="0" w:color="auto"/>
            </w:tcBorders>
            <w:shd w:val="clear" w:color="auto" w:fill="auto"/>
            <w:noWrap/>
            <w:vAlign w:val="center"/>
            <w:hideMark/>
          </w:tcPr>
          <w:p w14:paraId="010340D8"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15.7</w:t>
            </w:r>
          </w:p>
        </w:tc>
      </w:tr>
      <w:tr w:rsidR="00562CF6" w:rsidRPr="00562CF6" w14:paraId="4E2264BE" w14:textId="77777777" w:rsidTr="00F54798">
        <w:trPr>
          <w:trHeight w:val="300"/>
        </w:trPr>
        <w:tc>
          <w:tcPr>
            <w:tcW w:w="1905" w:type="dxa"/>
            <w:shd w:val="clear" w:color="auto" w:fill="auto"/>
            <w:vAlign w:val="center"/>
            <w:hideMark/>
          </w:tcPr>
          <w:p w14:paraId="1C7087C3"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ATHENA</w:t>
            </w:r>
          </w:p>
        </w:tc>
        <w:tc>
          <w:tcPr>
            <w:tcW w:w="1205" w:type="dxa"/>
            <w:tcBorders>
              <w:right w:val="single" w:sz="4" w:space="0" w:color="auto"/>
            </w:tcBorders>
            <w:shd w:val="clear" w:color="auto" w:fill="auto"/>
            <w:noWrap/>
            <w:vAlign w:val="center"/>
            <w:hideMark/>
          </w:tcPr>
          <w:p w14:paraId="24150DCC"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11259</w:t>
            </w:r>
          </w:p>
        </w:tc>
        <w:tc>
          <w:tcPr>
            <w:tcW w:w="663" w:type="dxa"/>
            <w:tcBorders>
              <w:left w:val="single" w:sz="4" w:space="0" w:color="auto"/>
            </w:tcBorders>
            <w:shd w:val="clear" w:color="auto" w:fill="auto"/>
            <w:noWrap/>
            <w:vAlign w:val="center"/>
            <w:hideMark/>
          </w:tcPr>
          <w:p w14:paraId="56BF094C"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305</w:t>
            </w:r>
          </w:p>
        </w:tc>
        <w:tc>
          <w:tcPr>
            <w:tcW w:w="1229" w:type="dxa"/>
            <w:tcBorders>
              <w:right w:val="single" w:sz="4" w:space="0" w:color="auto"/>
            </w:tcBorders>
            <w:shd w:val="clear" w:color="auto" w:fill="auto"/>
            <w:noWrap/>
            <w:vAlign w:val="center"/>
            <w:hideMark/>
          </w:tcPr>
          <w:p w14:paraId="79D49FAB"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9.3</w:t>
            </w:r>
          </w:p>
        </w:tc>
        <w:tc>
          <w:tcPr>
            <w:tcW w:w="551" w:type="dxa"/>
            <w:tcBorders>
              <w:left w:val="single" w:sz="4" w:space="0" w:color="auto"/>
            </w:tcBorders>
            <w:shd w:val="clear" w:color="auto" w:fill="auto"/>
            <w:noWrap/>
            <w:vAlign w:val="center"/>
            <w:hideMark/>
          </w:tcPr>
          <w:p w14:paraId="6CFE5502"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132</w:t>
            </w:r>
          </w:p>
        </w:tc>
        <w:tc>
          <w:tcPr>
            <w:tcW w:w="1609" w:type="dxa"/>
            <w:tcBorders>
              <w:right w:val="single" w:sz="4" w:space="0" w:color="auto"/>
            </w:tcBorders>
            <w:shd w:val="clear" w:color="auto" w:fill="auto"/>
            <w:noWrap/>
            <w:vAlign w:val="center"/>
            <w:hideMark/>
          </w:tcPr>
          <w:p w14:paraId="74103186"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4.0</w:t>
            </w:r>
          </w:p>
        </w:tc>
        <w:tc>
          <w:tcPr>
            <w:tcW w:w="663" w:type="dxa"/>
            <w:tcBorders>
              <w:left w:val="single" w:sz="4" w:space="0" w:color="auto"/>
            </w:tcBorders>
            <w:shd w:val="clear" w:color="auto" w:fill="auto"/>
            <w:noWrap/>
            <w:vAlign w:val="center"/>
            <w:hideMark/>
          </w:tcPr>
          <w:p w14:paraId="2C48CF00"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284</w:t>
            </w:r>
          </w:p>
        </w:tc>
        <w:tc>
          <w:tcPr>
            <w:tcW w:w="1460" w:type="dxa"/>
            <w:shd w:val="clear" w:color="auto" w:fill="auto"/>
            <w:noWrap/>
            <w:vAlign w:val="center"/>
            <w:hideMark/>
          </w:tcPr>
          <w:p w14:paraId="003A0D71"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8.7</w:t>
            </w:r>
          </w:p>
        </w:tc>
      </w:tr>
      <w:tr w:rsidR="00562CF6" w:rsidRPr="00562CF6" w14:paraId="33A6009E" w14:textId="77777777" w:rsidTr="00F54798">
        <w:trPr>
          <w:trHeight w:val="315"/>
        </w:trPr>
        <w:tc>
          <w:tcPr>
            <w:tcW w:w="1905" w:type="dxa"/>
            <w:shd w:val="clear" w:color="auto" w:fill="auto"/>
            <w:vAlign w:val="center"/>
            <w:hideMark/>
          </w:tcPr>
          <w:p w14:paraId="187FABD0"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UK CHIC/DRD</w:t>
            </w:r>
          </w:p>
        </w:tc>
        <w:tc>
          <w:tcPr>
            <w:tcW w:w="1205" w:type="dxa"/>
            <w:tcBorders>
              <w:right w:val="single" w:sz="4" w:space="0" w:color="auto"/>
            </w:tcBorders>
            <w:shd w:val="clear" w:color="auto" w:fill="auto"/>
            <w:noWrap/>
            <w:vAlign w:val="center"/>
            <w:hideMark/>
          </w:tcPr>
          <w:p w14:paraId="74EF03CE"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22314</w:t>
            </w:r>
          </w:p>
        </w:tc>
        <w:tc>
          <w:tcPr>
            <w:tcW w:w="663" w:type="dxa"/>
            <w:tcBorders>
              <w:left w:val="single" w:sz="4" w:space="0" w:color="auto"/>
            </w:tcBorders>
            <w:shd w:val="clear" w:color="auto" w:fill="auto"/>
            <w:noWrap/>
            <w:vAlign w:val="center"/>
            <w:hideMark/>
          </w:tcPr>
          <w:p w14:paraId="1071ED5A"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1687</w:t>
            </w:r>
          </w:p>
        </w:tc>
        <w:tc>
          <w:tcPr>
            <w:tcW w:w="1229" w:type="dxa"/>
            <w:tcBorders>
              <w:right w:val="single" w:sz="4" w:space="0" w:color="auto"/>
            </w:tcBorders>
            <w:shd w:val="clear" w:color="auto" w:fill="auto"/>
            <w:noWrap/>
            <w:vAlign w:val="center"/>
            <w:hideMark/>
          </w:tcPr>
          <w:p w14:paraId="7DAB3E61"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31.5</w:t>
            </w:r>
          </w:p>
        </w:tc>
        <w:tc>
          <w:tcPr>
            <w:tcW w:w="551" w:type="dxa"/>
            <w:tcBorders>
              <w:left w:val="single" w:sz="4" w:space="0" w:color="auto"/>
            </w:tcBorders>
            <w:shd w:val="clear" w:color="auto" w:fill="auto"/>
            <w:noWrap/>
            <w:vAlign w:val="center"/>
            <w:hideMark/>
          </w:tcPr>
          <w:p w14:paraId="2D850148"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466</w:t>
            </w:r>
          </w:p>
        </w:tc>
        <w:tc>
          <w:tcPr>
            <w:tcW w:w="1609" w:type="dxa"/>
            <w:tcBorders>
              <w:right w:val="single" w:sz="4" w:space="0" w:color="auto"/>
            </w:tcBorders>
            <w:shd w:val="clear" w:color="auto" w:fill="auto"/>
            <w:noWrap/>
            <w:vAlign w:val="center"/>
            <w:hideMark/>
          </w:tcPr>
          <w:p w14:paraId="628EEC50"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8.7</w:t>
            </w:r>
          </w:p>
        </w:tc>
        <w:tc>
          <w:tcPr>
            <w:tcW w:w="663" w:type="dxa"/>
            <w:tcBorders>
              <w:left w:val="single" w:sz="4" w:space="0" w:color="auto"/>
            </w:tcBorders>
            <w:shd w:val="clear" w:color="auto" w:fill="auto"/>
            <w:noWrap/>
            <w:vAlign w:val="center"/>
            <w:hideMark/>
          </w:tcPr>
          <w:p w14:paraId="200CAC01"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876</w:t>
            </w:r>
          </w:p>
        </w:tc>
        <w:tc>
          <w:tcPr>
            <w:tcW w:w="1460" w:type="dxa"/>
            <w:shd w:val="clear" w:color="auto" w:fill="auto"/>
            <w:noWrap/>
            <w:vAlign w:val="center"/>
            <w:hideMark/>
          </w:tcPr>
          <w:p w14:paraId="212F6E45"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16.3</w:t>
            </w:r>
          </w:p>
        </w:tc>
      </w:tr>
      <w:tr w:rsidR="00562CF6" w:rsidRPr="00562CF6" w14:paraId="4606A7C0" w14:textId="77777777" w:rsidTr="00F54798">
        <w:trPr>
          <w:trHeight w:val="300"/>
        </w:trPr>
        <w:tc>
          <w:tcPr>
            <w:tcW w:w="1905" w:type="dxa"/>
            <w:shd w:val="clear" w:color="auto" w:fill="auto"/>
            <w:vAlign w:val="center"/>
            <w:hideMark/>
          </w:tcPr>
          <w:p w14:paraId="0272860B"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CoRIS</w:t>
            </w:r>
          </w:p>
        </w:tc>
        <w:tc>
          <w:tcPr>
            <w:tcW w:w="1205" w:type="dxa"/>
            <w:tcBorders>
              <w:right w:val="single" w:sz="4" w:space="0" w:color="auto"/>
            </w:tcBorders>
            <w:shd w:val="clear" w:color="auto" w:fill="auto"/>
            <w:noWrap/>
            <w:vAlign w:val="center"/>
            <w:hideMark/>
          </w:tcPr>
          <w:p w14:paraId="7E8D02E6"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6388</w:t>
            </w:r>
          </w:p>
        </w:tc>
        <w:tc>
          <w:tcPr>
            <w:tcW w:w="663" w:type="dxa"/>
            <w:tcBorders>
              <w:left w:val="single" w:sz="4" w:space="0" w:color="auto"/>
            </w:tcBorders>
            <w:shd w:val="clear" w:color="auto" w:fill="auto"/>
            <w:noWrap/>
            <w:vAlign w:val="center"/>
            <w:hideMark/>
          </w:tcPr>
          <w:p w14:paraId="02B52686"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156</w:t>
            </w:r>
          </w:p>
        </w:tc>
        <w:tc>
          <w:tcPr>
            <w:tcW w:w="1229" w:type="dxa"/>
            <w:tcBorders>
              <w:right w:val="single" w:sz="4" w:space="0" w:color="auto"/>
            </w:tcBorders>
            <w:shd w:val="clear" w:color="auto" w:fill="auto"/>
            <w:noWrap/>
            <w:vAlign w:val="center"/>
            <w:hideMark/>
          </w:tcPr>
          <w:p w14:paraId="7A939B8C"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12.0</w:t>
            </w:r>
          </w:p>
        </w:tc>
        <w:tc>
          <w:tcPr>
            <w:tcW w:w="551" w:type="dxa"/>
            <w:tcBorders>
              <w:left w:val="single" w:sz="4" w:space="0" w:color="auto"/>
            </w:tcBorders>
            <w:shd w:val="clear" w:color="auto" w:fill="auto"/>
            <w:noWrap/>
            <w:vAlign w:val="center"/>
            <w:hideMark/>
          </w:tcPr>
          <w:p w14:paraId="0BC344E6"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50</w:t>
            </w:r>
          </w:p>
        </w:tc>
        <w:tc>
          <w:tcPr>
            <w:tcW w:w="1609" w:type="dxa"/>
            <w:tcBorders>
              <w:right w:val="single" w:sz="4" w:space="0" w:color="auto"/>
            </w:tcBorders>
            <w:shd w:val="clear" w:color="auto" w:fill="auto"/>
            <w:noWrap/>
            <w:vAlign w:val="center"/>
            <w:hideMark/>
          </w:tcPr>
          <w:p w14:paraId="5D36D97C"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3.8</w:t>
            </w:r>
          </w:p>
        </w:tc>
        <w:tc>
          <w:tcPr>
            <w:tcW w:w="663" w:type="dxa"/>
            <w:tcBorders>
              <w:left w:val="single" w:sz="4" w:space="0" w:color="auto"/>
            </w:tcBorders>
            <w:shd w:val="clear" w:color="auto" w:fill="auto"/>
            <w:noWrap/>
            <w:vAlign w:val="center"/>
            <w:hideMark/>
          </w:tcPr>
          <w:p w14:paraId="1C425127"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103</w:t>
            </w:r>
          </w:p>
        </w:tc>
        <w:tc>
          <w:tcPr>
            <w:tcW w:w="1460" w:type="dxa"/>
            <w:shd w:val="clear" w:color="auto" w:fill="auto"/>
            <w:noWrap/>
            <w:vAlign w:val="center"/>
            <w:hideMark/>
          </w:tcPr>
          <w:p w14:paraId="372FF63F"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7.9</w:t>
            </w:r>
          </w:p>
        </w:tc>
      </w:tr>
      <w:tr w:rsidR="00562CF6" w:rsidRPr="00562CF6" w14:paraId="36E1C577" w14:textId="77777777" w:rsidTr="00F54798">
        <w:trPr>
          <w:trHeight w:val="300"/>
        </w:trPr>
        <w:tc>
          <w:tcPr>
            <w:tcW w:w="1905" w:type="dxa"/>
            <w:shd w:val="clear" w:color="auto" w:fill="auto"/>
            <w:vAlign w:val="center"/>
            <w:hideMark/>
          </w:tcPr>
          <w:p w14:paraId="085E5AED"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UK Register of Seroconverters</w:t>
            </w:r>
          </w:p>
        </w:tc>
        <w:tc>
          <w:tcPr>
            <w:tcW w:w="1205" w:type="dxa"/>
            <w:tcBorders>
              <w:right w:val="single" w:sz="4" w:space="0" w:color="auto"/>
            </w:tcBorders>
            <w:shd w:val="clear" w:color="auto" w:fill="auto"/>
            <w:noWrap/>
            <w:vAlign w:val="center"/>
            <w:hideMark/>
          </w:tcPr>
          <w:p w14:paraId="26D2F856"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2068</w:t>
            </w:r>
          </w:p>
        </w:tc>
        <w:tc>
          <w:tcPr>
            <w:tcW w:w="663" w:type="dxa"/>
            <w:tcBorders>
              <w:left w:val="single" w:sz="4" w:space="0" w:color="auto"/>
            </w:tcBorders>
            <w:shd w:val="clear" w:color="auto" w:fill="auto"/>
            <w:noWrap/>
            <w:vAlign w:val="center"/>
            <w:hideMark/>
          </w:tcPr>
          <w:p w14:paraId="068DC49A"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173</w:t>
            </w:r>
          </w:p>
        </w:tc>
        <w:tc>
          <w:tcPr>
            <w:tcW w:w="1229" w:type="dxa"/>
            <w:tcBorders>
              <w:right w:val="single" w:sz="4" w:space="0" w:color="auto"/>
            </w:tcBorders>
            <w:shd w:val="clear" w:color="auto" w:fill="auto"/>
            <w:noWrap/>
            <w:vAlign w:val="center"/>
            <w:hideMark/>
          </w:tcPr>
          <w:p w14:paraId="07BBF4C2"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28.5</w:t>
            </w:r>
          </w:p>
        </w:tc>
        <w:tc>
          <w:tcPr>
            <w:tcW w:w="551" w:type="dxa"/>
            <w:tcBorders>
              <w:left w:val="single" w:sz="4" w:space="0" w:color="auto"/>
            </w:tcBorders>
            <w:shd w:val="clear" w:color="auto" w:fill="auto"/>
            <w:noWrap/>
            <w:vAlign w:val="center"/>
            <w:hideMark/>
          </w:tcPr>
          <w:p w14:paraId="50A95B6A"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28</w:t>
            </w:r>
          </w:p>
        </w:tc>
        <w:tc>
          <w:tcPr>
            <w:tcW w:w="1609" w:type="dxa"/>
            <w:tcBorders>
              <w:right w:val="single" w:sz="4" w:space="0" w:color="auto"/>
            </w:tcBorders>
            <w:shd w:val="clear" w:color="auto" w:fill="auto"/>
            <w:noWrap/>
            <w:vAlign w:val="center"/>
            <w:hideMark/>
          </w:tcPr>
          <w:p w14:paraId="0C24E068"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4.6</w:t>
            </w:r>
          </w:p>
        </w:tc>
        <w:tc>
          <w:tcPr>
            <w:tcW w:w="663" w:type="dxa"/>
            <w:tcBorders>
              <w:left w:val="single" w:sz="4" w:space="0" w:color="auto"/>
            </w:tcBorders>
            <w:shd w:val="clear" w:color="auto" w:fill="auto"/>
            <w:noWrap/>
            <w:vAlign w:val="center"/>
            <w:hideMark/>
          </w:tcPr>
          <w:p w14:paraId="7DC1A2A9"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151</w:t>
            </w:r>
          </w:p>
        </w:tc>
        <w:tc>
          <w:tcPr>
            <w:tcW w:w="1460" w:type="dxa"/>
            <w:shd w:val="clear" w:color="auto" w:fill="auto"/>
            <w:noWrap/>
            <w:vAlign w:val="center"/>
            <w:hideMark/>
          </w:tcPr>
          <w:p w14:paraId="088A2608"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24.9</w:t>
            </w:r>
          </w:p>
        </w:tc>
      </w:tr>
      <w:tr w:rsidR="00562CF6" w:rsidRPr="00562CF6" w14:paraId="4F868C4A" w14:textId="77777777" w:rsidTr="00F54798">
        <w:trPr>
          <w:trHeight w:val="300"/>
        </w:trPr>
        <w:tc>
          <w:tcPr>
            <w:tcW w:w="1905" w:type="dxa"/>
            <w:shd w:val="clear" w:color="auto" w:fill="auto"/>
            <w:vAlign w:val="center"/>
            <w:hideMark/>
          </w:tcPr>
          <w:p w14:paraId="0E6147CA"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Swiss HIV Cohort Study</w:t>
            </w:r>
          </w:p>
        </w:tc>
        <w:tc>
          <w:tcPr>
            <w:tcW w:w="1205" w:type="dxa"/>
            <w:tcBorders>
              <w:right w:val="single" w:sz="4" w:space="0" w:color="auto"/>
            </w:tcBorders>
            <w:shd w:val="clear" w:color="auto" w:fill="auto"/>
            <w:noWrap/>
            <w:vAlign w:val="center"/>
            <w:hideMark/>
          </w:tcPr>
          <w:p w14:paraId="450BD6E4"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4669</w:t>
            </w:r>
          </w:p>
        </w:tc>
        <w:tc>
          <w:tcPr>
            <w:tcW w:w="663" w:type="dxa"/>
            <w:tcBorders>
              <w:left w:val="single" w:sz="4" w:space="0" w:color="auto"/>
            </w:tcBorders>
            <w:shd w:val="clear" w:color="auto" w:fill="auto"/>
            <w:noWrap/>
            <w:vAlign w:val="center"/>
            <w:hideMark/>
          </w:tcPr>
          <w:p w14:paraId="723FBFBE"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322</w:t>
            </w:r>
          </w:p>
        </w:tc>
        <w:tc>
          <w:tcPr>
            <w:tcW w:w="1229" w:type="dxa"/>
            <w:tcBorders>
              <w:right w:val="single" w:sz="4" w:space="0" w:color="auto"/>
            </w:tcBorders>
            <w:shd w:val="clear" w:color="auto" w:fill="auto"/>
            <w:noWrap/>
            <w:vAlign w:val="center"/>
            <w:hideMark/>
          </w:tcPr>
          <w:p w14:paraId="12ABD0D7"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18.9</w:t>
            </w:r>
          </w:p>
        </w:tc>
        <w:tc>
          <w:tcPr>
            <w:tcW w:w="551" w:type="dxa"/>
            <w:tcBorders>
              <w:left w:val="single" w:sz="4" w:space="0" w:color="auto"/>
            </w:tcBorders>
            <w:shd w:val="clear" w:color="auto" w:fill="auto"/>
            <w:noWrap/>
            <w:vAlign w:val="center"/>
            <w:hideMark/>
          </w:tcPr>
          <w:p w14:paraId="64778279"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93</w:t>
            </w:r>
          </w:p>
        </w:tc>
        <w:tc>
          <w:tcPr>
            <w:tcW w:w="1609" w:type="dxa"/>
            <w:tcBorders>
              <w:right w:val="single" w:sz="4" w:space="0" w:color="auto"/>
            </w:tcBorders>
            <w:shd w:val="clear" w:color="auto" w:fill="auto"/>
            <w:noWrap/>
            <w:vAlign w:val="center"/>
            <w:hideMark/>
          </w:tcPr>
          <w:p w14:paraId="57D548E7"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5.5</w:t>
            </w:r>
          </w:p>
        </w:tc>
        <w:tc>
          <w:tcPr>
            <w:tcW w:w="663" w:type="dxa"/>
            <w:tcBorders>
              <w:left w:val="single" w:sz="4" w:space="0" w:color="auto"/>
            </w:tcBorders>
            <w:shd w:val="clear" w:color="auto" w:fill="auto"/>
            <w:noWrap/>
            <w:vAlign w:val="center"/>
            <w:hideMark/>
          </w:tcPr>
          <w:p w14:paraId="2C5AA3CE"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300</w:t>
            </w:r>
          </w:p>
        </w:tc>
        <w:tc>
          <w:tcPr>
            <w:tcW w:w="1460" w:type="dxa"/>
            <w:shd w:val="clear" w:color="auto" w:fill="auto"/>
            <w:noWrap/>
            <w:vAlign w:val="center"/>
            <w:hideMark/>
          </w:tcPr>
          <w:p w14:paraId="2C4AE02B"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17.6</w:t>
            </w:r>
          </w:p>
        </w:tc>
      </w:tr>
      <w:tr w:rsidR="00562CF6" w:rsidRPr="00562CF6" w14:paraId="6B2B778C" w14:textId="77777777" w:rsidTr="00F54798">
        <w:trPr>
          <w:trHeight w:val="315"/>
        </w:trPr>
        <w:tc>
          <w:tcPr>
            <w:tcW w:w="1905" w:type="dxa"/>
            <w:tcBorders>
              <w:bottom w:val="single" w:sz="4" w:space="0" w:color="auto"/>
            </w:tcBorders>
            <w:shd w:val="clear" w:color="auto" w:fill="auto"/>
            <w:noWrap/>
            <w:vAlign w:val="center"/>
            <w:hideMark/>
          </w:tcPr>
          <w:p w14:paraId="77C0D556"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Overall</w:t>
            </w:r>
            <w:r w:rsidRPr="00562CF6">
              <w:rPr>
                <w:rFonts w:ascii="Calibri" w:eastAsia="Times New Roman" w:hAnsi="Calibri" w:cs="Times New Roman"/>
                <w:color w:val="000000"/>
                <w:sz w:val="18"/>
                <w:szCs w:val="18"/>
              </w:rPr>
              <w:t> </w:t>
            </w:r>
          </w:p>
        </w:tc>
        <w:tc>
          <w:tcPr>
            <w:tcW w:w="1205" w:type="dxa"/>
            <w:tcBorders>
              <w:bottom w:val="single" w:sz="4" w:space="0" w:color="auto"/>
              <w:right w:val="single" w:sz="4" w:space="0" w:color="auto"/>
            </w:tcBorders>
            <w:shd w:val="clear" w:color="auto" w:fill="auto"/>
            <w:noWrap/>
            <w:vAlign w:val="center"/>
            <w:hideMark/>
          </w:tcPr>
          <w:p w14:paraId="3BC53802"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50981</w:t>
            </w:r>
          </w:p>
        </w:tc>
        <w:tc>
          <w:tcPr>
            <w:tcW w:w="663" w:type="dxa"/>
            <w:tcBorders>
              <w:left w:val="single" w:sz="4" w:space="0" w:color="auto"/>
              <w:bottom w:val="single" w:sz="4" w:space="0" w:color="auto"/>
            </w:tcBorders>
            <w:shd w:val="clear" w:color="auto" w:fill="auto"/>
            <w:noWrap/>
            <w:vAlign w:val="center"/>
            <w:hideMark/>
          </w:tcPr>
          <w:p w14:paraId="180270A2"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2672</w:t>
            </w:r>
          </w:p>
        </w:tc>
        <w:tc>
          <w:tcPr>
            <w:tcW w:w="1229" w:type="dxa"/>
            <w:tcBorders>
              <w:bottom w:val="single" w:sz="4" w:space="0" w:color="auto"/>
              <w:right w:val="single" w:sz="4" w:space="0" w:color="auto"/>
            </w:tcBorders>
            <w:shd w:val="clear" w:color="auto" w:fill="auto"/>
            <w:noWrap/>
            <w:vAlign w:val="center"/>
            <w:hideMark/>
          </w:tcPr>
          <w:p w14:paraId="30A7AA67"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20.1</w:t>
            </w:r>
          </w:p>
        </w:tc>
        <w:tc>
          <w:tcPr>
            <w:tcW w:w="551" w:type="dxa"/>
            <w:tcBorders>
              <w:left w:val="single" w:sz="4" w:space="0" w:color="auto"/>
              <w:bottom w:val="single" w:sz="4" w:space="0" w:color="auto"/>
            </w:tcBorders>
            <w:shd w:val="clear" w:color="auto" w:fill="auto"/>
            <w:noWrap/>
            <w:vAlign w:val="center"/>
            <w:hideMark/>
          </w:tcPr>
          <w:p w14:paraId="2B410A0F"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794</w:t>
            </w:r>
          </w:p>
        </w:tc>
        <w:tc>
          <w:tcPr>
            <w:tcW w:w="1609" w:type="dxa"/>
            <w:tcBorders>
              <w:bottom w:val="single" w:sz="4" w:space="0" w:color="auto"/>
              <w:right w:val="single" w:sz="4" w:space="0" w:color="auto"/>
            </w:tcBorders>
            <w:shd w:val="clear" w:color="auto" w:fill="auto"/>
            <w:noWrap/>
            <w:vAlign w:val="center"/>
            <w:hideMark/>
          </w:tcPr>
          <w:p w14:paraId="792BB6B7"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6.0</w:t>
            </w:r>
          </w:p>
        </w:tc>
        <w:tc>
          <w:tcPr>
            <w:tcW w:w="663" w:type="dxa"/>
            <w:tcBorders>
              <w:left w:val="single" w:sz="4" w:space="0" w:color="auto"/>
              <w:bottom w:val="single" w:sz="4" w:space="0" w:color="auto"/>
            </w:tcBorders>
            <w:shd w:val="clear" w:color="auto" w:fill="auto"/>
            <w:noWrap/>
            <w:vAlign w:val="center"/>
            <w:hideMark/>
          </w:tcPr>
          <w:p w14:paraId="1D0D7F72"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1874</w:t>
            </w:r>
          </w:p>
        </w:tc>
        <w:tc>
          <w:tcPr>
            <w:tcW w:w="1460" w:type="dxa"/>
            <w:tcBorders>
              <w:bottom w:val="single" w:sz="4" w:space="0" w:color="auto"/>
            </w:tcBorders>
            <w:shd w:val="clear" w:color="auto" w:fill="auto"/>
            <w:noWrap/>
            <w:vAlign w:val="center"/>
            <w:hideMark/>
          </w:tcPr>
          <w:p w14:paraId="29DF00B9"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14.1</w:t>
            </w:r>
          </w:p>
        </w:tc>
      </w:tr>
    </w:tbl>
    <w:p w14:paraId="7D96147E" w14:textId="77777777" w:rsidR="00562CF6" w:rsidRPr="00562CF6" w:rsidRDefault="00562CF6" w:rsidP="00562CF6">
      <w:pPr>
        <w:rPr>
          <w:rFonts w:ascii="Calibri" w:hAnsi="Calibri"/>
        </w:rPr>
      </w:pPr>
    </w:p>
    <w:p w14:paraId="019D0F80" w14:textId="77777777" w:rsidR="00562CF6" w:rsidRPr="00562CF6" w:rsidRDefault="00562CF6" w:rsidP="00562CF6">
      <w:pPr>
        <w:rPr>
          <w:rFonts w:ascii="Calibri" w:hAnsi="Calibri"/>
        </w:rPr>
      </w:pPr>
      <w:r w:rsidRPr="00562CF6">
        <w:rPr>
          <w:rFonts w:ascii="Calibri" w:hAnsi="Calibri"/>
          <w:vertAlign w:val="superscript"/>
        </w:rPr>
        <w:t>*</w:t>
      </w:r>
      <w:r w:rsidRPr="00562CF6">
        <w:rPr>
          <w:rFonts w:ascii="Calibri" w:hAnsi="Calibri"/>
        </w:rPr>
        <w:t>Virological failure was defined as the second of two consecutive HIV-RNA≥1000 copies/mL preceded by HIV-RNA≤50 copies/mL.</w:t>
      </w:r>
    </w:p>
    <w:p w14:paraId="0168605E" w14:textId="77777777" w:rsidR="00562CF6" w:rsidRPr="00562CF6" w:rsidRDefault="00562CF6" w:rsidP="00562CF6">
      <w:pPr>
        <w:rPr>
          <w:rFonts w:ascii="Calibri" w:hAnsi="Calibri"/>
          <w:b/>
        </w:rPr>
      </w:pPr>
    </w:p>
    <w:p w14:paraId="1C45B8D7" w14:textId="77777777" w:rsidR="00562CF6" w:rsidRPr="00562CF6" w:rsidRDefault="00562CF6" w:rsidP="00562CF6">
      <w:pPr>
        <w:rPr>
          <w:rFonts w:ascii="Calibri" w:hAnsi="Calibri"/>
          <w:b/>
        </w:rPr>
      </w:pPr>
    </w:p>
    <w:p w14:paraId="39D0C20B" w14:textId="77777777" w:rsidR="00562CF6" w:rsidRPr="00562CF6" w:rsidRDefault="00562CF6" w:rsidP="00562CF6">
      <w:pPr>
        <w:rPr>
          <w:rFonts w:ascii="Calibri" w:hAnsi="Calibri"/>
          <w:b/>
        </w:rPr>
      </w:pPr>
    </w:p>
    <w:p w14:paraId="18B0F874" w14:textId="77777777" w:rsidR="00562CF6" w:rsidRPr="00562CF6" w:rsidRDefault="00562CF6" w:rsidP="00562CF6">
      <w:pPr>
        <w:rPr>
          <w:rFonts w:ascii="Calibri" w:hAnsi="Calibri"/>
          <w:b/>
        </w:rPr>
      </w:pPr>
    </w:p>
    <w:p w14:paraId="58382AD8" w14:textId="77777777" w:rsidR="00562CF6" w:rsidRPr="00562CF6" w:rsidRDefault="00562CF6" w:rsidP="00562CF6">
      <w:pPr>
        <w:rPr>
          <w:rFonts w:ascii="Calibri" w:hAnsi="Calibri"/>
          <w:b/>
        </w:rPr>
      </w:pPr>
    </w:p>
    <w:p w14:paraId="7DD07CDA" w14:textId="77777777" w:rsidR="00562CF6" w:rsidRPr="00562CF6" w:rsidRDefault="00562CF6" w:rsidP="00562CF6">
      <w:pPr>
        <w:rPr>
          <w:rFonts w:ascii="Calibri" w:hAnsi="Calibri"/>
        </w:rPr>
      </w:pPr>
    </w:p>
    <w:p w14:paraId="4252B5F9" w14:textId="77777777" w:rsidR="00562CF6" w:rsidRPr="00562CF6" w:rsidRDefault="00562CF6" w:rsidP="00562CF6">
      <w:pPr>
        <w:rPr>
          <w:rFonts w:ascii="Calibri" w:hAnsi="Calibri"/>
        </w:rPr>
      </w:pPr>
    </w:p>
    <w:p w14:paraId="7A1BF82E" w14:textId="77777777" w:rsidR="00562CF6" w:rsidRPr="00562CF6" w:rsidRDefault="00562CF6" w:rsidP="00562CF6">
      <w:pPr>
        <w:rPr>
          <w:rFonts w:ascii="Calibri" w:hAnsi="Calibri"/>
        </w:rPr>
      </w:pPr>
    </w:p>
    <w:p w14:paraId="1E0CFE0A" w14:textId="77777777" w:rsidR="00562CF6" w:rsidRPr="00562CF6" w:rsidRDefault="00562CF6" w:rsidP="00562CF6">
      <w:pPr>
        <w:rPr>
          <w:rFonts w:ascii="Calibri" w:hAnsi="Calibri"/>
        </w:rPr>
      </w:pPr>
    </w:p>
    <w:p w14:paraId="737A8CE3" w14:textId="77777777" w:rsidR="00562CF6" w:rsidRPr="00562CF6" w:rsidRDefault="00562CF6" w:rsidP="00562CF6">
      <w:pPr>
        <w:rPr>
          <w:rFonts w:ascii="Calibri" w:hAnsi="Calibri"/>
        </w:rPr>
      </w:pPr>
    </w:p>
    <w:p w14:paraId="3F7BD6B4" w14:textId="77777777" w:rsidR="00562CF6" w:rsidRPr="00562CF6" w:rsidRDefault="00562CF6" w:rsidP="00562CF6">
      <w:pPr>
        <w:rPr>
          <w:rFonts w:ascii="Calibri" w:hAnsi="Calibri"/>
        </w:rPr>
      </w:pPr>
      <w:r w:rsidRPr="00562CF6">
        <w:rPr>
          <w:rFonts w:ascii="Calibri" w:hAnsi="Calibri"/>
        </w:rPr>
        <w:lastRenderedPageBreak/>
        <w:t>Appendix Table 2. Examining the potential impact of cohort heterogeneity. Subgroup analyses excluding each cohort in turn. HIV-CAUSAL Collaboration 2000-2015.</w:t>
      </w:r>
    </w:p>
    <w:p w14:paraId="0CE88326" w14:textId="77777777" w:rsidR="00562CF6" w:rsidRPr="00562CF6" w:rsidRDefault="00562CF6" w:rsidP="00562CF6">
      <w:pPr>
        <w:rPr>
          <w:rFonts w:ascii="Calibri" w:hAnsi="Calibri"/>
        </w:rPr>
      </w:pPr>
    </w:p>
    <w:tbl>
      <w:tblPr>
        <w:tblW w:w="8005" w:type="dxa"/>
        <w:tblInd w:w="93" w:type="dxa"/>
        <w:tblLook w:val="04A0" w:firstRow="1" w:lastRow="0" w:firstColumn="1" w:lastColumn="0" w:noHBand="0" w:noVBand="1"/>
      </w:tblPr>
      <w:tblGrid>
        <w:gridCol w:w="3040"/>
        <w:gridCol w:w="2465"/>
        <w:gridCol w:w="2500"/>
      </w:tblGrid>
      <w:tr w:rsidR="00562CF6" w:rsidRPr="00562CF6" w14:paraId="2B63737F" w14:textId="77777777" w:rsidTr="00F54798">
        <w:trPr>
          <w:trHeight w:val="585"/>
        </w:trPr>
        <w:tc>
          <w:tcPr>
            <w:tcW w:w="3040" w:type="dxa"/>
            <w:vMerge w:val="restart"/>
            <w:tcBorders>
              <w:top w:val="single" w:sz="8" w:space="0" w:color="auto"/>
              <w:left w:val="nil"/>
              <w:bottom w:val="single" w:sz="8" w:space="0" w:color="000000"/>
              <w:right w:val="nil"/>
            </w:tcBorders>
            <w:shd w:val="clear" w:color="auto" w:fill="auto"/>
            <w:noWrap/>
            <w:vAlign w:val="center"/>
            <w:hideMark/>
          </w:tcPr>
          <w:p w14:paraId="4EFBEE6B" w14:textId="77777777" w:rsidR="00562CF6" w:rsidRPr="00562CF6" w:rsidRDefault="00562CF6" w:rsidP="00F54798">
            <w:pPr>
              <w:spacing w:after="0" w:line="240" w:lineRule="auto"/>
              <w:rPr>
                <w:rFonts w:ascii="Calibri" w:eastAsia="Times New Roman" w:hAnsi="Calibri" w:cs="Times New Roman"/>
                <w:b/>
                <w:bCs/>
                <w:color w:val="000000"/>
              </w:rPr>
            </w:pPr>
            <w:r w:rsidRPr="00562CF6">
              <w:rPr>
                <w:rFonts w:ascii="Calibri" w:eastAsia="Times New Roman" w:hAnsi="Calibri" w:cs="Times New Roman"/>
                <w:b/>
                <w:bCs/>
                <w:color w:val="000000"/>
              </w:rPr>
              <w:t>Excluded cohort</w:t>
            </w:r>
          </w:p>
        </w:tc>
        <w:tc>
          <w:tcPr>
            <w:tcW w:w="2465" w:type="dxa"/>
            <w:vMerge w:val="restart"/>
            <w:tcBorders>
              <w:top w:val="single" w:sz="8" w:space="0" w:color="auto"/>
              <w:left w:val="nil"/>
              <w:bottom w:val="single" w:sz="8" w:space="0" w:color="000000"/>
              <w:right w:val="nil"/>
            </w:tcBorders>
            <w:shd w:val="clear" w:color="auto" w:fill="auto"/>
            <w:vAlign w:val="center"/>
            <w:hideMark/>
          </w:tcPr>
          <w:p w14:paraId="31F65FC1" w14:textId="77777777" w:rsidR="00562CF6" w:rsidRPr="00562CF6" w:rsidRDefault="00562CF6" w:rsidP="00F54798">
            <w:pPr>
              <w:spacing w:after="0" w:line="240" w:lineRule="auto"/>
              <w:rPr>
                <w:rFonts w:ascii="Calibri" w:eastAsia="Times New Roman" w:hAnsi="Calibri" w:cs="Times New Roman"/>
                <w:b/>
                <w:bCs/>
                <w:color w:val="000000"/>
              </w:rPr>
            </w:pPr>
            <w:r w:rsidRPr="00562CF6">
              <w:rPr>
                <w:rFonts w:ascii="Calibri" w:eastAsia="Times New Roman" w:hAnsi="Calibri" w:cs="Times New Roman"/>
                <w:b/>
                <w:bCs/>
                <w:color w:val="000000"/>
              </w:rPr>
              <w:t>ART initiation strategy</w:t>
            </w:r>
          </w:p>
        </w:tc>
        <w:tc>
          <w:tcPr>
            <w:tcW w:w="2500" w:type="dxa"/>
            <w:vMerge w:val="restart"/>
            <w:tcBorders>
              <w:top w:val="single" w:sz="8" w:space="0" w:color="auto"/>
              <w:left w:val="nil"/>
              <w:bottom w:val="single" w:sz="8" w:space="0" w:color="000000"/>
              <w:right w:val="nil"/>
            </w:tcBorders>
            <w:shd w:val="clear" w:color="auto" w:fill="auto"/>
            <w:noWrap/>
            <w:vAlign w:val="center"/>
            <w:hideMark/>
          </w:tcPr>
          <w:p w14:paraId="53C443A2" w14:textId="77777777" w:rsidR="00562CF6" w:rsidRPr="00562CF6" w:rsidRDefault="00562CF6" w:rsidP="00F54798">
            <w:pPr>
              <w:spacing w:after="0" w:line="240" w:lineRule="auto"/>
              <w:jc w:val="center"/>
              <w:rPr>
                <w:rFonts w:ascii="Calibri" w:eastAsia="Times New Roman" w:hAnsi="Calibri" w:cs="Times New Roman"/>
                <w:b/>
                <w:bCs/>
                <w:color w:val="000000"/>
              </w:rPr>
            </w:pPr>
            <w:r w:rsidRPr="00562CF6">
              <w:rPr>
                <w:rFonts w:ascii="Calibri" w:eastAsia="Times New Roman" w:hAnsi="Calibri" w:cs="Times New Roman"/>
                <w:b/>
                <w:bCs/>
                <w:color w:val="000000"/>
              </w:rPr>
              <w:t>Risk at 7 years, % (95% CI)</w:t>
            </w:r>
          </w:p>
        </w:tc>
      </w:tr>
      <w:tr w:rsidR="00562CF6" w:rsidRPr="00562CF6" w14:paraId="0522208B" w14:textId="77777777" w:rsidTr="00F54798">
        <w:trPr>
          <w:trHeight w:val="509"/>
        </w:trPr>
        <w:tc>
          <w:tcPr>
            <w:tcW w:w="3040" w:type="dxa"/>
            <w:vMerge/>
            <w:tcBorders>
              <w:top w:val="single" w:sz="8" w:space="0" w:color="auto"/>
              <w:left w:val="nil"/>
              <w:bottom w:val="single" w:sz="8" w:space="0" w:color="000000"/>
              <w:right w:val="nil"/>
            </w:tcBorders>
            <w:vAlign w:val="center"/>
            <w:hideMark/>
          </w:tcPr>
          <w:p w14:paraId="21529A38" w14:textId="77777777" w:rsidR="00562CF6" w:rsidRPr="00562CF6" w:rsidRDefault="00562CF6" w:rsidP="00F54798">
            <w:pPr>
              <w:spacing w:after="0" w:line="240" w:lineRule="auto"/>
              <w:rPr>
                <w:rFonts w:ascii="Calibri" w:eastAsia="Times New Roman" w:hAnsi="Calibri" w:cs="Times New Roman"/>
                <w:b/>
                <w:bCs/>
                <w:color w:val="000000"/>
              </w:rPr>
            </w:pPr>
          </w:p>
        </w:tc>
        <w:tc>
          <w:tcPr>
            <w:tcW w:w="2465" w:type="dxa"/>
            <w:vMerge/>
            <w:tcBorders>
              <w:top w:val="single" w:sz="8" w:space="0" w:color="auto"/>
              <w:left w:val="nil"/>
              <w:bottom w:val="single" w:sz="8" w:space="0" w:color="000000"/>
              <w:right w:val="nil"/>
            </w:tcBorders>
            <w:vAlign w:val="center"/>
            <w:hideMark/>
          </w:tcPr>
          <w:p w14:paraId="78F309F7" w14:textId="77777777" w:rsidR="00562CF6" w:rsidRPr="00562CF6" w:rsidRDefault="00562CF6" w:rsidP="00F54798">
            <w:pPr>
              <w:spacing w:after="0" w:line="240" w:lineRule="auto"/>
              <w:rPr>
                <w:rFonts w:ascii="Calibri" w:eastAsia="Times New Roman" w:hAnsi="Calibri" w:cs="Times New Roman"/>
                <w:b/>
                <w:bCs/>
                <w:color w:val="000000"/>
              </w:rPr>
            </w:pPr>
          </w:p>
        </w:tc>
        <w:tc>
          <w:tcPr>
            <w:tcW w:w="2500" w:type="dxa"/>
            <w:vMerge/>
            <w:tcBorders>
              <w:top w:val="single" w:sz="8" w:space="0" w:color="auto"/>
              <w:left w:val="nil"/>
              <w:bottom w:val="single" w:sz="8" w:space="0" w:color="000000"/>
              <w:right w:val="nil"/>
            </w:tcBorders>
            <w:vAlign w:val="center"/>
            <w:hideMark/>
          </w:tcPr>
          <w:p w14:paraId="1ED24EB4" w14:textId="77777777" w:rsidR="00562CF6" w:rsidRPr="00562CF6" w:rsidRDefault="00562CF6" w:rsidP="00F54798">
            <w:pPr>
              <w:spacing w:after="0" w:line="240" w:lineRule="auto"/>
              <w:rPr>
                <w:rFonts w:ascii="Calibri" w:eastAsia="Times New Roman" w:hAnsi="Calibri" w:cs="Times New Roman"/>
                <w:b/>
                <w:bCs/>
                <w:color w:val="000000"/>
              </w:rPr>
            </w:pPr>
          </w:p>
        </w:tc>
      </w:tr>
      <w:tr w:rsidR="00562CF6" w:rsidRPr="00562CF6" w14:paraId="5BCD1E10" w14:textId="77777777" w:rsidTr="00F54798">
        <w:trPr>
          <w:trHeight w:val="300"/>
        </w:trPr>
        <w:tc>
          <w:tcPr>
            <w:tcW w:w="3040" w:type="dxa"/>
            <w:vMerge w:val="restart"/>
            <w:tcBorders>
              <w:top w:val="nil"/>
              <w:left w:val="nil"/>
              <w:bottom w:val="single" w:sz="8" w:space="0" w:color="000000"/>
              <w:right w:val="nil"/>
            </w:tcBorders>
            <w:shd w:val="clear" w:color="auto" w:fill="auto"/>
            <w:vAlign w:val="center"/>
            <w:hideMark/>
          </w:tcPr>
          <w:p w14:paraId="09471D1C"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AMACS</w:t>
            </w:r>
          </w:p>
        </w:tc>
        <w:tc>
          <w:tcPr>
            <w:tcW w:w="2465" w:type="dxa"/>
            <w:tcBorders>
              <w:top w:val="nil"/>
              <w:left w:val="nil"/>
              <w:bottom w:val="nil"/>
              <w:right w:val="nil"/>
            </w:tcBorders>
            <w:shd w:val="clear" w:color="auto" w:fill="auto"/>
            <w:noWrap/>
            <w:vAlign w:val="center"/>
            <w:hideMark/>
          </w:tcPr>
          <w:p w14:paraId="08347FE3"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 xml:space="preserve">Immediate </w:t>
            </w:r>
          </w:p>
        </w:tc>
        <w:tc>
          <w:tcPr>
            <w:tcW w:w="2500" w:type="dxa"/>
            <w:tcBorders>
              <w:top w:val="nil"/>
              <w:left w:val="nil"/>
              <w:bottom w:val="nil"/>
              <w:right w:val="nil"/>
            </w:tcBorders>
            <w:shd w:val="clear" w:color="auto" w:fill="auto"/>
            <w:noWrap/>
            <w:vAlign w:val="center"/>
            <w:hideMark/>
          </w:tcPr>
          <w:p w14:paraId="611ACA3B"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3.1 (2.7,3.4)</w:t>
            </w:r>
          </w:p>
        </w:tc>
      </w:tr>
      <w:tr w:rsidR="00562CF6" w:rsidRPr="00562CF6" w14:paraId="6BBB59FB" w14:textId="77777777" w:rsidTr="00F54798">
        <w:trPr>
          <w:trHeight w:val="345"/>
        </w:trPr>
        <w:tc>
          <w:tcPr>
            <w:tcW w:w="3040" w:type="dxa"/>
            <w:vMerge/>
            <w:tcBorders>
              <w:top w:val="nil"/>
              <w:left w:val="nil"/>
              <w:bottom w:val="single" w:sz="8" w:space="0" w:color="000000"/>
              <w:right w:val="nil"/>
            </w:tcBorders>
            <w:vAlign w:val="center"/>
            <w:hideMark/>
          </w:tcPr>
          <w:p w14:paraId="6707237A" w14:textId="77777777" w:rsidR="00562CF6" w:rsidRPr="00562CF6" w:rsidRDefault="00562CF6" w:rsidP="00F54798">
            <w:pPr>
              <w:spacing w:after="0" w:line="240" w:lineRule="auto"/>
              <w:rPr>
                <w:rFonts w:ascii="Calibri" w:eastAsia="Times New Roman" w:hAnsi="Calibri" w:cs="Times New Roman"/>
                <w:color w:val="000000"/>
              </w:rPr>
            </w:pPr>
          </w:p>
        </w:tc>
        <w:tc>
          <w:tcPr>
            <w:tcW w:w="2465" w:type="dxa"/>
            <w:tcBorders>
              <w:top w:val="nil"/>
              <w:left w:val="nil"/>
              <w:bottom w:val="nil"/>
              <w:right w:val="nil"/>
            </w:tcBorders>
            <w:shd w:val="clear" w:color="auto" w:fill="auto"/>
            <w:noWrap/>
            <w:vAlign w:val="center"/>
            <w:hideMark/>
          </w:tcPr>
          <w:p w14:paraId="17E8ED18"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&lt;500 cells/mm</w:t>
            </w:r>
            <w:r w:rsidRPr="00562CF6">
              <w:rPr>
                <w:rFonts w:ascii="Calibri" w:eastAsia="Times New Roman" w:hAnsi="Calibri" w:cs="Times New Roman"/>
                <w:color w:val="000000"/>
                <w:vertAlign w:val="superscript"/>
              </w:rPr>
              <w:t>3</w:t>
            </w:r>
          </w:p>
        </w:tc>
        <w:tc>
          <w:tcPr>
            <w:tcW w:w="2500" w:type="dxa"/>
            <w:tcBorders>
              <w:top w:val="nil"/>
              <w:left w:val="nil"/>
              <w:bottom w:val="nil"/>
              <w:right w:val="nil"/>
            </w:tcBorders>
            <w:shd w:val="clear" w:color="auto" w:fill="auto"/>
            <w:noWrap/>
            <w:vAlign w:val="center"/>
            <w:hideMark/>
          </w:tcPr>
          <w:p w14:paraId="5DDC692A"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3.0 (2.6,3.2)</w:t>
            </w:r>
          </w:p>
        </w:tc>
      </w:tr>
      <w:tr w:rsidR="00562CF6" w:rsidRPr="00562CF6" w14:paraId="706B0A1D" w14:textId="77777777" w:rsidTr="00F54798">
        <w:trPr>
          <w:trHeight w:val="360"/>
        </w:trPr>
        <w:tc>
          <w:tcPr>
            <w:tcW w:w="3040" w:type="dxa"/>
            <w:vMerge/>
            <w:tcBorders>
              <w:top w:val="nil"/>
              <w:left w:val="nil"/>
              <w:bottom w:val="single" w:sz="8" w:space="0" w:color="000000"/>
              <w:right w:val="nil"/>
            </w:tcBorders>
            <w:vAlign w:val="center"/>
            <w:hideMark/>
          </w:tcPr>
          <w:p w14:paraId="0D77D757" w14:textId="77777777" w:rsidR="00562CF6" w:rsidRPr="00562CF6" w:rsidRDefault="00562CF6" w:rsidP="00F54798">
            <w:pPr>
              <w:spacing w:after="0" w:line="240" w:lineRule="auto"/>
              <w:rPr>
                <w:rFonts w:ascii="Calibri" w:eastAsia="Times New Roman" w:hAnsi="Calibri" w:cs="Times New Roman"/>
                <w:color w:val="000000"/>
              </w:rPr>
            </w:pPr>
          </w:p>
        </w:tc>
        <w:tc>
          <w:tcPr>
            <w:tcW w:w="2465" w:type="dxa"/>
            <w:tcBorders>
              <w:top w:val="nil"/>
              <w:left w:val="nil"/>
              <w:bottom w:val="single" w:sz="8" w:space="0" w:color="000000"/>
              <w:right w:val="nil"/>
            </w:tcBorders>
            <w:shd w:val="clear" w:color="auto" w:fill="auto"/>
            <w:noWrap/>
            <w:vAlign w:val="center"/>
            <w:hideMark/>
          </w:tcPr>
          <w:p w14:paraId="498CE079"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&lt;350 cells/mm</w:t>
            </w:r>
            <w:r w:rsidRPr="00562CF6">
              <w:rPr>
                <w:rFonts w:ascii="Calibri" w:eastAsia="Times New Roman" w:hAnsi="Calibri" w:cs="Times New Roman"/>
                <w:color w:val="000000"/>
                <w:vertAlign w:val="superscript"/>
              </w:rPr>
              <w:t>3</w:t>
            </w:r>
          </w:p>
        </w:tc>
        <w:tc>
          <w:tcPr>
            <w:tcW w:w="2500" w:type="dxa"/>
            <w:tcBorders>
              <w:top w:val="nil"/>
              <w:left w:val="nil"/>
              <w:bottom w:val="single" w:sz="8" w:space="0" w:color="000000"/>
              <w:right w:val="nil"/>
            </w:tcBorders>
            <w:shd w:val="clear" w:color="auto" w:fill="auto"/>
            <w:noWrap/>
            <w:vAlign w:val="center"/>
            <w:hideMark/>
          </w:tcPr>
          <w:p w14:paraId="3C8C60D1"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2.7 (2.4,3.0)</w:t>
            </w:r>
          </w:p>
        </w:tc>
      </w:tr>
      <w:tr w:rsidR="00562CF6" w:rsidRPr="00562CF6" w14:paraId="22224399" w14:textId="77777777" w:rsidTr="00F54798">
        <w:trPr>
          <w:trHeight w:val="300"/>
        </w:trPr>
        <w:tc>
          <w:tcPr>
            <w:tcW w:w="3040" w:type="dxa"/>
            <w:vMerge w:val="restart"/>
            <w:tcBorders>
              <w:top w:val="nil"/>
              <w:left w:val="nil"/>
              <w:bottom w:val="single" w:sz="8" w:space="0" w:color="000000"/>
              <w:right w:val="nil"/>
            </w:tcBorders>
            <w:shd w:val="clear" w:color="auto" w:fill="auto"/>
            <w:noWrap/>
            <w:vAlign w:val="center"/>
            <w:hideMark/>
          </w:tcPr>
          <w:p w14:paraId="556FF2B8"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ATHENA</w:t>
            </w:r>
          </w:p>
        </w:tc>
        <w:tc>
          <w:tcPr>
            <w:tcW w:w="2465" w:type="dxa"/>
            <w:tcBorders>
              <w:top w:val="nil"/>
              <w:left w:val="nil"/>
              <w:bottom w:val="nil"/>
              <w:right w:val="nil"/>
            </w:tcBorders>
            <w:shd w:val="clear" w:color="auto" w:fill="auto"/>
            <w:noWrap/>
            <w:vAlign w:val="center"/>
            <w:hideMark/>
          </w:tcPr>
          <w:p w14:paraId="42BF642C"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 xml:space="preserve">Immediate </w:t>
            </w:r>
          </w:p>
        </w:tc>
        <w:tc>
          <w:tcPr>
            <w:tcW w:w="2500" w:type="dxa"/>
            <w:tcBorders>
              <w:top w:val="nil"/>
              <w:left w:val="nil"/>
              <w:bottom w:val="nil"/>
              <w:right w:val="nil"/>
            </w:tcBorders>
            <w:shd w:val="clear" w:color="auto" w:fill="auto"/>
            <w:noWrap/>
            <w:vAlign w:val="center"/>
            <w:hideMark/>
          </w:tcPr>
          <w:p w14:paraId="4372B1F8"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3.7 (3.2,4.1)</w:t>
            </w:r>
          </w:p>
        </w:tc>
      </w:tr>
      <w:tr w:rsidR="00562CF6" w:rsidRPr="00562CF6" w14:paraId="2E72CB24" w14:textId="77777777" w:rsidTr="00F54798">
        <w:trPr>
          <w:trHeight w:val="345"/>
        </w:trPr>
        <w:tc>
          <w:tcPr>
            <w:tcW w:w="3040" w:type="dxa"/>
            <w:vMerge/>
            <w:tcBorders>
              <w:top w:val="nil"/>
              <w:left w:val="nil"/>
              <w:bottom w:val="single" w:sz="8" w:space="0" w:color="000000"/>
              <w:right w:val="nil"/>
            </w:tcBorders>
            <w:vAlign w:val="center"/>
            <w:hideMark/>
          </w:tcPr>
          <w:p w14:paraId="17880985" w14:textId="77777777" w:rsidR="00562CF6" w:rsidRPr="00562CF6" w:rsidRDefault="00562CF6" w:rsidP="00F54798">
            <w:pPr>
              <w:spacing w:after="0" w:line="240" w:lineRule="auto"/>
              <w:rPr>
                <w:rFonts w:ascii="Calibri" w:eastAsia="Times New Roman" w:hAnsi="Calibri" w:cs="Times New Roman"/>
                <w:color w:val="000000"/>
              </w:rPr>
            </w:pPr>
          </w:p>
        </w:tc>
        <w:tc>
          <w:tcPr>
            <w:tcW w:w="2465" w:type="dxa"/>
            <w:tcBorders>
              <w:top w:val="nil"/>
              <w:left w:val="nil"/>
              <w:bottom w:val="nil"/>
              <w:right w:val="nil"/>
            </w:tcBorders>
            <w:shd w:val="clear" w:color="auto" w:fill="auto"/>
            <w:noWrap/>
            <w:vAlign w:val="center"/>
            <w:hideMark/>
          </w:tcPr>
          <w:p w14:paraId="58E1EAFD"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&lt;500 cells/mm</w:t>
            </w:r>
            <w:r w:rsidRPr="00562CF6">
              <w:rPr>
                <w:rFonts w:ascii="Calibri" w:eastAsia="Times New Roman" w:hAnsi="Calibri" w:cs="Times New Roman"/>
                <w:color w:val="000000"/>
                <w:vertAlign w:val="superscript"/>
              </w:rPr>
              <w:t>3</w:t>
            </w:r>
          </w:p>
        </w:tc>
        <w:tc>
          <w:tcPr>
            <w:tcW w:w="2500" w:type="dxa"/>
            <w:tcBorders>
              <w:top w:val="nil"/>
              <w:left w:val="nil"/>
              <w:bottom w:val="nil"/>
              <w:right w:val="nil"/>
            </w:tcBorders>
            <w:shd w:val="clear" w:color="auto" w:fill="auto"/>
            <w:noWrap/>
            <w:vAlign w:val="center"/>
            <w:hideMark/>
          </w:tcPr>
          <w:p w14:paraId="6E00C42C"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3.6 (3.1,4.0)</w:t>
            </w:r>
          </w:p>
        </w:tc>
      </w:tr>
      <w:tr w:rsidR="00562CF6" w:rsidRPr="00562CF6" w14:paraId="00B4DAED" w14:textId="77777777" w:rsidTr="00F54798">
        <w:trPr>
          <w:trHeight w:val="360"/>
        </w:trPr>
        <w:tc>
          <w:tcPr>
            <w:tcW w:w="3040" w:type="dxa"/>
            <w:vMerge/>
            <w:tcBorders>
              <w:top w:val="nil"/>
              <w:left w:val="nil"/>
              <w:bottom w:val="single" w:sz="8" w:space="0" w:color="000000"/>
              <w:right w:val="nil"/>
            </w:tcBorders>
            <w:vAlign w:val="center"/>
            <w:hideMark/>
          </w:tcPr>
          <w:p w14:paraId="04E7E100" w14:textId="77777777" w:rsidR="00562CF6" w:rsidRPr="00562CF6" w:rsidRDefault="00562CF6" w:rsidP="00F54798">
            <w:pPr>
              <w:spacing w:after="0" w:line="240" w:lineRule="auto"/>
              <w:rPr>
                <w:rFonts w:ascii="Calibri" w:eastAsia="Times New Roman" w:hAnsi="Calibri" w:cs="Times New Roman"/>
                <w:color w:val="000000"/>
              </w:rPr>
            </w:pPr>
          </w:p>
        </w:tc>
        <w:tc>
          <w:tcPr>
            <w:tcW w:w="2465" w:type="dxa"/>
            <w:tcBorders>
              <w:top w:val="nil"/>
              <w:left w:val="nil"/>
              <w:bottom w:val="single" w:sz="8" w:space="0" w:color="000000"/>
              <w:right w:val="nil"/>
            </w:tcBorders>
            <w:shd w:val="clear" w:color="auto" w:fill="auto"/>
            <w:noWrap/>
            <w:vAlign w:val="center"/>
            <w:hideMark/>
          </w:tcPr>
          <w:p w14:paraId="4EAF63F6"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&lt;350 cells/mm</w:t>
            </w:r>
            <w:r w:rsidRPr="00562CF6">
              <w:rPr>
                <w:rFonts w:ascii="Calibri" w:eastAsia="Times New Roman" w:hAnsi="Calibri" w:cs="Times New Roman"/>
                <w:color w:val="000000"/>
                <w:vertAlign w:val="superscript"/>
              </w:rPr>
              <w:t>3</w:t>
            </w:r>
          </w:p>
        </w:tc>
        <w:tc>
          <w:tcPr>
            <w:tcW w:w="2500" w:type="dxa"/>
            <w:tcBorders>
              <w:top w:val="nil"/>
              <w:left w:val="nil"/>
              <w:bottom w:val="single" w:sz="8" w:space="0" w:color="000000"/>
              <w:right w:val="nil"/>
            </w:tcBorders>
            <w:shd w:val="clear" w:color="auto" w:fill="auto"/>
            <w:noWrap/>
            <w:vAlign w:val="center"/>
            <w:hideMark/>
          </w:tcPr>
          <w:p w14:paraId="399ABF97"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3.0 (2.9,3.7)</w:t>
            </w:r>
          </w:p>
        </w:tc>
      </w:tr>
      <w:tr w:rsidR="00562CF6" w:rsidRPr="00562CF6" w14:paraId="44EA068D" w14:textId="77777777" w:rsidTr="00F54798">
        <w:trPr>
          <w:trHeight w:val="300"/>
        </w:trPr>
        <w:tc>
          <w:tcPr>
            <w:tcW w:w="3040" w:type="dxa"/>
            <w:vMerge w:val="restart"/>
            <w:tcBorders>
              <w:top w:val="nil"/>
              <w:left w:val="nil"/>
              <w:bottom w:val="single" w:sz="8" w:space="0" w:color="000000"/>
              <w:right w:val="nil"/>
            </w:tcBorders>
            <w:shd w:val="clear" w:color="auto" w:fill="auto"/>
            <w:noWrap/>
            <w:vAlign w:val="center"/>
            <w:hideMark/>
          </w:tcPr>
          <w:p w14:paraId="353F6C1F"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UK CHIC</w:t>
            </w:r>
          </w:p>
        </w:tc>
        <w:tc>
          <w:tcPr>
            <w:tcW w:w="2465" w:type="dxa"/>
            <w:tcBorders>
              <w:top w:val="nil"/>
              <w:left w:val="nil"/>
              <w:bottom w:val="nil"/>
              <w:right w:val="nil"/>
            </w:tcBorders>
            <w:shd w:val="clear" w:color="auto" w:fill="auto"/>
            <w:noWrap/>
            <w:vAlign w:val="center"/>
            <w:hideMark/>
          </w:tcPr>
          <w:p w14:paraId="5D23B9AD"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 xml:space="preserve">Immediate </w:t>
            </w:r>
          </w:p>
        </w:tc>
        <w:tc>
          <w:tcPr>
            <w:tcW w:w="2500" w:type="dxa"/>
            <w:tcBorders>
              <w:top w:val="nil"/>
              <w:left w:val="nil"/>
              <w:bottom w:val="nil"/>
              <w:right w:val="nil"/>
            </w:tcBorders>
            <w:shd w:val="clear" w:color="auto" w:fill="auto"/>
            <w:noWrap/>
            <w:vAlign w:val="center"/>
            <w:hideMark/>
          </w:tcPr>
          <w:p w14:paraId="3E971414"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2.1 (1.6,2.4)</w:t>
            </w:r>
          </w:p>
        </w:tc>
      </w:tr>
      <w:tr w:rsidR="00562CF6" w:rsidRPr="00562CF6" w14:paraId="02EEB4AD" w14:textId="77777777" w:rsidTr="00F54798">
        <w:trPr>
          <w:trHeight w:val="345"/>
        </w:trPr>
        <w:tc>
          <w:tcPr>
            <w:tcW w:w="3040" w:type="dxa"/>
            <w:vMerge/>
            <w:tcBorders>
              <w:top w:val="nil"/>
              <w:left w:val="nil"/>
              <w:bottom w:val="single" w:sz="8" w:space="0" w:color="000000"/>
              <w:right w:val="nil"/>
            </w:tcBorders>
            <w:vAlign w:val="center"/>
            <w:hideMark/>
          </w:tcPr>
          <w:p w14:paraId="610A2D68" w14:textId="77777777" w:rsidR="00562CF6" w:rsidRPr="00562CF6" w:rsidRDefault="00562CF6" w:rsidP="00F54798">
            <w:pPr>
              <w:spacing w:after="0" w:line="240" w:lineRule="auto"/>
              <w:rPr>
                <w:rFonts w:ascii="Calibri" w:eastAsia="Times New Roman" w:hAnsi="Calibri" w:cs="Times New Roman"/>
                <w:color w:val="000000"/>
              </w:rPr>
            </w:pPr>
          </w:p>
        </w:tc>
        <w:tc>
          <w:tcPr>
            <w:tcW w:w="2465" w:type="dxa"/>
            <w:tcBorders>
              <w:top w:val="nil"/>
              <w:left w:val="nil"/>
              <w:bottom w:val="nil"/>
              <w:right w:val="nil"/>
            </w:tcBorders>
            <w:shd w:val="clear" w:color="auto" w:fill="auto"/>
            <w:noWrap/>
            <w:vAlign w:val="center"/>
            <w:hideMark/>
          </w:tcPr>
          <w:p w14:paraId="5E7CD4FB"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&lt;500 cells/mm</w:t>
            </w:r>
            <w:r w:rsidRPr="00562CF6">
              <w:rPr>
                <w:rFonts w:ascii="Calibri" w:eastAsia="Times New Roman" w:hAnsi="Calibri" w:cs="Times New Roman"/>
                <w:color w:val="000000"/>
                <w:vertAlign w:val="superscript"/>
              </w:rPr>
              <w:t>3</w:t>
            </w:r>
          </w:p>
        </w:tc>
        <w:tc>
          <w:tcPr>
            <w:tcW w:w="2500" w:type="dxa"/>
            <w:tcBorders>
              <w:top w:val="nil"/>
              <w:left w:val="nil"/>
              <w:bottom w:val="nil"/>
              <w:right w:val="nil"/>
            </w:tcBorders>
            <w:shd w:val="clear" w:color="auto" w:fill="auto"/>
            <w:noWrap/>
            <w:vAlign w:val="center"/>
            <w:hideMark/>
          </w:tcPr>
          <w:p w14:paraId="76039818"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2.0 (1.5,2.2)</w:t>
            </w:r>
          </w:p>
        </w:tc>
      </w:tr>
      <w:tr w:rsidR="00562CF6" w:rsidRPr="00562CF6" w14:paraId="1609C1F7" w14:textId="77777777" w:rsidTr="00F54798">
        <w:trPr>
          <w:trHeight w:val="360"/>
        </w:trPr>
        <w:tc>
          <w:tcPr>
            <w:tcW w:w="3040" w:type="dxa"/>
            <w:vMerge/>
            <w:tcBorders>
              <w:top w:val="nil"/>
              <w:left w:val="nil"/>
              <w:bottom w:val="single" w:sz="8" w:space="0" w:color="000000"/>
              <w:right w:val="nil"/>
            </w:tcBorders>
            <w:vAlign w:val="center"/>
            <w:hideMark/>
          </w:tcPr>
          <w:p w14:paraId="1A961051" w14:textId="77777777" w:rsidR="00562CF6" w:rsidRPr="00562CF6" w:rsidRDefault="00562CF6" w:rsidP="00F54798">
            <w:pPr>
              <w:spacing w:after="0" w:line="240" w:lineRule="auto"/>
              <w:rPr>
                <w:rFonts w:ascii="Calibri" w:eastAsia="Times New Roman" w:hAnsi="Calibri" w:cs="Times New Roman"/>
                <w:color w:val="000000"/>
              </w:rPr>
            </w:pPr>
          </w:p>
        </w:tc>
        <w:tc>
          <w:tcPr>
            <w:tcW w:w="2465" w:type="dxa"/>
            <w:tcBorders>
              <w:top w:val="nil"/>
              <w:left w:val="nil"/>
              <w:bottom w:val="single" w:sz="8" w:space="0" w:color="000000"/>
              <w:right w:val="nil"/>
            </w:tcBorders>
            <w:shd w:val="clear" w:color="auto" w:fill="auto"/>
            <w:noWrap/>
            <w:vAlign w:val="center"/>
            <w:hideMark/>
          </w:tcPr>
          <w:p w14:paraId="09FCA123"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&lt;350 cells/mm</w:t>
            </w:r>
            <w:r w:rsidRPr="00562CF6">
              <w:rPr>
                <w:rFonts w:ascii="Calibri" w:eastAsia="Times New Roman" w:hAnsi="Calibri" w:cs="Times New Roman"/>
                <w:color w:val="000000"/>
                <w:vertAlign w:val="superscript"/>
              </w:rPr>
              <w:t>3</w:t>
            </w:r>
          </w:p>
        </w:tc>
        <w:tc>
          <w:tcPr>
            <w:tcW w:w="2500" w:type="dxa"/>
            <w:tcBorders>
              <w:top w:val="nil"/>
              <w:left w:val="nil"/>
              <w:bottom w:val="single" w:sz="8" w:space="0" w:color="000000"/>
              <w:right w:val="nil"/>
            </w:tcBorders>
            <w:shd w:val="clear" w:color="auto" w:fill="auto"/>
            <w:noWrap/>
            <w:vAlign w:val="center"/>
            <w:hideMark/>
          </w:tcPr>
          <w:p w14:paraId="3BBE7E8D"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1.8 (1.4,2.0)</w:t>
            </w:r>
          </w:p>
        </w:tc>
      </w:tr>
      <w:tr w:rsidR="00562CF6" w:rsidRPr="00562CF6" w14:paraId="04827531" w14:textId="77777777" w:rsidTr="00F54798">
        <w:trPr>
          <w:trHeight w:val="300"/>
        </w:trPr>
        <w:tc>
          <w:tcPr>
            <w:tcW w:w="3040" w:type="dxa"/>
            <w:vMerge w:val="restart"/>
            <w:tcBorders>
              <w:top w:val="nil"/>
              <w:left w:val="nil"/>
              <w:bottom w:val="single" w:sz="8" w:space="0" w:color="000000"/>
              <w:right w:val="nil"/>
            </w:tcBorders>
            <w:shd w:val="clear" w:color="auto" w:fill="auto"/>
            <w:vAlign w:val="center"/>
            <w:hideMark/>
          </w:tcPr>
          <w:p w14:paraId="0F62D2F0"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CoRIS</w:t>
            </w:r>
          </w:p>
        </w:tc>
        <w:tc>
          <w:tcPr>
            <w:tcW w:w="2465" w:type="dxa"/>
            <w:tcBorders>
              <w:top w:val="nil"/>
              <w:left w:val="nil"/>
              <w:bottom w:val="nil"/>
              <w:right w:val="nil"/>
            </w:tcBorders>
            <w:shd w:val="clear" w:color="auto" w:fill="auto"/>
            <w:noWrap/>
            <w:vAlign w:val="center"/>
            <w:hideMark/>
          </w:tcPr>
          <w:p w14:paraId="5D42E91F"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 xml:space="preserve">Immediate </w:t>
            </w:r>
          </w:p>
        </w:tc>
        <w:tc>
          <w:tcPr>
            <w:tcW w:w="2500" w:type="dxa"/>
            <w:tcBorders>
              <w:top w:val="nil"/>
              <w:left w:val="nil"/>
              <w:bottom w:val="nil"/>
              <w:right w:val="nil"/>
            </w:tcBorders>
            <w:shd w:val="clear" w:color="auto" w:fill="auto"/>
            <w:noWrap/>
            <w:vAlign w:val="center"/>
            <w:hideMark/>
          </w:tcPr>
          <w:p w14:paraId="6AF64358"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3.4 (2.9,3.7)</w:t>
            </w:r>
          </w:p>
        </w:tc>
      </w:tr>
      <w:tr w:rsidR="00562CF6" w:rsidRPr="00562CF6" w14:paraId="3B49C544" w14:textId="77777777" w:rsidTr="00F54798">
        <w:trPr>
          <w:trHeight w:val="345"/>
        </w:trPr>
        <w:tc>
          <w:tcPr>
            <w:tcW w:w="3040" w:type="dxa"/>
            <w:vMerge/>
            <w:tcBorders>
              <w:top w:val="nil"/>
              <w:left w:val="nil"/>
              <w:bottom w:val="single" w:sz="8" w:space="0" w:color="000000"/>
              <w:right w:val="nil"/>
            </w:tcBorders>
            <w:vAlign w:val="center"/>
            <w:hideMark/>
          </w:tcPr>
          <w:p w14:paraId="1BD693C6" w14:textId="77777777" w:rsidR="00562CF6" w:rsidRPr="00562CF6" w:rsidRDefault="00562CF6" w:rsidP="00F54798">
            <w:pPr>
              <w:spacing w:after="0" w:line="240" w:lineRule="auto"/>
              <w:rPr>
                <w:rFonts w:ascii="Calibri" w:eastAsia="Times New Roman" w:hAnsi="Calibri" w:cs="Times New Roman"/>
                <w:color w:val="000000"/>
              </w:rPr>
            </w:pPr>
          </w:p>
        </w:tc>
        <w:tc>
          <w:tcPr>
            <w:tcW w:w="2465" w:type="dxa"/>
            <w:tcBorders>
              <w:top w:val="nil"/>
              <w:left w:val="nil"/>
              <w:bottom w:val="nil"/>
              <w:right w:val="nil"/>
            </w:tcBorders>
            <w:shd w:val="clear" w:color="auto" w:fill="auto"/>
            <w:noWrap/>
            <w:vAlign w:val="center"/>
            <w:hideMark/>
          </w:tcPr>
          <w:p w14:paraId="11EFC489"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&lt;500 cells/mm</w:t>
            </w:r>
            <w:r w:rsidRPr="00562CF6">
              <w:rPr>
                <w:rFonts w:ascii="Calibri" w:eastAsia="Times New Roman" w:hAnsi="Calibri" w:cs="Times New Roman"/>
                <w:color w:val="000000"/>
                <w:vertAlign w:val="superscript"/>
              </w:rPr>
              <w:t>3</w:t>
            </w:r>
          </w:p>
        </w:tc>
        <w:tc>
          <w:tcPr>
            <w:tcW w:w="2500" w:type="dxa"/>
            <w:tcBorders>
              <w:top w:val="nil"/>
              <w:left w:val="nil"/>
              <w:bottom w:val="nil"/>
              <w:right w:val="nil"/>
            </w:tcBorders>
            <w:shd w:val="clear" w:color="auto" w:fill="auto"/>
            <w:noWrap/>
            <w:vAlign w:val="center"/>
            <w:hideMark/>
          </w:tcPr>
          <w:p w14:paraId="365378B0"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3.3 (2.8,3.5)</w:t>
            </w:r>
          </w:p>
        </w:tc>
      </w:tr>
      <w:tr w:rsidR="00562CF6" w:rsidRPr="00562CF6" w14:paraId="2C73248B" w14:textId="77777777" w:rsidTr="00F54798">
        <w:trPr>
          <w:trHeight w:val="360"/>
        </w:trPr>
        <w:tc>
          <w:tcPr>
            <w:tcW w:w="3040" w:type="dxa"/>
            <w:vMerge/>
            <w:tcBorders>
              <w:top w:val="nil"/>
              <w:left w:val="nil"/>
              <w:bottom w:val="single" w:sz="8" w:space="0" w:color="000000"/>
              <w:right w:val="nil"/>
            </w:tcBorders>
            <w:vAlign w:val="center"/>
            <w:hideMark/>
          </w:tcPr>
          <w:p w14:paraId="18218691" w14:textId="77777777" w:rsidR="00562CF6" w:rsidRPr="00562CF6" w:rsidRDefault="00562CF6" w:rsidP="00F54798">
            <w:pPr>
              <w:spacing w:after="0" w:line="240" w:lineRule="auto"/>
              <w:rPr>
                <w:rFonts w:ascii="Calibri" w:eastAsia="Times New Roman" w:hAnsi="Calibri" w:cs="Times New Roman"/>
                <w:color w:val="000000"/>
              </w:rPr>
            </w:pPr>
          </w:p>
        </w:tc>
        <w:tc>
          <w:tcPr>
            <w:tcW w:w="2465" w:type="dxa"/>
            <w:tcBorders>
              <w:top w:val="nil"/>
              <w:left w:val="nil"/>
              <w:bottom w:val="single" w:sz="8" w:space="0" w:color="000000"/>
              <w:right w:val="nil"/>
            </w:tcBorders>
            <w:shd w:val="clear" w:color="auto" w:fill="auto"/>
            <w:noWrap/>
            <w:vAlign w:val="center"/>
            <w:hideMark/>
          </w:tcPr>
          <w:p w14:paraId="59341961"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&lt;350 cells/mm</w:t>
            </w:r>
            <w:r w:rsidRPr="00562CF6">
              <w:rPr>
                <w:rFonts w:ascii="Calibri" w:eastAsia="Times New Roman" w:hAnsi="Calibri" w:cs="Times New Roman"/>
                <w:color w:val="000000"/>
                <w:vertAlign w:val="superscript"/>
              </w:rPr>
              <w:t>3</w:t>
            </w:r>
          </w:p>
        </w:tc>
        <w:tc>
          <w:tcPr>
            <w:tcW w:w="2500" w:type="dxa"/>
            <w:tcBorders>
              <w:top w:val="nil"/>
              <w:left w:val="nil"/>
              <w:bottom w:val="single" w:sz="8" w:space="0" w:color="000000"/>
              <w:right w:val="nil"/>
            </w:tcBorders>
            <w:shd w:val="clear" w:color="auto" w:fill="auto"/>
            <w:noWrap/>
            <w:vAlign w:val="center"/>
            <w:hideMark/>
          </w:tcPr>
          <w:p w14:paraId="3EBE7AA0"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3.0 (2.6,3.3)</w:t>
            </w:r>
          </w:p>
        </w:tc>
      </w:tr>
      <w:tr w:rsidR="00562CF6" w:rsidRPr="00562CF6" w14:paraId="230CB257" w14:textId="77777777" w:rsidTr="00F54798">
        <w:trPr>
          <w:trHeight w:val="300"/>
        </w:trPr>
        <w:tc>
          <w:tcPr>
            <w:tcW w:w="3040" w:type="dxa"/>
            <w:vMerge w:val="restart"/>
            <w:tcBorders>
              <w:top w:val="nil"/>
              <w:left w:val="nil"/>
              <w:bottom w:val="single" w:sz="8" w:space="0" w:color="000000"/>
              <w:right w:val="nil"/>
            </w:tcBorders>
            <w:shd w:val="clear" w:color="auto" w:fill="auto"/>
            <w:noWrap/>
            <w:vAlign w:val="center"/>
            <w:hideMark/>
          </w:tcPr>
          <w:p w14:paraId="584DA8DC"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UK Register of seroconverters</w:t>
            </w:r>
          </w:p>
        </w:tc>
        <w:tc>
          <w:tcPr>
            <w:tcW w:w="2465" w:type="dxa"/>
            <w:tcBorders>
              <w:top w:val="nil"/>
              <w:left w:val="nil"/>
              <w:bottom w:val="nil"/>
              <w:right w:val="nil"/>
            </w:tcBorders>
            <w:shd w:val="clear" w:color="auto" w:fill="auto"/>
            <w:noWrap/>
            <w:vAlign w:val="center"/>
            <w:hideMark/>
          </w:tcPr>
          <w:p w14:paraId="3653DAE3"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 xml:space="preserve">Immediate </w:t>
            </w:r>
          </w:p>
        </w:tc>
        <w:tc>
          <w:tcPr>
            <w:tcW w:w="2500" w:type="dxa"/>
            <w:tcBorders>
              <w:top w:val="nil"/>
              <w:left w:val="nil"/>
              <w:bottom w:val="nil"/>
              <w:right w:val="nil"/>
            </w:tcBorders>
            <w:shd w:val="clear" w:color="auto" w:fill="auto"/>
            <w:noWrap/>
            <w:vAlign w:val="center"/>
            <w:hideMark/>
          </w:tcPr>
          <w:p w14:paraId="4A00FD92"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3.2 (2.8,3.5)</w:t>
            </w:r>
          </w:p>
        </w:tc>
      </w:tr>
      <w:tr w:rsidR="00562CF6" w:rsidRPr="00562CF6" w14:paraId="5777FEAE" w14:textId="77777777" w:rsidTr="00F54798">
        <w:trPr>
          <w:trHeight w:val="345"/>
        </w:trPr>
        <w:tc>
          <w:tcPr>
            <w:tcW w:w="3040" w:type="dxa"/>
            <w:vMerge/>
            <w:tcBorders>
              <w:top w:val="nil"/>
              <w:left w:val="nil"/>
              <w:bottom w:val="single" w:sz="8" w:space="0" w:color="000000"/>
              <w:right w:val="nil"/>
            </w:tcBorders>
            <w:vAlign w:val="center"/>
            <w:hideMark/>
          </w:tcPr>
          <w:p w14:paraId="39228773" w14:textId="77777777" w:rsidR="00562CF6" w:rsidRPr="00562CF6" w:rsidRDefault="00562CF6" w:rsidP="00F54798">
            <w:pPr>
              <w:spacing w:after="0" w:line="240" w:lineRule="auto"/>
              <w:rPr>
                <w:rFonts w:ascii="Calibri" w:eastAsia="Times New Roman" w:hAnsi="Calibri" w:cs="Times New Roman"/>
                <w:color w:val="000000"/>
              </w:rPr>
            </w:pPr>
          </w:p>
        </w:tc>
        <w:tc>
          <w:tcPr>
            <w:tcW w:w="2465" w:type="dxa"/>
            <w:tcBorders>
              <w:top w:val="nil"/>
              <w:left w:val="nil"/>
              <w:bottom w:val="nil"/>
              <w:right w:val="nil"/>
            </w:tcBorders>
            <w:shd w:val="clear" w:color="auto" w:fill="auto"/>
            <w:noWrap/>
            <w:vAlign w:val="center"/>
            <w:hideMark/>
          </w:tcPr>
          <w:p w14:paraId="7CB32A6E"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&lt;500 cells/mm</w:t>
            </w:r>
            <w:r w:rsidRPr="00562CF6">
              <w:rPr>
                <w:rFonts w:ascii="Calibri" w:eastAsia="Times New Roman" w:hAnsi="Calibri" w:cs="Times New Roman"/>
                <w:color w:val="000000"/>
                <w:vertAlign w:val="superscript"/>
              </w:rPr>
              <w:t>3</w:t>
            </w:r>
          </w:p>
        </w:tc>
        <w:tc>
          <w:tcPr>
            <w:tcW w:w="2500" w:type="dxa"/>
            <w:tcBorders>
              <w:top w:val="nil"/>
              <w:left w:val="nil"/>
              <w:bottom w:val="nil"/>
              <w:right w:val="nil"/>
            </w:tcBorders>
            <w:shd w:val="clear" w:color="auto" w:fill="auto"/>
            <w:noWrap/>
            <w:vAlign w:val="center"/>
            <w:hideMark/>
          </w:tcPr>
          <w:p w14:paraId="006FAE22"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3.1 (2.7,3.3)</w:t>
            </w:r>
          </w:p>
        </w:tc>
      </w:tr>
      <w:tr w:rsidR="00562CF6" w:rsidRPr="00562CF6" w14:paraId="283C0C8D" w14:textId="77777777" w:rsidTr="00F54798">
        <w:trPr>
          <w:trHeight w:val="360"/>
        </w:trPr>
        <w:tc>
          <w:tcPr>
            <w:tcW w:w="3040" w:type="dxa"/>
            <w:vMerge/>
            <w:tcBorders>
              <w:top w:val="nil"/>
              <w:left w:val="nil"/>
              <w:bottom w:val="single" w:sz="8" w:space="0" w:color="000000"/>
              <w:right w:val="nil"/>
            </w:tcBorders>
            <w:vAlign w:val="center"/>
            <w:hideMark/>
          </w:tcPr>
          <w:p w14:paraId="3172391F" w14:textId="77777777" w:rsidR="00562CF6" w:rsidRPr="00562CF6" w:rsidRDefault="00562CF6" w:rsidP="00F54798">
            <w:pPr>
              <w:spacing w:after="0" w:line="240" w:lineRule="auto"/>
              <w:rPr>
                <w:rFonts w:ascii="Calibri" w:eastAsia="Times New Roman" w:hAnsi="Calibri" w:cs="Times New Roman"/>
                <w:color w:val="000000"/>
              </w:rPr>
            </w:pPr>
          </w:p>
        </w:tc>
        <w:tc>
          <w:tcPr>
            <w:tcW w:w="2465" w:type="dxa"/>
            <w:tcBorders>
              <w:top w:val="nil"/>
              <w:left w:val="nil"/>
              <w:bottom w:val="single" w:sz="8" w:space="0" w:color="000000"/>
              <w:right w:val="nil"/>
            </w:tcBorders>
            <w:shd w:val="clear" w:color="auto" w:fill="auto"/>
            <w:noWrap/>
            <w:vAlign w:val="center"/>
            <w:hideMark/>
          </w:tcPr>
          <w:p w14:paraId="06062C63"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&lt;350 cells/mm</w:t>
            </w:r>
            <w:r w:rsidRPr="00562CF6">
              <w:rPr>
                <w:rFonts w:ascii="Calibri" w:eastAsia="Times New Roman" w:hAnsi="Calibri" w:cs="Times New Roman"/>
                <w:color w:val="000000"/>
                <w:vertAlign w:val="superscript"/>
              </w:rPr>
              <w:t>3</w:t>
            </w:r>
          </w:p>
        </w:tc>
        <w:tc>
          <w:tcPr>
            <w:tcW w:w="2500" w:type="dxa"/>
            <w:tcBorders>
              <w:top w:val="nil"/>
              <w:left w:val="nil"/>
              <w:bottom w:val="single" w:sz="8" w:space="0" w:color="000000"/>
              <w:right w:val="nil"/>
            </w:tcBorders>
            <w:shd w:val="clear" w:color="auto" w:fill="auto"/>
            <w:noWrap/>
            <w:vAlign w:val="center"/>
            <w:hideMark/>
          </w:tcPr>
          <w:p w14:paraId="35E18870"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2.8 (2.5,3.0)</w:t>
            </w:r>
          </w:p>
        </w:tc>
      </w:tr>
      <w:tr w:rsidR="00562CF6" w:rsidRPr="00562CF6" w14:paraId="10EBEEE1" w14:textId="77777777" w:rsidTr="00F54798">
        <w:trPr>
          <w:trHeight w:val="300"/>
        </w:trPr>
        <w:tc>
          <w:tcPr>
            <w:tcW w:w="3040" w:type="dxa"/>
            <w:vMerge w:val="restart"/>
            <w:tcBorders>
              <w:top w:val="nil"/>
              <w:left w:val="nil"/>
              <w:bottom w:val="single" w:sz="8" w:space="0" w:color="000000"/>
              <w:right w:val="nil"/>
            </w:tcBorders>
            <w:shd w:val="clear" w:color="auto" w:fill="auto"/>
            <w:noWrap/>
            <w:vAlign w:val="center"/>
            <w:hideMark/>
          </w:tcPr>
          <w:p w14:paraId="22BA4B3A"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Swiss HIV Cohort Study</w:t>
            </w:r>
          </w:p>
        </w:tc>
        <w:tc>
          <w:tcPr>
            <w:tcW w:w="2465" w:type="dxa"/>
            <w:tcBorders>
              <w:top w:val="nil"/>
              <w:left w:val="nil"/>
              <w:bottom w:val="nil"/>
              <w:right w:val="nil"/>
            </w:tcBorders>
            <w:shd w:val="clear" w:color="auto" w:fill="auto"/>
            <w:noWrap/>
            <w:vAlign w:val="center"/>
            <w:hideMark/>
          </w:tcPr>
          <w:p w14:paraId="5FE4A6EB"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 xml:space="preserve">Immediate </w:t>
            </w:r>
          </w:p>
        </w:tc>
        <w:tc>
          <w:tcPr>
            <w:tcW w:w="2500" w:type="dxa"/>
            <w:tcBorders>
              <w:top w:val="nil"/>
              <w:left w:val="nil"/>
              <w:bottom w:val="nil"/>
              <w:right w:val="nil"/>
            </w:tcBorders>
            <w:shd w:val="clear" w:color="auto" w:fill="auto"/>
            <w:noWrap/>
            <w:vAlign w:val="center"/>
            <w:hideMark/>
          </w:tcPr>
          <w:p w14:paraId="61E45DB6"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3.1 (2.7,3.4)</w:t>
            </w:r>
          </w:p>
        </w:tc>
      </w:tr>
      <w:tr w:rsidR="00562CF6" w:rsidRPr="00562CF6" w14:paraId="786A87DD" w14:textId="77777777" w:rsidTr="00F54798">
        <w:trPr>
          <w:trHeight w:val="345"/>
        </w:trPr>
        <w:tc>
          <w:tcPr>
            <w:tcW w:w="3040" w:type="dxa"/>
            <w:vMerge/>
            <w:tcBorders>
              <w:top w:val="nil"/>
              <w:left w:val="nil"/>
              <w:bottom w:val="single" w:sz="8" w:space="0" w:color="000000"/>
              <w:right w:val="nil"/>
            </w:tcBorders>
            <w:vAlign w:val="center"/>
            <w:hideMark/>
          </w:tcPr>
          <w:p w14:paraId="4637E675" w14:textId="77777777" w:rsidR="00562CF6" w:rsidRPr="00562CF6" w:rsidRDefault="00562CF6" w:rsidP="00F54798">
            <w:pPr>
              <w:spacing w:after="0" w:line="240" w:lineRule="auto"/>
              <w:rPr>
                <w:rFonts w:ascii="Calibri" w:eastAsia="Times New Roman" w:hAnsi="Calibri" w:cs="Times New Roman"/>
                <w:color w:val="000000"/>
              </w:rPr>
            </w:pPr>
          </w:p>
        </w:tc>
        <w:tc>
          <w:tcPr>
            <w:tcW w:w="2465" w:type="dxa"/>
            <w:tcBorders>
              <w:top w:val="nil"/>
              <w:left w:val="nil"/>
              <w:bottom w:val="nil"/>
              <w:right w:val="nil"/>
            </w:tcBorders>
            <w:shd w:val="clear" w:color="auto" w:fill="auto"/>
            <w:noWrap/>
            <w:vAlign w:val="center"/>
            <w:hideMark/>
          </w:tcPr>
          <w:p w14:paraId="69910399"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&lt;500 cells/mm</w:t>
            </w:r>
            <w:r w:rsidRPr="00562CF6">
              <w:rPr>
                <w:rFonts w:ascii="Calibri" w:eastAsia="Times New Roman" w:hAnsi="Calibri" w:cs="Times New Roman"/>
                <w:color w:val="000000"/>
                <w:vertAlign w:val="superscript"/>
              </w:rPr>
              <w:t>3</w:t>
            </w:r>
          </w:p>
        </w:tc>
        <w:tc>
          <w:tcPr>
            <w:tcW w:w="2500" w:type="dxa"/>
            <w:tcBorders>
              <w:top w:val="nil"/>
              <w:left w:val="nil"/>
              <w:bottom w:val="nil"/>
              <w:right w:val="nil"/>
            </w:tcBorders>
            <w:shd w:val="clear" w:color="auto" w:fill="auto"/>
            <w:noWrap/>
            <w:vAlign w:val="center"/>
            <w:hideMark/>
          </w:tcPr>
          <w:p w14:paraId="7B43F067"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3.0 (2.6,3.2)</w:t>
            </w:r>
          </w:p>
        </w:tc>
      </w:tr>
      <w:tr w:rsidR="00562CF6" w:rsidRPr="00562CF6" w14:paraId="40ADF2D5" w14:textId="77777777" w:rsidTr="00F54798">
        <w:trPr>
          <w:trHeight w:val="360"/>
        </w:trPr>
        <w:tc>
          <w:tcPr>
            <w:tcW w:w="3040" w:type="dxa"/>
            <w:vMerge/>
            <w:tcBorders>
              <w:top w:val="nil"/>
              <w:left w:val="nil"/>
              <w:bottom w:val="single" w:sz="8" w:space="0" w:color="000000"/>
              <w:right w:val="nil"/>
            </w:tcBorders>
            <w:vAlign w:val="center"/>
            <w:hideMark/>
          </w:tcPr>
          <w:p w14:paraId="29EB3195" w14:textId="77777777" w:rsidR="00562CF6" w:rsidRPr="00562CF6" w:rsidRDefault="00562CF6" w:rsidP="00F54798">
            <w:pPr>
              <w:spacing w:after="0" w:line="240" w:lineRule="auto"/>
              <w:rPr>
                <w:rFonts w:ascii="Calibri" w:eastAsia="Times New Roman" w:hAnsi="Calibri" w:cs="Times New Roman"/>
                <w:color w:val="000000"/>
              </w:rPr>
            </w:pPr>
          </w:p>
        </w:tc>
        <w:tc>
          <w:tcPr>
            <w:tcW w:w="2465" w:type="dxa"/>
            <w:tcBorders>
              <w:top w:val="nil"/>
              <w:left w:val="nil"/>
              <w:bottom w:val="single" w:sz="8" w:space="0" w:color="000000"/>
              <w:right w:val="nil"/>
            </w:tcBorders>
            <w:shd w:val="clear" w:color="auto" w:fill="auto"/>
            <w:noWrap/>
            <w:vAlign w:val="center"/>
            <w:hideMark/>
          </w:tcPr>
          <w:p w14:paraId="3ED9E431"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&lt;350 cells/mm</w:t>
            </w:r>
            <w:r w:rsidRPr="00562CF6">
              <w:rPr>
                <w:rFonts w:ascii="Calibri" w:eastAsia="Times New Roman" w:hAnsi="Calibri" w:cs="Times New Roman"/>
                <w:color w:val="000000"/>
                <w:vertAlign w:val="superscript"/>
              </w:rPr>
              <w:t>3</w:t>
            </w:r>
          </w:p>
        </w:tc>
        <w:tc>
          <w:tcPr>
            <w:tcW w:w="2500" w:type="dxa"/>
            <w:tcBorders>
              <w:top w:val="nil"/>
              <w:left w:val="nil"/>
              <w:bottom w:val="single" w:sz="8" w:space="0" w:color="000000"/>
              <w:right w:val="nil"/>
            </w:tcBorders>
            <w:shd w:val="clear" w:color="auto" w:fill="auto"/>
            <w:noWrap/>
            <w:vAlign w:val="center"/>
            <w:hideMark/>
          </w:tcPr>
          <w:p w14:paraId="4813F515"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2.7 (2.4,3.0)</w:t>
            </w:r>
          </w:p>
        </w:tc>
      </w:tr>
      <w:tr w:rsidR="00562CF6" w:rsidRPr="00562CF6" w14:paraId="453CBB61" w14:textId="77777777" w:rsidTr="00F54798">
        <w:trPr>
          <w:trHeight w:val="300"/>
        </w:trPr>
        <w:tc>
          <w:tcPr>
            <w:tcW w:w="3040" w:type="dxa"/>
            <w:vMerge w:val="restart"/>
            <w:tcBorders>
              <w:top w:val="nil"/>
              <w:left w:val="nil"/>
              <w:bottom w:val="single" w:sz="8" w:space="0" w:color="000000"/>
              <w:right w:val="nil"/>
            </w:tcBorders>
            <w:shd w:val="clear" w:color="auto" w:fill="auto"/>
            <w:noWrap/>
            <w:vAlign w:val="center"/>
            <w:hideMark/>
          </w:tcPr>
          <w:p w14:paraId="6C49A4CD"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All cohorts</w:t>
            </w:r>
          </w:p>
        </w:tc>
        <w:tc>
          <w:tcPr>
            <w:tcW w:w="2465" w:type="dxa"/>
            <w:tcBorders>
              <w:top w:val="nil"/>
              <w:left w:val="nil"/>
              <w:bottom w:val="nil"/>
              <w:right w:val="nil"/>
            </w:tcBorders>
            <w:shd w:val="clear" w:color="auto" w:fill="auto"/>
            <w:noWrap/>
            <w:vAlign w:val="center"/>
            <w:hideMark/>
          </w:tcPr>
          <w:p w14:paraId="60443AFE"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 xml:space="preserve">Immediate </w:t>
            </w:r>
          </w:p>
        </w:tc>
        <w:tc>
          <w:tcPr>
            <w:tcW w:w="2500" w:type="dxa"/>
            <w:tcBorders>
              <w:top w:val="nil"/>
              <w:left w:val="nil"/>
              <w:bottom w:val="nil"/>
              <w:right w:val="nil"/>
            </w:tcBorders>
            <w:shd w:val="clear" w:color="auto" w:fill="auto"/>
            <w:noWrap/>
            <w:vAlign w:val="center"/>
            <w:hideMark/>
          </w:tcPr>
          <w:p w14:paraId="3497F91E"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3.2 (2.8,3.5)</w:t>
            </w:r>
          </w:p>
        </w:tc>
      </w:tr>
      <w:tr w:rsidR="00562CF6" w:rsidRPr="00562CF6" w14:paraId="13F13399" w14:textId="77777777" w:rsidTr="00F54798">
        <w:trPr>
          <w:trHeight w:val="345"/>
        </w:trPr>
        <w:tc>
          <w:tcPr>
            <w:tcW w:w="3040" w:type="dxa"/>
            <w:vMerge/>
            <w:tcBorders>
              <w:top w:val="nil"/>
              <w:left w:val="nil"/>
              <w:bottom w:val="single" w:sz="8" w:space="0" w:color="000000"/>
              <w:right w:val="nil"/>
            </w:tcBorders>
            <w:vAlign w:val="center"/>
            <w:hideMark/>
          </w:tcPr>
          <w:p w14:paraId="45ED5D04" w14:textId="77777777" w:rsidR="00562CF6" w:rsidRPr="00562CF6" w:rsidRDefault="00562CF6" w:rsidP="00F54798">
            <w:pPr>
              <w:spacing w:after="0" w:line="240" w:lineRule="auto"/>
              <w:rPr>
                <w:rFonts w:ascii="Calibri" w:eastAsia="Times New Roman" w:hAnsi="Calibri" w:cs="Times New Roman"/>
                <w:color w:val="000000"/>
              </w:rPr>
            </w:pPr>
          </w:p>
        </w:tc>
        <w:tc>
          <w:tcPr>
            <w:tcW w:w="2465" w:type="dxa"/>
            <w:tcBorders>
              <w:top w:val="nil"/>
              <w:left w:val="nil"/>
              <w:bottom w:val="nil"/>
              <w:right w:val="nil"/>
            </w:tcBorders>
            <w:shd w:val="clear" w:color="auto" w:fill="auto"/>
            <w:noWrap/>
            <w:vAlign w:val="center"/>
            <w:hideMark/>
          </w:tcPr>
          <w:p w14:paraId="3E16480E"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&lt;500 cells/mm</w:t>
            </w:r>
            <w:r w:rsidRPr="00562CF6">
              <w:rPr>
                <w:rFonts w:ascii="Calibri" w:eastAsia="Times New Roman" w:hAnsi="Calibri" w:cs="Times New Roman"/>
                <w:color w:val="000000"/>
                <w:vertAlign w:val="superscript"/>
              </w:rPr>
              <w:t>3</w:t>
            </w:r>
          </w:p>
        </w:tc>
        <w:tc>
          <w:tcPr>
            <w:tcW w:w="2500" w:type="dxa"/>
            <w:tcBorders>
              <w:top w:val="nil"/>
              <w:left w:val="nil"/>
              <w:bottom w:val="nil"/>
              <w:right w:val="nil"/>
            </w:tcBorders>
            <w:shd w:val="clear" w:color="auto" w:fill="auto"/>
            <w:noWrap/>
            <w:vAlign w:val="center"/>
            <w:hideMark/>
          </w:tcPr>
          <w:p w14:paraId="77D7269C"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3.1 (2.7,3.3)</w:t>
            </w:r>
          </w:p>
        </w:tc>
      </w:tr>
      <w:tr w:rsidR="00562CF6" w:rsidRPr="00562CF6" w14:paraId="66455439" w14:textId="77777777" w:rsidTr="00F54798">
        <w:trPr>
          <w:trHeight w:val="360"/>
        </w:trPr>
        <w:tc>
          <w:tcPr>
            <w:tcW w:w="3040" w:type="dxa"/>
            <w:vMerge/>
            <w:tcBorders>
              <w:top w:val="nil"/>
              <w:left w:val="nil"/>
              <w:bottom w:val="single" w:sz="8" w:space="0" w:color="000000"/>
              <w:right w:val="nil"/>
            </w:tcBorders>
            <w:vAlign w:val="center"/>
            <w:hideMark/>
          </w:tcPr>
          <w:p w14:paraId="2755310D" w14:textId="77777777" w:rsidR="00562CF6" w:rsidRPr="00562CF6" w:rsidRDefault="00562CF6" w:rsidP="00F54798">
            <w:pPr>
              <w:spacing w:after="0" w:line="240" w:lineRule="auto"/>
              <w:rPr>
                <w:rFonts w:ascii="Calibri" w:eastAsia="Times New Roman" w:hAnsi="Calibri" w:cs="Times New Roman"/>
                <w:color w:val="000000"/>
              </w:rPr>
            </w:pPr>
          </w:p>
        </w:tc>
        <w:tc>
          <w:tcPr>
            <w:tcW w:w="2465" w:type="dxa"/>
            <w:tcBorders>
              <w:top w:val="nil"/>
              <w:left w:val="nil"/>
              <w:bottom w:val="single" w:sz="8" w:space="0" w:color="000000"/>
              <w:right w:val="nil"/>
            </w:tcBorders>
            <w:shd w:val="clear" w:color="auto" w:fill="auto"/>
            <w:noWrap/>
            <w:vAlign w:val="center"/>
            <w:hideMark/>
          </w:tcPr>
          <w:p w14:paraId="0A47899B" w14:textId="77777777" w:rsidR="00562CF6" w:rsidRPr="00562CF6" w:rsidRDefault="00562CF6" w:rsidP="00F54798">
            <w:pPr>
              <w:spacing w:after="0" w:line="240" w:lineRule="auto"/>
              <w:rPr>
                <w:rFonts w:ascii="Calibri" w:eastAsia="Times New Roman" w:hAnsi="Calibri" w:cs="Times New Roman"/>
                <w:color w:val="000000"/>
              </w:rPr>
            </w:pPr>
            <w:r w:rsidRPr="00562CF6">
              <w:rPr>
                <w:rFonts w:ascii="Calibri" w:eastAsia="Times New Roman" w:hAnsi="Calibri" w:cs="Times New Roman"/>
                <w:color w:val="000000"/>
              </w:rPr>
              <w:t>&lt;350 cells/mm</w:t>
            </w:r>
            <w:r w:rsidRPr="00562CF6">
              <w:rPr>
                <w:rFonts w:ascii="Calibri" w:eastAsia="Times New Roman" w:hAnsi="Calibri" w:cs="Times New Roman"/>
                <w:color w:val="000000"/>
                <w:vertAlign w:val="superscript"/>
              </w:rPr>
              <w:t>3</w:t>
            </w:r>
          </w:p>
        </w:tc>
        <w:tc>
          <w:tcPr>
            <w:tcW w:w="2500" w:type="dxa"/>
            <w:tcBorders>
              <w:top w:val="nil"/>
              <w:left w:val="nil"/>
              <w:bottom w:val="single" w:sz="8" w:space="0" w:color="000000"/>
              <w:right w:val="nil"/>
            </w:tcBorders>
            <w:shd w:val="clear" w:color="auto" w:fill="auto"/>
            <w:noWrap/>
            <w:vAlign w:val="center"/>
            <w:hideMark/>
          </w:tcPr>
          <w:p w14:paraId="7576B687" w14:textId="77777777" w:rsidR="00562CF6" w:rsidRPr="00562CF6" w:rsidRDefault="00562CF6" w:rsidP="00F54798">
            <w:pPr>
              <w:spacing w:after="0" w:line="240" w:lineRule="auto"/>
              <w:jc w:val="right"/>
              <w:rPr>
                <w:rFonts w:ascii="Calibri" w:eastAsia="Times New Roman" w:hAnsi="Calibri" w:cs="Times New Roman"/>
                <w:color w:val="000000"/>
              </w:rPr>
            </w:pPr>
            <w:r w:rsidRPr="00562CF6">
              <w:rPr>
                <w:rFonts w:ascii="Calibri" w:eastAsia="Times New Roman" w:hAnsi="Calibri" w:cs="Times New Roman"/>
                <w:color w:val="000000"/>
              </w:rPr>
              <w:t>2.8 (2.5,3.0)</w:t>
            </w:r>
          </w:p>
        </w:tc>
      </w:tr>
    </w:tbl>
    <w:p w14:paraId="0CBD003A" w14:textId="77777777" w:rsidR="00562CF6" w:rsidRPr="00562CF6" w:rsidRDefault="00562CF6" w:rsidP="00562CF6">
      <w:pPr>
        <w:rPr>
          <w:rFonts w:ascii="Calibri" w:hAnsi="Calibri"/>
        </w:rPr>
      </w:pPr>
    </w:p>
    <w:p w14:paraId="49BE6BAA" w14:textId="77777777" w:rsidR="00562CF6" w:rsidRPr="00562CF6" w:rsidRDefault="00562CF6" w:rsidP="00562CF6">
      <w:pPr>
        <w:rPr>
          <w:rFonts w:ascii="Calibri" w:hAnsi="Calibri"/>
        </w:rPr>
      </w:pPr>
    </w:p>
    <w:p w14:paraId="2935343F" w14:textId="77777777" w:rsidR="00562CF6" w:rsidRPr="00562CF6" w:rsidRDefault="00562CF6" w:rsidP="00562CF6">
      <w:pPr>
        <w:rPr>
          <w:rFonts w:ascii="Calibri" w:hAnsi="Calibri"/>
        </w:rPr>
      </w:pPr>
    </w:p>
    <w:p w14:paraId="79222668" w14:textId="77777777" w:rsidR="00562CF6" w:rsidRPr="00562CF6" w:rsidRDefault="00562CF6" w:rsidP="00562CF6">
      <w:pPr>
        <w:rPr>
          <w:rFonts w:ascii="Calibri" w:hAnsi="Calibri"/>
          <w:b/>
        </w:rPr>
      </w:pPr>
    </w:p>
    <w:p w14:paraId="2E285599" w14:textId="77777777" w:rsidR="00562CF6" w:rsidRPr="00562CF6" w:rsidRDefault="00562CF6" w:rsidP="00562CF6">
      <w:pPr>
        <w:rPr>
          <w:rFonts w:ascii="Calibri" w:hAnsi="Calibri"/>
          <w:b/>
        </w:rPr>
      </w:pPr>
    </w:p>
    <w:p w14:paraId="5C68A51F" w14:textId="77777777" w:rsidR="00562CF6" w:rsidRPr="00562CF6" w:rsidRDefault="00562CF6" w:rsidP="00562CF6">
      <w:pPr>
        <w:rPr>
          <w:rFonts w:ascii="Calibri" w:hAnsi="Calibri"/>
          <w:b/>
        </w:rPr>
      </w:pPr>
    </w:p>
    <w:p w14:paraId="35938E99" w14:textId="77777777" w:rsidR="00562CF6" w:rsidRPr="00562CF6" w:rsidRDefault="00562CF6" w:rsidP="00562CF6">
      <w:pPr>
        <w:rPr>
          <w:rFonts w:ascii="Calibri" w:hAnsi="Calibri"/>
        </w:rPr>
      </w:pPr>
      <w:r w:rsidRPr="00562CF6">
        <w:rPr>
          <w:rFonts w:ascii="Calibri" w:hAnsi="Calibri"/>
          <w:b/>
        </w:rPr>
        <w:t xml:space="preserve">Appendix Figure. </w:t>
      </w:r>
      <w:r w:rsidRPr="00562CF6">
        <w:rPr>
          <w:rFonts w:ascii="Calibri" w:hAnsi="Calibri"/>
        </w:rPr>
        <w:t>Cumulative risk of acquired drug resistance and mean of time-varying variables: observed (solid line) and simulated via the parametric g-formula (dashed 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62CF6" w:rsidRPr="00562CF6" w14:paraId="6D643EA2" w14:textId="77777777" w:rsidTr="00F54798">
        <w:tc>
          <w:tcPr>
            <w:tcW w:w="4788" w:type="dxa"/>
          </w:tcPr>
          <w:p w14:paraId="78D2527A" w14:textId="77777777" w:rsidR="00562CF6" w:rsidRPr="00562CF6" w:rsidRDefault="00562CF6" w:rsidP="00F54798">
            <w:pPr>
              <w:rPr>
                <w:rFonts w:ascii="Calibri" w:hAnsi="Calibri"/>
                <w:b/>
              </w:rPr>
            </w:pPr>
            <w:r w:rsidRPr="00562CF6">
              <w:rPr>
                <w:rFonts w:ascii="Calibri" w:hAnsi="Calibri"/>
              </w:rPr>
              <w:object w:dxaOrig="9030" w:dyaOrig="6750" w14:anchorId="6D821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pt;height:2in" o:ole="">
                  <v:imagedata r:id="rId5" o:title=""/>
                </v:shape>
                <o:OLEObject Type="Embed" ProgID="PBrush" ShapeID="_x0000_i1025" DrawAspect="Content" ObjectID="_1439586341" r:id="rId6"/>
              </w:object>
            </w:r>
          </w:p>
        </w:tc>
        <w:tc>
          <w:tcPr>
            <w:tcW w:w="4788" w:type="dxa"/>
          </w:tcPr>
          <w:p w14:paraId="37B31CCA" w14:textId="77777777" w:rsidR="00562CF6" w:rsidRPr="00562CF6" w:rsidRDefault="00562CF6" w:rsidP="00F54798">
            <w:pPr>
              <w:rPr>
                <w:rFonts w:ascii="Calibri" w:hAnsi="Calibri"/>
                <w:b/>
              </w:rPr>
            </w:pPr>
            <w:r w:rsidRPr="00562CF6">
              <w:rPr>
                <w:rFonts w:ascii="Calibri" w:hAnsi="Calibri"/>
              </w:rPr>
              <w:object w:dxaOrig="9060" w:dyaOrig="6630" w14:anchorId="31C61BBB">
                <v:shape id="_x0000_i1026" type="#_x0000_t75" style="width:197pt;height:2in" o:ole="">
                  <v:imagedata r:id="rId7" o:title=""/>
                </v:shape>
                <o:OLEObject Type="Embed" ProgID="PBrush" ShapeID="_x0000_i1026" DrawAspect="Content" ObjectID="_1439586342" r:id="rId8"/>
              </w:object>
            </w:r>
          </w:p>
        </w:tc>
      </w:tr>
      <w:tr w:rsidR="00562CF6" w:rsidRPr="00562CF6" w14:paraId="55D35964" w14:textId="77777777" w:rsidTr="00F54798">
        <w:tc>
          <w:tcPr>
            <w:tcW w:w="4788" w:type="dxa"/>
          </w:tcPr>
          <w:p w14:paraId="39C3B11B" w14:textId="77777777" w:rsidR="00562CF6" w:rsidRPr="00562CF6" w:rsidRDefault="00562CF6" w:rsidP="00F54798">
            <w:pPr>
              <w:rPr>
                <w:rFonts w:ascii="Calibri" w:hAnsi="Calibri"/>
                <w:b/>
              </w:rPr>
            </w:pPr>
            <w:r w:rsidRPr="00562CF6">
              <w:rPr>
                <w:rFonts w:ascii="Calibri" w:hAnsi="Calibri"/>
              </w:rPr>
              <w:object w:dxaOrig="9045" w:dyaOrig="6720" w14:anchorId="1822A3FC">
                <v:shape id="_x0000_i1027" type="#_x0000_t75" style="width:194pt;height:2in" o:ole="">
                  <v:imagedata r:id="rId9" o:title=""/>
                </v:shape>
                <o:OLEObject Type="Embed" ProgID="PBrush" ShapeID="_x0000_i1027" DrawAspect="Content" ObjectID="_1439586343" r:id="rId10"/>
              </w:object>
            </w:r>
          </w:p>
        </w:tc>
        <w:tc>
          <w:tcPr>
            <w:tcW w:w="4788" w:type="dxa"/>
          </w:tcPr>
          <w:p w14:paraId="236E3426" w14:textId="77777777" w:rsidR="00562CF6" w:rsidRPr="00562CF6" w:rsidRDefault="00562CF6" w:rsidP="00F54798">
            <w:pPr>
              <w:rPr>
                <w:rFonts w:ascii="Calibri" w:hAnsi="Calibri"/>
                <w:b/>
              </w:rPr>
            </w:pPr>
            <w:r w:rsidRPr="00562CF6">
              <w:rPr>
                <w:rFonts w:ascii="Calibri" w:hAnsi="Calibri"/>
              </w:rPr>
              <w:object w:dxaOrig="8970" w:dyaOrig="6690" w14:anchorId="03F9C63A">
                <v:shape id="_x0000_i1028" type="#_x0000_t75" style="width:192pt;height:2in" o:ole="">
                  <v:imagedata r:id="rId11" o:title=""/>
                </v:shape>
                <o:OLEObject Type="Embed" ProgID="PBrush" ShapeID="_x0000_i1028" DrawAspect="Content" ObjectID="_1439586344" r:id="rId12"/>
              </w:object>
            </w:r>
          </w:p>
        </w:tc>
      </w:tr>
      <w:tr w:rsidR="00562CF6" w:rsidRPr="00562CF6" w14:paraId="1FFD459A" w14:textId="77777777" w:rsidTr="00F54798">
        <w:tc>
          <w:tcPr>
            <w:tcW w:w="4788" w:type="dxa"/>
          </w:tcPr>
          <w:p w14:paraId="28192506" w14:textId="77777777" w:rsidR="00562CF6" w:rsidRPr="00562CF6" w:rsidRDefault="00562CF6" w:rsidP="00F54798">
            <w:pPr>
              <w:rPr>
                <w:rFonts w:ascii="Calibri" w:hAnsi="Calibri"/>
                <w:b/>
              </w:rPr>
            </w:pPr>
            <w:r w:rsidRPr="00562CF6">
              <w:rPr>
                <w:rFonts w:ascii="Calibri" w:hAnsi="Calibri"/>
              </w:rPr>
              <w:object w:dxaOrig="9045" w:dyaOrig="6720" w14:anchorId="20366415">
                <v:shape id="_x0000_i1029" type="#_x0000_t75" style="width:194pt;height:2in" o:ole="">
                  <v:imagedata r:id="rId13" o:title=""/>
                </v:shape>
                <o:OLEObject Type="Embed" ProgID="PBrush" ShapeID="_x0000_i1029" DrawAspect="Content" ObjectID="_1439586345" r:id="rId14"/>
              </w:object>
            </w:r>
          </w:p>
        </w:tc>
        <w:tc>
          <w:tcPr>
            <w:tcW w:w="4788" w:type="dxa"/>
          </w:tcPr>
          <w:p w14:paraId="67AE2CE5" w14:textId="77777777" w:rsidR="00562CF6" w:rsidRPr="00562CF6" w:rsidRDefault="00562CF6" w:rsidP="00F54798">
            <w:pPr>
              <w:rPr>
                <w:rFonts w:ascii="Calibri" w:hAnsi="Calibri"/>
                <w:b/>
              </w:rPr>
            </w:pPr>
            <w:r w:rsidRPr="00562CF6">
              <w:rPr>
                <w:rFonts w:ascii="Calibri" w:hAnsi="Calibri"/>
              </w:rPr>
              <w:object w:dxaOrig="8985" w:dyaOrig="6660" w14:anchorId="61AA3844">
                <v:shape id="_x0000_i1030" type="#_x0000_t75" style="width:192pt;height:2in" o:ole="">
                  <v:imagedata r:id="rId15" o:title=""/>
                </v:shape>
                <o:OLEObject Type="Embed" ProgID="PBrush" ShapeID="_x0000_i1030" DrawAspect="Content" ObjectID="_1439586346" r:id="rId16"/>
              </w:object>
            </w:r>
          </w:p>
        </w:tc>
      </w:tr>
      <w:tr w:rsidR="00562CF6" w:rsidRPr="00562CF6" w14:paraId="09D5117D" w14:textId="77777777" w:rsidTr="00F54798">
        <w:tc>
          <w:tcPr>
            <w:tcW w:w="4788" w:type="dxa"/>
          </w:tcPr>
          <w:p w14:paraId="5263FAD0" w14:textId="77777777" w:rsidR="00562CF6" w:rsidRPr="00562CF6" w:rsidRDefault="00562CF6" w:rsidP="00F54798">
            <w:pPr>
              <w:rPr>
                <w:rFonts w:ascii="Calibri" w:hAnsi="Calibri"/>
                <w:b/>
              </w:rPr>
            </w:pPr>
            <w:r w:rsidRPr="00562CF6">
              <w:rPr>
                <w:rFonts w:ascii="Calibri" w:hAnsi="Calibri"/>
              </w:rPr>
              <w:object w:dxaOrig="9045" w:dyaOrig="6750" w14:anchorId="5A3D8336">
                <v:shape id="_x0000_i1031" type="#_x0000_t75" style="width:193pt;height:2in" o:ole="">
                  <v:imagedata r:id="rId17" o:title=""/>
                </v:shape>
                <o:OLEObject Type="Embed" ProgID="PBrush" ShapeID="_x0000_i1031" DrawAspect="Content" ObjectID="_1439586347" r:id="rId18"/>
              </w:object>
            </w:r>
          </w:p>
        </w:tc>
        <w:tc>
          <w:tcPr>
            <w:tcW w:w="4788" w:type="dxa"/>
          </w:tcPr>
          <w:p w14:paraId="6099DD8B" w14:textId="77777777" w:rsidR="00562CF6" w:rsidRPr="00562CF6" w:rsidRDefault="00562CF6" w:rsidP="00F54798">
            <w:pPr>
              <w:rPr>
                <w:rFonts w:ascii="Calibri" w:hAnsi="Calibri"/>
                <w:b/>
              </w:rPr>
            </w:pPr>
            <w:r w:rsidRPr="00562CF6">
              <w:rPr>
                <w:rFonts w:ascii="Calibri" w:hAnsi="Calibri"/>
              </w:rPr>
              <w:object w:dxaOrig="9000" w:dyaOrig="6750" w14:anchorId="04DF87C9">
                <v:shape id="_x0000_i1032" type="#_x0000_t75" style="width:193pt;height:2in" o:ole="">
                  <v:imagedata r:id="rId19" o:title=""/>
                </v:shape>
                <o:OLEObject Type="Embed" ProgID="PBrush" ShapeID="_x0000_i1032" DrawAspect="Content" ObjectID="_1439586348" r:id="rId20"/>
              </w:object>
            </w:r>
          </w:p>
        </w:tc>
      </w:tr>
    </w:tbl>
    <w:p w14:paraId="4E0CA2C7" w14:textId="77777777" w:rsidR="00562CF6" w:rsidRPr="00562CF6" w:rsidRDefault="00562CF6" w:rsidP="00562CF6">
      <w:pPr>
        <w:rPr>
          <w:rFonts w:ascii="Calibri" w:hAnsi="Calibri"/>
        </w:rPr>
      </w:pPr>
    </w:p>
    <w:p w14:paraId="55CD993D" w14:textId="77777777" w:rsidR="00562CF6" w:rsidRDefault="00562CF6" w:rsidP="00562CF6">
      <w:pPr>
        <w:spacing w:after="0" w:line="240" w:lineRule="auto"/>
        <w:rPr>
          <w:rFonts w:ascii="Calibri" w:hAnsi="Calibri"/>
          <w:b/>
        </w:rPr>
      </w:pPr>
    </w:p>
    <w:p w14:paraId="4B7C970C" w14:textId="77777777" w:rsidR="00562CF6" w:rsidRDefault="00562CF6" w:rsidP="00562CF6">
      <w:pPr>
        <w:spacing w:after="0" w:line="240" w:lineRule="auto"/>
        <w:rPr>
          <w:rFonts w:ascii="Calibri" w:hAnsi="Calibri"/>
          <w:b/>
        </w:rPr>
      </w:pPr>
    </w:p>
    <w:p w14:paraId="05BB71B1" w14:textId="77777777" w:rsidR="00562CF6" w:rsidRDefault="00562CF6" w:rsidP="00562CF6">
      <w:pPr>
        <w:spacing w:after="0" w:line="240" w:lineRule="auto"/>
        <w:rPr>
          <w:rFonts w:ascii="Calibri" w:hAnsi="Calibri"/>
          <w:b/>
        </w:rPr>
      </w:pPr>
    </w:p>
    <w:p w14:paraId="03054DF9" w14:textId="77777777" w:rsidR="00562CF6" w:rsidRDefault="00562CF6" w:rsidP="00562CF6">
      <w:pPr>
        <w:spacing w:after="0" w:line="240" w:lineRule="auto"/>
        <w:rPr>
          <w:rFonts w:ascii="Calibri" w:hAnsi="Calibri"/>
          <w:b/>
        </w:rPr>
      </w:pPr>
    </w:p>
    <w:p w14:paraId="7D8D058C" w14:textId="77777777" w:rsidR="00562CF6" w:rsidRDefault="00562CF6" w:rsidP="00562CF6">
      <w:pPr>
        <w:spacing w:after="0" w:line="240" w:lineRule="auto"/>
        <w:rPr>
          <w:rFonts w:ascii="Calibri" w:hAnsi="Calibri"/>
          <w:b/>
        </w:rPr>
      </w:pPr>
    </w:p>
    <w:p w14:paraId="261ABFA1" w14:textId="77777777" w:rsidR="00562CF6" w:rsidRDefault="00562CF6" w:rsidP="00562CF6">
      <w:pPr>
        <w:spacing w:after="0" w:line="240" w:lineRule="auto"/>
        <w:rPr>
          <w:rFonts w:ascii="Calibri" w:hAnsi="Calibri"/>
          <w:b/>
        </w:rPr>
      </w:pPr>
    </w:p>
    <w:p w14:paraId="6B363FF4" w14:textId="77777777" w:rsidR="00562CF6" w:rsidRDefault="00562CF6" w:rsidP="00562CF6">
      <w:pPr>
        <w:spacing w:after="0" w:line="240" w:lineRule="auto"/>
        <w:rPr>
          <w:rFonts w:ascii="Calibri" w:hAnsi="Calibri"/>
          <w:b/>
        </w:rPr>
      </w:pPr>
    </w:p>
    <w:p w14:paraId="1B4063E3" w14:textId="77777777" w:rsidR="00562CF6" w:rsidRDefault="00562CF6" w:rsidP="00562CF6">
      <w:pPr>
        <w:spacing w:after="0" w:line="240" w:lineRule="auto"/>
        <w:rPr>
          <w:rFonts w:ascii="Calibri" w:hAnsi="Calibri"/>
          <w:b/>
        </w:rPr>
      </w:pPr>
    </w:p>
    <w:p w14:paraId="1044B2D7" w14:textId="77777777" w:rsidR="00562CF6" w:rsidRDefault="00562CF6" w:rsidP="00562CF6">
      <w:pPr>
        <w:spacing w:after="0" w:line="240" w:lineRule="auto"/>
        <w:rPr>
          <w:rFonts w:ascii="Calibri" w:hAnsi="Calibri"/>
          <w:b/>
        </w:rPr>
      </w:pPr>
    </w:p>
    <w:p w14:paraId="368D9E80" w14:textId="77777777" w:rsidR="00562CF6" w:rsidRDefault="00562CF6" w:rsidP="00562CF6">
      <w:pPr>
        <w:spacing w:after="0" w:line="240" w:lineRule="auto"/>
        <w:rPr>
          <w:rFonts w:ascii="Calibri" w:hAnsi="Calibri"/>
          <w:b/>
        </w:rPr>
      </w:pPr>
    </w:p>
    <w:p w14:paraId="72065769" w14:textId="77777777" w:rsidR="00562CF6" w:rsidRDefault="00562CF6" w:rsidP="00562CF6">
      <w:pPr>
        <w:spacing w:after="0" w:line="240" w:lineRule="auto"/>
        <w:rPr>
          <w:rFonts w:ascii="Calibri" w:hAnsi="Calibri"/>
          <w:b/>
        </w:rPr>
      </w:pPr>
    </w:p>
    <w:p w14:paraId="785438D9" w14:textId="77777777" w:rsidR="00562CF6" w:rsidRDefault="00562CF6" w:rsidP="00562CF6">
      <w:pPr>
        <w:spacing w:after="0" w:line="240" w:lineRule="auto"/>
        <w:rPr>
          <w:rFonts w:ascii="Calibri" w:hAnsi="Calibri"/>
          <w:b/>
        </w:rPr>
      </w:pPr>
    </w:p>
    <w:p w14:paraId="5215D7A4" w14:textId="77777777" w:rsidR="00562CF6" w:rsidRDefault="00562CF6" w:rsidP="00562CF6">
      <w:pPr>
        <w:spacing w:after="0" w:line="240" w:lineRule="auto"/>
        <w:rPr>
          <w:rFonts w:ascii="Calibri" w:hAnsi="Calibri"/>
          <w:b/>
        </w:rPr>
      </w:pPr>
    </w:p>
    <w:p w14:paraId="2AFE7D54" w14:textId="77777777" w:rsidR="00562CF6" w:rsidRDefault="00562CF6" w:rsidP="00562CF6">
      <w:pPr>
        <w:spacing w:after="0" w:line="240" w:lineRule="auto"/>
        <w:rPr>
          <w:rFonts w:ascii="Calibri" w:hAnsi="Calibri"/>
          <w:b/>
        </w:rPr>
      </w:pPr>
    </w:p>
    <w:p w14:paraId="001AD5B0" w14:textId="77777777" w:rsidR="00562CF6" w:rsidRDefault="00562CF6" w:rsidP="00562CF6">
      <w:pPr>
        <w:spacing w:after="0" w:line="240" w:lineRule="auto"/>
        <w:rPr>
          <w:rFonts w:ascii="Calibri" w:hAnsi="Calibri"/>
          <w:b/>
        </w:rPr>
      </w:pPr>
    </w:p>
    <w:p w14:paraId="20847012" w14:textId="77777777" w:rsidR="00562CF6" w:rsidRDefault="00562CF6" w:rsidP="00562CF6">
      <w:pPr>
        <w:spacing w:after="0" w:line="240" w:lineRule="auto"/>
        <w:rPr>
          <w:rFonts w:ascii="Calibri" w:hAnsi="Calibri"/>
          <w:b/>
        </w:rPr>
      </w:pPr>
    </w:p>
    <w:p w14:paraId="13CC1FAF" w14:textId="77777777" w:rsidR="00562CF6" w:rsidRDefault="00562CF6" w:rsidP="00562CF6">
      <w:pPr>
        <w:spacing w:after="0" w:line="240" w:lineRule="auto"/>
        <w:rPr>
          <w:rFonts w:ascii="Calibri" w:hAnsi="Calibri"/>
          <w:b/>
        </w:rPr>
      </w:pPr>
    </w:p>
    <w:p w14:paraId="18E846D5" w14:textId="77777777" w:rsidR="00562CF6" w:rsidRDefault="00562CF6" w:rsidP="00562CF6">
      <w:pPr>
        <w:spacing w:after="0" w:line="240" w:lineRule="auto"/>
        <w:rPr>
          <w:rFonts w:ascii="Calibri" w:hAnsi="Calibri"/>
          <w:b/>
        </w:rPr>
      </w:pPr>
    </w:p>
    <w:p w14:paraId="21F20D15" w14:textId="77777777" w:rsidR="00562CF6" w:rsidRDefault="00562CF6" w:rsidP="00562CF6">
      <w:pPr>
        <w:spacing w:after="0" w:line="240" w:lineRule="auto"/>
        <w:rPr>
          <w:rFonts w:ascii="Calibri" w:hAnsi="Calibri"/>
          <w:b/>
        </w:rPr>
      </w:pPr>
    </w:p>
    <w:p w14:paraId="5DEC9ED7" w14:textId="77777777" w:rsidR="00562CF6" w:rsidRDefault="00562CF6" w:rsidP="00562CF6">
      <w:pPr>
        <w:spacing w:after="0" w:line="240" w:lineRule="auto"/>
        <w:rPr>
          <w:rFonts w:ascii="Calibri" w:hAnsi="Calibri"/>
          <w:b/>
        </w:rPr>
      </w:pPr>
    </w:p>
    <w:p w14:paraId="5996917E" w14:textId="77777777" w:rsidR="00562CF6" w:rsidRDefault="00562CF6" w:rsidP="00562CF6">
      <w:pPr>
        <w:spacing w:after="0" w:line="240" w:lineRule="auto"/>
        <w:rPr>
          <w:rFonts w:ascii="Calibri" w:hAnsi="Calibri"/>
          <w:b/>
        </w:rPr>
      </w:pPr>
    </w:p>
    <w:p w14:paraId="0058847D" w14:textId="77777777" w:rsidR="00562CF6" w:rsidRDefault="00562CF6" w:rsidP="00562CF6">
      <w:pPr>
        <w:spacing w:after="0" w:line="240" w:lineRule="auto"/>
        <w:rPr>
          <w:rFonts w:ascii="Calibri" w:hAnsi="Calibri"/>
          <w:b/>
        </w:rPr>
      </w:pPr>
    </w:p>
    <w:p w14:paraId="5EDF7099" w14:textId="77777777" w:rsidR="00562CF6" w:rsidRDefault="00562CF6" w:rsidP="00562CF6">
      <w:pPr>
        <w:spacing w:after="0" w:line="240" w:lineRule="auto"/>
        <w:rPr>
          <w:rFonts w:ascii="Calibri" w:hAnsi="Calibri"/>
          <w:b/>
        </w:rPr>
      </w:pPr>
    </w:p>
    <w:p w14:paraId="3CEF7879" w14:textId="77777777" w:rsidR="00562CF6" w:rsidRDefault="00562CF6" w:rsidP="00562CF6">
      <w:pPr>
        <w:spacing w:after="0" w:line="240" w:lineRule="auto"/>
        <w:rPr>
          <w:rFonts w:ascii="Calibri" w:hAnsi="Calibri"/>
          <w:b/>
        </w:rPr>
      </w:pPr>
    </w:p>
    <w:p w14:paraId="49ED887B" w14:textId="77777777" w:rsidR="00562CF6" w:rsidRDefault="00562CF6" w:rsidP="00562CF6">
      <w:pPr>
        <w:spacing w:after="0" w:line="240" w:lineRule="auto"/>
        <w:rPr>
          <w:rFonts w:ascii="Calibri" w:hAnsi="Calibri"/>
          <w:b/>
        </w:rPr>
      </w:pPr>
    </w:p>
    <w:p w14:paraId="3899BE4F" w14:textId="77777777" w:rsidR="00562CF6" w:rsidRDefault="00562CF6" w:rsidP="00562CF6">
      <w:pPr>
        <w:spacing w:after="0" w:line="240" w:lineRule="auto"/>
        <w:rPr>
          <w:rFonts w:ascii="Calibri" w:hAnsi="Calibri"/>
          <w:b/>
        </w:rPr>
      </w:pPr>
    </w:p>
    <w:p w14:paraId="7D26BE8D" w14:textId="77777777" w:rsidR="00562CF6" w:rsidRDefault="00562CF6" w:rsidP="00562CF6">
      <w:pPr>
        <w:spacing w:after="0" w:line="240" w:lineRule="auto"/>
        <w:rPr>
          <w:rFonts w:ascii="Calibri" w:hAnsi="Calibri"/>
          <w:b/>
        </w:rPr>
      </w:pPr>
    </w:p>
    <w:p w14:paraId="52692FF7" w14:textId="77777777" w:rsidR="00562CF6" w:rsidRDefault="00562CF6" w:rsidP="00562CF6">
      <w:pPr>
        <w:spacing w:after="0" w:line="240" w:lineRule="auto"/>
        <w:rPr>
          <w:rFonts w:ascii="Calibri" w:hAnsi="Calibri"/>
          <w:b/>
        </w:rPr>
      </w:pPr>
    </w:p>
    <w:p w14:paraId="2862039A" w14:textId="77777777" w:rsidR="00562CF6" w:rsidRDefault="00562CF6" w:rsidP="00562CF6">
      <w:pPr>
        <w:spacing w:after="0" w:line="240" w:lineRule="auto"/>
        <w:rPr>
          <w:rFonts w:ascii="Calibri" w:hAnsi="Calibri"/>
          <w:b/>
        </w:rPr>
      </w:pPr>
    </w:p>
    <w:p w14:paraId="533101DC" w14:textId="77777777" w:rsidR="00562CF6" w:rsidRDefault="00562CF6" w:rsidP="00562CF6">
      <w:pPr>
        <w:spacing w:after="0" w:line="240" w:lineRule="auto"/>
        <w:rPr>
          <w:rFonts w:ascii="Calibri" w:hAnsi="Calibri"/>
          <w:b/>
        </w:rPr>
      </w:pPr>
    </w:p>
    <w:p w14:paraId="1A2149BD" w14:textId="77777777" w:rsidR="00562CF6" w:rsidRDefault="00562CF6" w:rsidP="00562CF6">
      <w:pPr>
        <w:spacing w:after="0" w:line="240" w:lineRule="auto"/>
        <w:rPr>
          <w:rFonts w:ascii="Calibri" w:hAnsi="Calibri"/>
          <w:b/>
        </w:rPr>
      </w:pPr>
    </w:p>
    <w:p w14:paraId="0A1691F5" w14:textId="77777777" w:rsidR="00562CF6" w:rsidRDefault="00562CF6" w:rsidP="00562CF6">
      <w:pPr>
        <w:spacing w:after="0" w:line="240" w:lineRule="auto"/>
        <w:rPr>
          <w:rFonts w:ascii="Calibri" w:hAnsi="Calibri"/>
          <w:b/>
        </w:rPr>
      </w:pPr>
    </w:p>
    <w:p w14:paraId="1EEA239F" w14:textId="77777777" w:rsidR="00562CF6" w:rsidRDefault="00562CF6" w:rsidP="00562CF6">
      <w:pPr>
        <w:spacing w:after="0" w:line="240" w:lineRule="auto"/>
        <w:rPr>
          <w:rFonts w:ascii="Calibri" w:hAnsi="Calibri"/>
          <w:b/>
        </w:rPr>
      </w:pPr>
    </w:p>
    <w:p w14:paraId="17654668" w14:textId="77777777" w:rsidR="00562CF6" w:rsidRDefault="00562CF6" w:rsidP="00562CF6">
      <w:pPr>
        <w:spacing w:after="0" w:line="240" w:lineRule="auto"/>
        <w:rPr>
          <w:rFonts w:ascii="Calibri" w:hAnsi="Calibri"/>
          <w:b/>
        </w:rPr>
      </w:pPr>
    </w:p>
    <w:p w14:paraId="234ACDBD" w14:textId="77777777" w:rsidR="00562CF6" w:rsidRPr="00562CF6" w:rsidRDefault="00562CF6" w:rsidP="00562CF6">
      <w:pPr>
        <w:spacing w:after="0" w:line="240" w:lineRule="auto"/>
        <w:rPr>
          <w:rFonts w:ascii="Calibri" w:hAnsi="Calibri"/>
          <w:b/>
        </w:rPr>
      </w:pPr>
      <w:r w:rsidRPr="00562CF6">
        <w:rPr>
          <w:rFonts w:ascii="Calibri" w:hAnsi="Calibri"/>
          <w:b/>
        </w:rPr>
        <w:t xml:space="preserve">Appendix </w:t>
      </w:r>
    </w:p>
    <w:p w14:paraId="07C389DB" w14:textId="77777777" w:rsidR="00562CF6" w:rsidRPr="00562CF6" w:rsidRDefault="00562CF6" w:rsidP="00562CF6">
      <w:pPr>
        <w:spacing w:after="0" w:line="240" w:lineRule="auto"/>
        <w:rPr>
          <w:rFonts w:ascii="Calibri" w:hAnsi="Calibri"/>
          <w:b/>
          <w:color w:val="FF0000"/>
        </w:rPr>
      </w:pPr>
      <w:r w:rsidRPr="00562CF6">
        <w:rPr>
          <w:rFonts w:ascii="Calibri" w:hAnsi="Calibri"/>
          <w:b/>
        </w:rPr>
        <w:t xml:space="preserve">Contributors to the HIV-CAUSAL Collaboration – Drug resistance working group </w:t>
      </w:r>
    </w:p>
    <w:p w14:paraId="738C40E4" w14:textId="77777777" w:rsidR="00562CF6" w:rsidRPr="00562CF6" w:rsidRDefault="00562CF6" w:rsidP="00562CF6">
      <w:pPr>
        <w:tabs>
          <w:tab w:val="num" w:pos="540"/>
        </w:tabs>
        <w:spacing w:after="0" w:line="240" w:lineRule="auto"/>
        <w:rPr>
          <w:rFonts w:ascii="Calibri" w:hAnsi="Calibri"/>
        </w:rPr>
      </w:pPr>
    </w:p>
    <w:p w14:paraId="66A25CB8" w14:textId="77777777" w:rsidR="00562CF6" w:rsidRPr="00562CF6" w:rsidRDefault="00562CF6" w:rsidP="00562CF6">
      <w:pPr>
        <w:spacing w:after="0" w:line="240" w:lineRule="auto"/>
        <w:jc w:val="both"/>
        <w:rPr>
          <w:rFonts w:ascii="Calibri" w:hAnsi="Calibri"/>
          <w:b/>
          <w:lang w:val="de-CH"/>
        </w:rPr>
      </w:pPr>
      <w:r w:rsidRPr="00562CF6">
        <w:rPr>
          <w:rFonts w:ascii="Calibri" w:hAnsi="Calibri"/>
          <w:b/>
          <w:lang w:val="de-CH"/>
        </w:rPr>
        <w:t>AMACS</w:t>
      </w:r>
    </w:p>
    <w:p w14:paraId="7DCBDC47" w14:textId="77777777" w:rsidR="00562CF6" w:rsidRPr="00562CF6" w:rsidRDefault="00562CF6" w:rsidP="00562CF6">
      <w:pPr>
        <w:spacing w:after="0" w:line="240" w:lineRule="auto"/>
        <w:jc w:val="both"/>
        <w:rPr>
          <w:rFonts w:ascii="Calibri" w:hAnsi="Calibri"/>
        </w:rPr>
      </w:pPr>
      <w:r w:rsidRPr="00562CF6">
        <w:rPr>
          <w:rFonts w:ascii="Calibri" w:hAnsi="Calibri"/>
          <w:lang w:val="de-CH"/>
        </w:rPr>
        <w:t xml:space="preserve">Steering Committee: Antoniadou A., Chrysos G., Daikos G., Gargalianos-Kakolyris P., Gogos HA., Katsarou O., Kordossis T., Lazanas M., Nikolaidis P., Panos G., Paparizos V., Paraskevis D., Sambatakou H., Skoutelis A., Touloumi G. (Chair). </w:t>
      </w:r>
      <w:r w:rsidRPr="00562CF6">
        <w:rPr>
          <w:rFonts w:ascii="Calibri" w:hAnsi="Calibri"/>
        </w:rPr>
        <w:t>Coordinating Center: Department of Hygiene, Epidemiology and Medical Statistics, Athens University Medical School, Greece (Touloumi G., Pantazis N., Vourli G., Gountas I., Gioukari V.)</w:t>
      </w:r>
    </w:p>
    <w:p w14:paraId="10CE7D0B" w14:textId="77777777" w:rsidR="00562CF6" w:rsidRPr="00562CF6" w:rsidRDefault="00562CF6" w:rsidP="00562CF6">
      <w:pPr>
        <w:spacing w:after="0" w:line="240" w:lineRule="auto"/>
        <w:jc w:val="both"/>
        <w:rPr>
          <w:rFonts w:ascii="Calibri" w:hAnsi="Calibri"/>
        </w:rPr>
      </w:pPr>
      <w:r w:rsidRPr="00562CF6">
        <w:rPr>
          <w:rFonts w:ascii="Calibri" w:hAnsi="Calibri"/>
        </w:rPr>
        <w:t>Participating Centers: 4th Dept of Internal Medicine, Athens Medical School, Attikon University  Hospital (Antoniadou A, Papadopoulos A, Petrikkos G); Infectious Disease Unit, “Tzaneio” General Hospital of Pireaus (Chrysos G, Paraskeva D, Hatziastros P); 1st Dept of Propedeutic Medicine, Athens University, Medical School “Laikon” General Hopsital (Daikos G, Psichogiou M); 1</w:t>
      </w:r>
      <w:r w:rsidRPr="00562CF6">
        <w:rPr>
          <w:rFonts w:ascii="Calibri" w:hAnsi="Calibri"/>
          <w:vertAlign w:val="superscript"/>
        </w:rPr>
        <w:t>st</w:t>
      </w:r>
      <w:r w:rsidRPr="00562CF6">
        <w:rPr>
          <w:rFonts w:ascii="Calibri" w:hAnsi="Calibri"/>
        </w:rPr>
        <w:t xml:space="preserve"> Dept of Medicine, Infectious Diseases Unit, "G. Gennimatas" Athens General Hospital  (Gargalianos-Kakolyris P, Xylomenos G); 1</w:t>
      </w:r>
      <w:r w:rsidRPr="00562CF6">
        <w:rPr>
          <w:rFonts w:ascii="Calibri" w:hAnsi="Calibri"/>
          <w:vertAlign w:val="superscript"/>
        </w:rPr>
        <w:t>st</w:t>
      </w:r>
      <w:r w:rsidRPr="00562CF6">
        <w:rPr>
          <w:rFonts w:ascii="Calibri" w:hAnsi="Calibri"/>
        </w:rPr>
        <w:t xml:space="preserve"> Dept of Internal Medicine, Infectious Diseases Section, Patras University Hospital (Gogos HA, Marangos MN, Panos G); Haemophilia Centre, 2</w:t>
      </w:r>
      <w:r w:rsidRPr="00562CF6">
        <w:rPr>
          <w:rFonts w:ascii="Calibri" w:hAnsi="Calibri"/>
          <w:vertAlign w:val="superscript"/>
        </w:rPr>
        <w:t>nd</w:t>
      </w:r>
      <w:r w:rsidRPr="00562CF6">
        <w:rPr>
          <w:rFonts w:ascii="Calibri" w:hAnsi="Calibri"/>
        </w:rPr>
        <w:t xml:space="preserve"> Blood Transfusion Centre, “Laikon” Athens General Hospital (Katsarou O, Kouramba A, Ioannidou P); AIDS Unit, Dept of Pathophysiology, “Laikon” Athens General Hospital and Athens University, Medical School (Kordossis T, Kontos A); Infectious Diseases Unit, Red Cross General Hospital of Athens (Lazanas M, Chini M, Tsogas N); 1</w:t>
      </w:r>
      <w:r w:rsidRPr="00562CF6">
        <w:rPr>
          <w:rFonts w:ascii="Calibri" w:hAnsi="Calibri"/>
          <w:vertAlign w:val="superscript"/>
        </w:rPr>
        <w:t>st</w:t>
      </w:r>
      <w:r w:rsidRPr="00562CF6">
        <w:rPr>
          <w:rFonts w:ascii="Calibri" w:hAnsi="Calibri"/>
        </w:rPr>
        <w:t xml:space="preserve"> Dept of Internal Medicine, Infectious Diseases Devision, AHEPA University Hospital, Aristotle University HIV Unit (Nikolaidis P, Kolaras P, Metallidis S); 2nd Internal Medicine Clinic, 1st IKA (Panos G, Haratsis G); AIDS Unit, Clinic of Venereologic &amp; Dermatologic Diseases, Athens University, Medical School, Syngros Hospital (Paparizos V, Leuow K, Kourkounti S); HIV Unit, 2</w:t>
      </w:r>
      <w:r w:rsidRPr="00562CF6">
        <w:rPr>
          <w:rFonts w:ascii="Calibri" w:hAnsi="Calibri"/>
          <w:vertAlign w:val="superscript"/>
        </w:rPr>
        <w:t>nd</w:t>
      </w:r>
      <w:r w:rsidRPr="00562CF6">
        <w:rPr>
          <w:rFonts w:ascii="Calibri" w:hAnsi="Calibri"/>
        </w:rPr>
        <w:t xml:space="preserve"> Dpt. of Internal Medicine, Athens University, Medical School, Hippokration General Hospital (Sambatakou H, Mariolis I); Infectious Diseases &amp; HIV Division, Dept of Internal Medicine, Evaggelismos Athens General Hospital (Skoutelis A, Papastamopoulos V, Baraboutis I).  </w:t>
      </w:r>
    </w:p>
    <w:p w14:paraId="5C9FBC2D" w14:textId="77777777" w:rsidR="00562CF6" w:rsidRPr="00562CF6" w:rsidRDefault="00562CF6" w:rsidP="00562CF6">
      <w:pPr>
        <w:spacing w:after="0" w:line="240" w:lineRule="auto"/>
        <w:jc w:val="both"/>
        <w:rPr>
          <w:rFonts w:ascii="Calibri" w:hAnsi="Calibri"/>
        </w:rPr>
      </w:pPr>
    </w:p>
    <w:p w14:paraId="7702F87D" w14:textId="77777777" w:rsidR="00562CF6" w:rsidRPr="00562CF6" w:rsidRDefault="00562CF6" w:rsidP="00562CF6">
      <w:pPr>
        <w:spacing w:after="0" w:line="240" w:lineRule="auto"/>
        <w:contextualSpacing/>
        <w:rPr>
          <w:rFonts w:ascii="Calibri" w:hAnsi="Calibri"/>
          <w:b/>
        </w:rPr>
      </w:pPr>
      <w:r w:rsidRPr="00562CF6">
        <w:rPr>
          <w:rFonts w:ascii="Calibri" w:hAnsi="Calibri"/>
          <w:b/>
        </w:rPr>
        <w:t>ATHENA</w:t>
      </w:r>
    </w:p>
    <w:p w14:paraId="4803D410" w14:textId="77777777" w:rsidR="00562CF6" w:rsidRPr="00562CF6" w:rsidRDefault="00562CF6" w:rsidP="00562CF6">
      <w:pPr>
        <w:spacing w:after="0" w:line="240" w:lineRule="auto"/>
        <w:contextualSpacing/>
        <w:rPr>
          <w:rFonts w:ascii="Calibri" w:hAnsi="Calibri"/>
          <w:lang w:val="en-GB"/>
        </w:rPr>
      </w:pPr>
      <w:r w:rsidRPr="00562CF6">
        <w:rPr>
          <w:rFonts w:ascii="Calibri" w:hAnsi="Calibri"/>
        </w:rPr>
        <w:t>The ATHENA database is</w:t>
      </w:r>
      <w:r w:rsidRPr="00562CF6">
        <w:rPr>
          <w:rFonts w:ascii="Calibri" w:hAnsi="Calibri"/>
          <w:lang w:val="en-GB"/>
        </w:rPr>
        <w:t> maintained by Stichting HIV Monitoring and supported by a grant from the Dutch Ministry of Health, Welfare and Sport through the Centre for Infectious Disease Control of the National Institute for Public Health and the Environment. </w:t>
      </w:r>
    </w:p>
    <w:p w14:paraId="55EB3F01" w14:textId="77777777" w:rsidR="00562CF6" w:rsidRPr="00562CF6" w:rsidRDefault="00562CF6" w:rsidP="00562CF6">
      <w:pPr>
        <w:spacing w:after="0" w:line="240" w:lineRule="auto"/>
        <w:contextualSpacing/>
        <w:rPr>
          <w:rFonts w:ascii="Calibri" w:hAnsi="Calibri"/>
          <w:lang w:val="en-GB"/>
        </w:rPr>
      </w:pPr>
      <w:r w:rsidRPr="00562CF6">
        <w:rPr>
          <w:rFonts w:ascii="Calibri" w:hAnsi="Calibri"/>
          <w:lang w:val="en-GB"/>
        </w:rPr>
        <w:t xml:space="preserve">CLINICAL CENTRES* denotes site coordinating physician: Academic Medical Centre of the University of Amsterdam: HIV treating physicians: J.M. Prins*, </w:t>
      </w:r>
      <w:r w:rsidRPr="00562CF6">
        <w:rPr>
          <w:rFonts w:ascii="Calibri" w:eastAsia="Times New Roman" w:hAnsi="Calibri" w:cs="Calibri"/>
          <w:color w:val="000000"/>
          <w:lang w:val="en-GB"/>
        </w:rPr>
        <w:t xml:space="preserve">T.W. Kuijpers, H.J. Scherpbier, J.T.M. van der Meer, F.W.M.N. Wit, M.H. Godfried, P. Reiss, T. van der Poll, F.J.B. Nellen, S.E. Geerlings, M. van Vugt, D. Pajkrt, W.J. Wiersinga, M. van der Valk, A. Goorhuis, J.W. Hovius. </w:t>
      </w:r>
      <w:r w:rsidRPr="00562CF6">
        <w:rPr>
          <w:rFonts w:ascii="Calibri" w:hAnsi="Calibri"/>
          <w:lang w:val="en-GB"/>
        </w:rPr>
        <w:t>HIV nurse consultants: M.A.H. Bijsterveld,</w:t>
      </w:r>
      <w:r w:rsidRPr="00562CF6">
        <w:rPr>
          <w:rFonts w:ascii="Calibri" w:hAnsi="Calibri"/>
          <w:color w:val="1F497D"/>
          <w:lang w:val="en-GB"/>
        </w:rPr>
        <w:t xml:space="preserve"> </w:t>
      </w:r>
      <w:r w:rsidRPr="00562CF6">
        <w:rPr>
          <w:rFonts w:ascii="Calibri" w:eastAsia="Times New Roman" w:hAnsi="Calibri" w:cs="Calibri"/>
          <w:color w:val="000000"/>
          <w:lang w:val="en-GB"/>
        </w:rPr>
        <w:t>J. van Eden, A.M.H. van Hes, M. Mutschelknauss, H.E. Nobel, F.J.J. Pijnappel</w:t>
      </w:r>
      <w:r w:rsidRPr="00562CF6">
        <w:rPr>
          <w:rFonts w:ascii="Calibri" w:hAnsi="Calibri"/>
          <w:lang w:val="en-GB"/>
        </w:rPr>
        <w:t>,  A.M. Weijsenfeld</w:t>
      </w:r>
      <w:r w:rsidRPr="00562CF6">
        <w:rPr>
          <w:rFonts w:ascii="Calibri" w:eastAsia="Times New Roman" w:hAnsi="Calibri" w:cs="Calibri"/>
          <w:color w:val="000000"/>
          <w:lang w:val="en-GB"/>
        </w:rPr>
        <w:t xml:space="preserve">. </w:t>
      </w:r>
      <w:r w:rsidRPr="00562CF6">
        <w:rPr>
          <w:rFonts w:ascii="Calibri" w:hAnsi="Calibri"/>
          <w:lang w:val="en-GB"/>
        </w:rPr>
        <w:t xml:space="preserve">HIV clinical virologists/chemists: </w:t>
      </w:r>
      <w:r w:rsidRPr="00562CF6">
        <w:rPr>
          <w:rFonts w:ascii="Calibri" w:eastAsia="Times New Roman" w:hAnsi="Calibri" w:cs="Calibri"/>
          <w:color w:val="000000"/>
          <w:lang w:val="en-GB"/>
        </w:rPr>
        <w:t xml:space="preserve">S. Jurriaans, N.K.T. Back, H.L. Zaaijer, B. Berkhout, M.T.E. Cornelissen, C.J. Schinkel, X.V. Thomas. </w:t>
      </w:r>
      <w:r w:rsidRPr="00562CF6">
        <w:rPr>
          <w:rFonts w:ascii="Calibri" w:hAnsi="Calibri"/>
        </w:rPr>
        <w:t xml:space="preserve">Admiraal De Ruyter Ziekenhuis, Goes: HIV treating physicians: </w:t>
      </w:r>
      <w:r w:rsidRPr="00562CF6">
        <w:rPr>
          <w:rFonts w:ascii="Calibri" w:eastAsia="Times New Roman" w:hAnsi="Calibri" w:cs="Calibri"/>
          <w:color w:val="000000"/>
        </w:rPr>
        <w:t xml:space="preserve">M. van den Berge, A. Stegeman. </w:t>
      </w:r>
      <w:r w:rsidRPr="00562CF6">
        <w:rPr>
          <w:rFonts w:ascii="Calibri" w:hAnsi="Calibri"/>
          <w:lang w:val="en-GB"/>
        </w:rPr>
        <w:t xml:space="preserve">HIV nurse consultants: </w:t>
      </w:r>
      <w:r w:rsidRPr="00562CF6">
        <w:rPr>
          <w:rFonts w:ascii="Calibri" w:eastAsia="Times New Roman" w:hAnsi="Calibri" w:cs="Calibri"/>
          <w:color w:val="000000"/>
          <w:lang w:val="en-GB"/>
        </w:rPr>
        <w:t xml:space="preserve">S. Baas, L. Hage de Looff. </w:t>
      </w:r>
      <w:r w:rsidRPr="00562CF6">
        <w:rPr>
          <w:rFonts w:ascii="Calibri" w:hAnsi="Calibri"/>
          <w:lang w:val="en-GB"/>
        </w:rPr>
        <w:t xml:space="preserve">HIV clinical virologists/chemists: </w:t>
      </w:r>
      <w:r w:rsidRPr="00562CF6">
        <w:rPr>
          <w:rFonts w:ascii="Calibri" w:hAnsi="Calibri" w:cs="Microsoft Sans Serif"/>
          <w:lang w:val="en-GB"/>
        </w:rPr>
        <w:t>B Wintermans, J Veenemans</w:t>
      </w:r>
      <w:r w:rsidRPr="00562CF6">
        <w:rPr>
          <w:rFonts w:ascii="Calibri" w:hAnsi="Calibri"/>
          <w:lang w:val="en-GB"/>
        </w:rPr>
        <w:t xml:space="preserve">. </w:t>
      </w:r>
      <w:r w:rsidRPr="00562CF6">
        <w:rPr>
          <w:rFonts w:ascii="Calibri" w:hAnsi="Calibri"/>
        </w:rPr>
        <w:t xml:space="preserve">Catharina Ziekenhuis, Eindhoven: HIV treating physicians: </w:t>
      </w:r>
      <w:r w:rsidRPr="00562CF6">
        <w:rPr>
          <w:rFonts w:ascii="Calibri" w:eastAsia="Times New Roman" w:hAnsi="Calibri" w:cs="Calibri"/>
          <w:color w:val="000000"/>
        </w:rPr>
        <w:t xml:space="preserve">M.J.H. Pronk*, H.S.M. Ammerlaan. </w:t>
      </w:r>
      <w:r w:rsidRPr="00562CF6">
        <w:rPr>
          <w:rFonts w:ascii="Calibri" w:hAnsi="Calibri"/>
        </w:rPr>
        <w:t>HIV nurse consultants:</w:t>
      </w:r>
      <w:r w:rsidRPr="00562CF6">
        <w:rPr>
          <w:rFonts w:ascii="Calibri" w:eastAsia="Times New Roman" w:hAnsi="Calibri" w:cs="Calibri"/>
          <w:color w:val="000000"/>
        </w:rPr>
        <w:t xml:space="preserve"> E.S. de Munnik, E. van Beek. </w:t>
      </w:r>
      <w:r w:rsidRPr="00562CF6">
        <w:rPr>
          <w:rFonts w:ascii="Calibri" w:hAnsi="Calibri"/>
        </w:rPr>
        <w:t xml:space="preserve">HIV clinical virologists/chemists: A.R. Jansz, J. Tjhie, M.C.A. Wegdam, B. Deiman, V. Scharnhorst. </w:t>
      </w:r>
      <w:r w:rsidRPr="00562CF6">
        <w:rPr>
          <w:rFonts w:ascii="Calibri" w:eastAsia="Times New Roman" w:hAnsi="Calibri"/>
          <w:iCs/>
        </w:rPr>
        <w:t>Elisabeth-TweeSteden Ziekenhuis</w:t>
      </w:r>
      <w:r w:rsidRPr="00562CF6">
        <w:rPr>
          <w:rFonts w:ascii="Calibri" w:hAnsi="Calibri"/>
        </w:rPr>
        <w:t xml:space="preserve">, Tilburg: HIV treating physicians: </w:t>
      </w:r>
      <w:r w:rsidRPr="00562CF6">
        <w:rPr>
          <w:rFonts w:ascii="Calibri" w:eastAsia="Times New Roman" w:hAnsi="Calibri" w:cs="Calibri"/>
          <w:color w:val="000000"/>
        </w:rPr>
        <w:t xml:space="preserve">M.E.E. van Kasteren*, A.E. Brouwer. </w:t>
      </w:r>
      <w:r w:rsidRPr="00562CF6">
        <w:rPr>
          <w:rFonts w:ascii="Calibri" w:hAnsi="Calibri"/>
          <w:lang w:val="es-AR"/>
        </w:rPr>
        <w:t xml:space="preserve">HIV nurse consultants: R. van Erve, </w:t>
      </w:r>
      <w:r w:rsidRPr="00562CF6">
        <w:rPr>
          <w:rFonts w:ascii="Calibri" w:eastAsia="Times New Roman" w:hAnsi="Calibri" w:cs="Calibri"/>
          <w:color w:val="000000"/>
          <w:lang w:val="es-AR"/>
        </w:rPr>
        <w:t xml:space="preserve">B.A.F.M. de Kruijf-van de Wiel, </w:t>
      </w:r>
      <w:r w:rsidRPr="00562CF6">
        <w:rPr>
          <w:rFonts w:ascii="Calibri" w:hAnsi="Calibri"/>
          <w:lang w:val="es-AR"/>
        </w:rPr>
        <w:t xml:space="preserve">S.Keelan-Pfaf, </w:t>
      </w:r>
      <w:r w:rsidRPr="00562CF6">
        <w:rPr>
          <w:rFonts w:ascii="Calibri" w:eastAsia="Times New Roman" w:hAnsi="Calibri" w:cs="Calibri"/>
          <w:color w:val="000000"/>
          <w:lang w:val="es-AR"/>
        </w:rPr>
        <w:t xml:space="preserve">B. van der Ven. </w:t>
      </w:r>
      <w:r w:rsidRPr="00562CF6">
        <w:rPr>
          <w:rFonts w:ascii="Calibri" w:hAnsi="Calibri"/>
          <w:lang w:val="es-AR"/>
        </w:rPr>
        <w:t>Data collection:</w:t>
      </w:r>
      <w:r w:rsidRPr="00562CF6">
        <w:rPr>
          <w:rFonts w:ascii="Calibri" w:eastAsia="Times New Roman" w:hAnsi="Calibri" w:cs="Calibri"/>
          <w:color w:val="000000"/>
          <w:lang w:val="es-AR"/>
        </w:rPr>
        <w:t xml:space="preserve"> B.A.F.M. de Kruijf-van de Wiel, B. van der Ven.</w:t>
      </w:r>
      <w:r w:rsidRPr="00562CF6">
        <w:rPr>
          <w:rFonts w:ascii="Calibri" w:hAnsi="Calibri"/>
          <w:lang w:val="es-AR"/>
        </w:rPr>
        <w:t xml:space="preserve"> </w:t>
      </w:r>
      <w:r w:rsidRPr="00562CF6">
        <w:rPr>
          <w:rFonts w:ascii="Calibri" w:eastAsia="Times New Roman" w:hAnsi="Calibri" w:cs="Calibri"/>
          <w:color w:val="000000"/>
          <w:lang w:val="es-AR"/>
        </w:rPr>
        <w:t xml:space="preserve"> </w:t>
      </w:r>
      <w:r w:rsidRPr="00562CF6">
        <w:rPr>
          <w:rFonts w:ascii="Calibri" w:hAnsi="Calibri"/>
        </w:rPr>
        <w:t xml:space="preserve">HIV clinical virologists/chemists: </w:t>
      </w:r>
      <w:r w:rsidRPr="00562CF6">
        <w:rPr>
          <w:rFonts w:ascii="Calibri" w:eastAsia="Times New Roman" w:hAnsi="Calibri" w:cs="Calibri"/>
          <w:color w:val="000000"/>
        </w:rPr>
        <w:t>A.G.M. Buiting, P.J. Kabel,</w:t>
      </w:r>
      <w:r w:rsidRPr="00562CF6">
        <w:rPr>
          <w:rFonts w:ascii="Calibri" w:hAnsi="Calibri"/>
          <w:color w:val="FF0000"/>
        </w:rPr>
        <w:t xml:space="preserve"> </w:t>
      </w:r>
      <w:r w:rsidRPr="00562CF6">
        <w:rPr>
          <w:rFonts w:ascii="Calibri" w:hAnsi="Calibri"/>
        </w:rPr>
        <w:t>D.Versteeg</w:t>
      </w:r>
      <w:r w:rsidRPr="00562CF6">
        <w:rPr>
          <w:rFonts w:ascii="Calibri" w:eastAsia="Times New Roman" w:hAnsi="Calibri" w:cs="Calibri"/>
        </w:rPr>
        <w:t>.</w:t>
      </w:r>
      <w:r w:rsidRPr="00562CF6">
        <w:rPr>
          <w:rFonts w:ascii="Calibri" w:hAnsi="Calibri"/>
        </w:rPr>
        <w:t xml:space="preserve"> Emma Kinderziekenhuis: HIV nurse consultants:</w:t>
      </w:r>
      <w:r w:rsidRPr="00562CF6">
        <w:rPr>
          <w:rFonts w:ascii="Calibri" w:eastAsia="Times New Roman" w:hAnsi="Calibri" w:cs="Calibri"/>
          <w:color w:val="000000"/>
        </w:rPr>
        <w:t xml:space="preserve"> A. van der Plas, A.M. Weijsenfeld. </w:t>
      </w:r>
      <w:r w:rsidRPr="00562CF6">
        <w:rPr>
          <w:rFonts w:ascii="Calibri" w:hAnsi="Calibri"/>
        </w:rPr>
        <w:t xml:space="preserve">Erasmus MC, Rotterdam: HIV treating physicians: </w:t>
      </w:r>
      <w:r w:rsidRPr="00562CF6">
        <w:rPr>
          <w:rFonts w:ascii="Calibri" w:eastAsia="Times New Roman" w:hAnsi="Calibri" w:cs="Calibri"/>
          <w:color w:val="000000"/>
        </w:rPr>
        <w:t xml:space="preserve">M.E. van der Ende*, H.I. Bax, E.C.M. van Gorp, J.L. Nouwen, B.J.A. Rijnders, C.A.M. Schurink, A. Verbon, T.E.M.S. de Vries-Sluijs. </w:t>
      </w:r>
      <w:r w:rsidRPr="00562CF6">
        <w:rPr>
          <w:rFonts w:ascii="Calibri" w:hAnsi="Calibri"/>
        </w:rPr>
        <w:t xml:space="preserve">HIV nurse consultants: </w:t>
      </w:r>
      <w:r w:rsidRPr="00562CF6">
        <w:rPr>
          <w:rFonts w:ascii="Calibri" w:eastAsia="Times New Roman" w:hAnsi="Calibri" w:cs="Calibri"/>
          <w:color w:val="000000"/>
        </w:rPr>
        <w:t xml:space="preserve">N. Bassant, J.E.A. van Beek, M. Vriesde, L.M. van Zonneveld. </w:t>
      </w:r>
      <w:r w:rsidRPr="00562CF6">
        <w:rPr>
          <w:rFonts w:ascii="Calibri" w:hAnsi="Calibri"/>
        </w:rPr>
        <w:t xml:space="preserve">Data collection: </w:t>
      </w:r>
      <w:r w:rsidRPr="00562CF6">
        <w:rPr>
          <w:rFonts w:ascii="Calibri" w:eastAsia="Times New Roman" w:hAnsi="Calibri" w:cs="Calibri"/>
          <w:color w:val="000000"/>
        </w:rPr>
        <w:t xml:space="preserve">H.J. van den Berg-Cameron, F.B. Bruinsma-Broekman, J. de Groot, M. de Zeeuw-de Man. </w:t>
      </w:r>
      <w:r w:rsidRPr="00562CF6">
        <w:rPr>
          <w:rFonts w:ascii="Calibri" w:hAnsi="Calibri"/>
        </w:rPr>
        <w:t>HIV clinical virologists/chemists:</w:t>
      </w:r>
      <w:r w:rsidRPr="00562CF6">
        <w:rPr>
          <w:rFonts w:ascii="Calibri" w:eastAsia="Times New Roman" w:hAnsi="Calibri" w:cs="Calibri"/>
          <w:color w:val="000000"/>
        </w:rPr>
        <w:t xml:space="preserve"> C.A.B. Boucher, M.P.G Koopmans, J.J.A van Kampen, S.D. Pas. </w:t>
      </w:r>
      <w:r w:rsidRPr="00562CF6">
        <w:rPr>
          <w:rFonts w:ascii="Calibri" w:hAnsi="Calibri"/>
          <w:lang w:val="en-GB"/>
        </w:rPr>
        <w:t xml:space="preserve">Erasmus MC–Sophia, Rotterdam: HIV treating physicians: </w:t>
      </w:r>
      <w:r w:rsidRPr="00562CF6">
        <w:rPr>
          <w:rFonts w:ascii="Calibri" w:eastAsia="Times New Roman" w:hAnsi="Calibri" w:cs="Calibri"/>
          <w:color w:val="000000"/>
          <w:lang w:val="en-GB"/>
        </w:rPr>
        <w:t xml:space="preserve">G.J.A. Driessen, A.M.C. van Rossum. </w:t>
      </w:r>
      <w:r w:rsidRPr="00562CF6">
        <w:rPr>
          <w:rFonts w:ascii="Calibri" w:hAnsi="Calibri"/>
          <w:lang w:val="en-GB"/>
        </w:rPr>
        <w:t xml:space="preserve">HIV nurse consultants: </w:t>
      </w:r>
      <w:r w:rsidRPr="00562CF6">
        <w:rPr>
          <w:rFonts w:ascii="Calibri" w:eastAsia="Times New Roman" w:hAnsi="Calibri" w:cs="Calibri"/>
          <w:color w:val="000000"/>
          <w:lang w:val="en-GB"/>
        </w:rPr>
        <w:t>L.C. van der Knaap, E. Visser.</w:t>
      </w:r>
      <w:r w:rsidRPr="00562CF6">
        <w:rPr>
          <w:rFonts w:ascii="Calibri" w:hAnsi="Calibri"/>
          <w:lang w:val="en-GB"/>
        </w:rPr>
        <w:t xml:space="preserve"> Flevoziekenhuis, Almere: HIV treating physicians: J. Branger*, A. Rijkeboer-Mes. </w:t>
      </w:r>
      <w:r w:rsidRPr="00562CF6">
        <w:rPr>
          <w:rFonts w:ascii="Calibri" w:hAnsi="Calibri"/>
        </w:rPr>
        <w:t xml:space="preserve">HIV nurse consultant and data collection: </w:t>
      </w:r>
      <w:r w:rsidRPr="00562CF6">
        <w:rPr>
          <w:rFonts w:ascii="Calibri" w:eastAsia="Times New Roman" w:hAnsi="Calibri" w:cs="Calibri"/>
          <w:color w:val="000000"/>
        </w:rPr>
        <w:t xml:space="preserve">C.J.H.M. Duijf-van de Ven. </w:t>
      </w:r>
      <w:r w:rsidRPr="00562CF6">
        <w:rPr>
          <w:rFonts w:ascii="Calibri" w:hAnsi="Calibri"/>
        </w:rPr>
        <w:t xml:space="preserve">HagaZiekenhuis, Den Haag: HIV treating physicians: </w:t>
      </w:r>
      <w:r w:rsidRPr="00562CF6">
        <w:rPr>
          <w:rFonts w:ascii="Calibri" w:eastAsia="Times New Roman" w:hAnsi="Calibri" w:cs="Calibri"/>
          <w:color w:val="000000"/>
        </w:rPr>
        <w:t xml:space="preserve">E.F. Schippers*, C. van Nieuwkoop. </w:t>
      </w:r>
      <w:r w:rsidRPr="00562CF6">
        <w:rPr>
          <w:rFonts w:ascii="Calibri" w:hAnsi="Calibri"/>
        </w:rPr>
        <w:t xml:space="preserve">HIV nurse consultants: </w:t>
      </w:r>
      <w:r w:rsidRPr="00562CF6">
        <w:rPr>
          <w:rFonts w:ascii="Calibri" w:eastAsia="Times New Roman" w:hAnsi="Calibri" w:cs="Calibri"/>
          <w:color w:val="000000"/>
        </w:rPr>
        <w:t xml:space="preserve">J.M. van IJperen, J. Geilings. </w:t>
      </w:r>
      <w:r w:rsidRPr="00562CF6">
        <w:rPr>
          <w:rFonts w:ascii="Calibri" w:hAnsi="Calibri"/>
        </w:rPr>
        <w:t xml:space="preserve">Data collection: </w:t>
      </w:r>
      <w:r w:rsidRPr="00562CF6">
        <w:rPr>
          <w:rFonts w:ascii="Calibri" w:eastAsia="Times New Roman" w:hAnsi="Calibri" w:cs="Calibri"/>
          <w:color w:val="000000"/>
        </w:rPr>
        <w:t xml:space="preserve">G. van der Hut. </w:t>
      </w:r>
      <w:r w:rsidRPr="00562CF6">
        <w:rPr>
          <w:rFonts w:ascii="Calibri" w:hAnsi="Calibri"/>
        </w:rPr>
        <w:t xml:space="preserve">HIV clinical virologist/chemist: P.F.H. Franck. HIV Focus Centrum (DC Klinieken): HIV treating physicians: A. </w:t>
      </w:r>
      <w:r w:rsidRPr="00562CF6">
        <w:rPr>
          <w:rFonts w:ascii="Calibri" w:eastAsia="Times New Roman" w:hAnsi="Calibri" w:cs="Calibri"/>
          <w:color w:val="000000"/>
        </w:rPr>
        <w:t xml:space="preserve">van Eeden*. </w:t>
      </w:r>
      <w:r w:rsidRPr="00562CF6">
        <w:rPr>
          <w:rFonts w:ascii="Calibri" w:hAnsi="Calibri"/>
        </w:rPr>
        <w:t xml:space="preserve">HIV nurse consultants: </w:t>
      </w:r>
      <w:r w:rsidRPr="00562CF6">
        <w:rPr>
          <w:rFonts w:ascii="Calibri" w:eastAsia="Times New Roman" w:hAnsi="Calibri" w:cs="Calibri"/>
          <w:color w:val="000000"/>
        </w:rPr>
        <w:t xml:space="preserve">W. Brokking, M. Groot, L.J.M. Elsenburg. </w:t>
      </w:r>
      <w:r w:rsidRPr="00562CF6">
        <w:rPr>
          <w:rFonts w:ascii="Calibri" w:hAnsi="Calibri"/>
          <w:lang w:val="en-GB"/>
        </w:rPr>
        <w:t xml:space="preserve">HIV clinical virologists/chemists: </w:t>
      </w:r>
      <w:r w:rsidRPr="00562CF6">
        <w:rPr>
          <w:rFonts w:ascii="Calibri" w:hAnsi="Calibri" w:cs="Calibri"/>
        </w:rPr>
        <w:t>M. Damen, I.S. Kwa.</w:t>
      </w:r>
      <w:r w:rsidRPr="00562CF6">
        <w:rPr>
          <w:rFonts w:ascii="Calibri" w:eastAsia="Times New Roman" w:hAnsi="Calibri" w:cs="Calibri"/>
          <w:color w:val="000000"/>
        </w:rPr>
        <w:t xml:space="preserve"> </w:t>
      </w:r>
      <w:r w:rsidRPr="00562CF6">
        <w:rPr>
          <w:rFonts w:ascii="Calibri" w:hAnsi="Calibri"/>
          <w:lang w:val="en-GB"/>
        </w:rPr>
        <w:t xml:space="preserve">Isala, Zwolle: HIV treating physicians: </w:t>
      </w:r>
      <w:r w:rsidRPr="00562CF6">
        <w:rPr>
          <w:rFonts w:ascii="Calibri" w:eastAsia="Times New Roman" w:hAnsi="Calibri" w:cs="Calibri"/>
          <w:color w:val="000000"/>
          <w:lang w:val="en-GB"/>
        </w:rPr>
        <w:t xml:space="preserve">P.H.P. Groeneveld*, J.W. Bouwhuis. </w:t>
      </w:r>
      <w:r w:rsidRPr="00562CF6">
        <w:rPr>
          <w:rFonts w:ascii="Calibri" w:hAnsi="Calibri"/>
        </w:rPr>
        <w:t xml:space="preserve">HIV nurse consultants: </w:t>
      </w:r>
      <w:r w:rsidRPr="00562CF6">
        <w:rPr>
          <w:rFonts w:ascii="Calibri" w:eastAsia="Times New Roman" w:hAnsi="Calibri" w:cs="Calibri"/>
          <w:color w:val="000000"/>
        </w:rPr>
        <w:t xml:space="preserve">J.F. van den Berg, A.G.W. van Hulzen. </w:t>
      </w:r>
      <w:r w:rsidRPr="00562CF6">
        <w:rPr>
          <w:rFonts w:ascii="Calibri" w:hAnsi="Calibri"/>
        </w:rPr>
        <w:t xml:space="preserve">Data collection: </w:t>
      </w:r>
      <w:r w:rsidRPr="00562CF6">
        <w:rPr>
          <w:rFonts w:ascii="Calibri" w:eastAsia="Times New Roman" w:hAnsi="Calibri" w:cs="Calibri"/>
          <w:color w:val="000000"/>
        </w:rPr>
        <w:t xml:space="preserve">G.L. van der Bliek, P.C.J. Bor. </w:t>
      </w:r>
      <w:r w:rsidRPr="00562CF6">
        <w:rPr>
          <w:rFonts w:ascii="Calibri" w:hAnsi="Calibri"/>
        </w:rPr>
        <w:t xml:space="preserve">HIV clinical virologists/chemists: </w:t>
      </w:r>
      <w:r w:rsidRPr="00562CF6">
        <w:rPr>
          <w:rFonts w:ascii="Calibri" w:eastAsia="Times New Roman" w:hAnsi="Calibri" w:cs="Calibri"/>
          <w:color w:val="000000"/>
        </w:rPr>
        <w:t xml:space="preserve">P. Bloembergen, M.J.H.M. Wolfhagen, G.J.H.M. Ruijs. </w:t>
      </w:r>
      <w:r w:rsidRPr="00562CF6">
        <w:rPr>
          <w:rFonts w:ascii="Calibri" w:hAnsi="Calibri"/>
        </w:rPr>
        <w:t xml:space="preserve">Leids Universitair Medisch Centrum, Leiden: HIV treating physicians: </w:t>
      </w:r>
      <w:r w:rsidRPr="00562CF6">
        <w:rPr>
          <w:rFonts w:ascii="Calibri" w:eastAsia="Times New Roman" w:hAnsi="Calibri" w:cs="Calibri"/>
          <w:color w:val="000000"/>
        </w:rPr>
        <w:t xml:space="preserve">F.P. Kroon*, M.G.J. de Boer, H. Jolink, A.M. Vollaard. </w:t>
      </w:r>
      <w:r w:rsidRPr="00562CF6">
        <w:rPr>
          <w:rFonts w:ascii="Calibri" w:hAnsi="Calibri"/>
          <w:lang w:val="en-GB"/>
        </w:rPr>
        <w:t xml:space="preserve">HIV nurse consultants: </w:t>
      </w:r>
      <w:r w:rsidRPr="00562CF6">
        <w:rPr>
          <w:rFonts w:ascii="Calibri" w:eastAsia="Times New Roman" w:hAnsi="Calibri" w:cs="Calibri"/>
          <w:color w:val="000000"/>
          <w:lang w:val="en-GB"/>
        </w:rPr>
        <w:t xml:space="preserve">W. Dorama, N. van Holten. </w:t>
      </w:r>
      <w:r w:rsidRPr="00562CF6">
        <w:rPr>
          <w:rFonts w:ascii="Calibri" w:hAnsi="Calibri"/>
          <w:lang w:val="en-GB"/>
        </w:rPr>
        <w:t xml:space="preserve">HIV clinical virologists/chemists: </w:t>
      </w:r>
      <w:r w:rsidRPr="00562CF6">
        <w:rPr>
          <w:rFonts w:ascii="Calibri" w:eastAsia="Times New Roman" w:hAnsi="Calibri" w:cs="Calibri"/>
          <w:color w:val="000000"/>
          <w:lang w:val="en-GB"/>
        </w:rPr>
        <w:t xml:space="preserve">E.C.J. Claas, E. Wessels. </w:t>
      </w:r>
      <w:r w:rsidRPr="00562CF6">
        <w:rPr>
          <w:rFonts w:ascii="Calibri" w:hAnsi="Calibri"/>
        </w:rPr>
        <w:t xml:space="preserve">Maasstad Ziekenhuis, Rotterdam: HIV treating physicians: </w:t>
      </w:r>
      <w:r w:rsidRPr="00562CF6">
        <w:rPr>
          <w:rFonts w:ascii="Calibri" w:eastAsia="Times New Roman" w:hAnsi="Calibri" w:cs="Calibri"/>
          <w:color w:val="000000"/>
        </w:rPr>
        <w:t xml:space="preserve">J.G. den Hollander*, K. Pogany, A. Roukens. </w:t>
      </w:r>
      <w:r w:rsidRPr="00562CF6">
        <w:rPr>
          <w:rFonts w:ascii="Calibri" w:hAnsi="Calibri"/>
        </w:rPr>
        <w:t xml:space="preserve">HIV nurse consultants: </w:t>
      </w:r>
      <w:r w:rsidRPr="00562CF6">
        <w:rPr>
          <w:rFonts w:ascii="Calibri" w:eastAsia="Times New Roman" w:hAnsi="Calibri" w:cs="Calibri"/>
          <w:color w:val="000000"/>
        </w:rPr>
        <w:t xml:space="preserve">M. Kastelijns, J.V. Smit, E. Smit, D. Struik-Kalkman, C. Tearno. </w:t>
      </w:r>
      <w:r w:rsidRPr="00562CF6">
        <w:rPr>
          <w:rFonts w:ascii="Calibri" w:hAnsi="Calibri"/>
        </w:rPr>
        <w:t xml:space="preserve">Data collection: </w:t>
      </w:r>
      <w:r w:rsidRPr="00562CF6">
        <w:rPr>
          <w:rFonts w:ascii="Calibri" w:eastAsia="Times New Roman" w:hAnsi="Calibri" w:cs="Calibri"/>
          <w:color w:val="000000"/>
        </w:rPr>
        <w:t xml:space="preserve">M. Bezemer, T. van Niekerk. </w:t>
      </w:r>
      <w:r w:rsidRPr="00562CF6">
        <w:rPr>
          <w:rFonts w:ascii="Calibri" w:hAnsi="Calibri"/>
          <w:lang w:val="en-GB"/>
        </w:rPr>
        <w:t xml:space="preserve">HIV clinical virologists/chemists: </w:t>
      </w:r>
      <w:r w:rsidRPr="00562CF6">
        <w:rPr>
          <w:rFonts w:ascii="Calibri" w:eastAsia="Times New Roman" w:hAnsi="Calibri" w:cs="Calibri"/>
          <w:color w:val="000000"/>
          <w:lang w:val="en-GB"/>
        </w:rPr>
        <w:t xml:space="preserve">O. Pontesilli. </w:t>
      </w:r>
      <w:r w:rsidRPr="00562CF6">
        <w:rPr>
          <w:rFonts w:ascii="Calibri" w:hAnsi="Calibri"/>
          <w:lang w:val="en-GB"/>
        </w:rPr>
        <w:t xml:space="preserve">Maastricht UMC+, Maastricht: HIV treating physicians: </w:t>
      </w:r>
      <w:r w:rsidRPr="00562CF6">
        <w:rPr>
          <w:rFonts w:ascii="Calibri" w:eastAsia="Times New Roman" w:hAnsi="Calibri" w:cs="Calibri"/>
          <w:color w:val="000000"/>
          <w:lang w:val="en-GB"/>
        </w:rPr>
        <w:t xml:space="preserve">S.H. Lowe*, A.M.L. Oude Lashof, D. Posthouwer. </w:t>
      </w:r>
      <w:r w:rsidRPr="00562CF6">
        <w:rPr>
          <w:rFonts w:ascii="Calibri" w:hAnsi="Calibri"/>
          <w:lang w:val="en-GB"/>
        </w:rPr>
        <w:t xml:space="preserve">HIV nurse consultants: </w:t>
      </w:r>
      <w:r w:rsidRPr="00562CF6">
        <w:rPr>
          <w:rFonts w:ascii="Calibri" w:eastAsia="Times New Roman" w:hAnsi="Calibri" w:cs="Calibri"/>
          <w:color w:val="000000"/>
          <w:lang w:val="en-GB"/>
        </w:rPr>
        <w:t xml:space="preserve">R.P. Ackens, J. Schippers, R. Vergoossen. </w:t>
      </w:r>
      <w:r w:rsidRPr="00562CF6">
        <w:rPr>
          <w:rFonts w:ascii="Calibri" w:hAnsi="Calibri"/>
          <w:lang w:val="en-GB"/>
        </w:rPr>
        <w:t xml:space="preserve">Data collection: </w:t>
      </w:r>
      <w:r w:rsidRPr="00562CF6">
        <w:rPr>
          <w:rFonts w:ascii="Calibri" w:eastAsia="Times New Roman" w:hAnsi="Calibri" w:cs="Calibri"/>
          <w:color w:val="000000"/>
          <w:lang w:val="en-GB"/>
        </w:rPr>
        <w:t xml:space="preserve">B. Weijenberg-Maes. </w:t>
      </w:r>
      <w:r w:rsidRPr="00562CF6">
        <w:rPr>
          <w:rFonts w:ascii="Calibri" w:hAnsi="Calibri"/>
          <w:lang w:val="en-GB"/>
        </w:rPr>
        <w:t>HIV clinical virologists/chemists:</w:t>
      </w:r>
      <w:r w:rsidRPr="00562CF6">
        <w:rPr>
          <w:rFonts w:ascii="Calibri" w:eastAsia="Times New Roman" w:hAnsi="Calibri" w:cs="Calibri"/>
          <w:color w:val="000000"/>
          <w:lang w:val="en-GB"/>
        </w:rPr>
        <w:t xml:space="preserve"> I.H.M. van Loo, T.R.A. Havenith. </w:t>
      </w:r>
      <w:r w:rsidRPr="00562CF6">
        <w:rPr>
          <w:rFonts w:ascii="Calibri" w:hAnsi="Calibri"/>
          <w:lang w:val="en-GB"/>
        </w:rPr>
        <w:t xml:space="preserve">MCH-Bronovo, Den Haag: HIV treating physicians: </w:t>
      </w:r>
      <w:r w:rsidRPr="00562CF6">
        <w:rPr>
          <w:rFonts w:ascii="Calibri" w:eastAsia="Times New Roman" w:hAnsi="Calibri" w:cs="Calibri"/>
          <w:color w:val="000000"/>
          <w:lang w:val="en-GB"/>
        </w:rPr>
        <w:t xml:space="preserve">E.M.S. Leyten*, L.B.S. Gelinck. </w:t>
      </w:r>
      <w:r w:rsidRPr="00562CF6">
        <w:rPr>
          <w:rFonts w:ascii="Calibri" w:hAnsi="Calibri"/>
          <w:lang w:val="en-GB"/>
        </w:rPr>
        <w:t xml:space="preserve">HIV nurse consultants: </w:t>
      </w:r>
      <w:r w:rsidRPr="00562CF6">
        <w:rPr>
          <w:rFonts w:ascii="Calibri" w:eastAsia="Times New Roman" w:hAnsi="Calibri" w:cs="Calibri"/>
          <w:color w:val="000000"/>
          <w:lang w:val="en-GB"/>
        </w:rPr>
        <w:t xml:space="preserve">A.Y. van Hartingsveld, C. Meerkerk, G.S. Wildenbeest. </w:t>
      </w:r>
      <w:r w:rsidRPr="00562CF6">
        <w:rPr>
          <w:rFonts w:ascii="Calibri" w:hAnsi="Calibri"/>
          <w:lang w:val="en-GB"/>
        </w:rPr>
        <w:t xml:space="preserve">HIV clinical virologists/chemists: </w:t>
      </w:r>
      <w:r w:rsidRPr="00562CF6">
        <w:rPr>
          <w:rFonts w:ascii="Calibri" w:eastAsia="Times New Roman" w:hAnsi="Calibri" w:cs="Calibri"/>
          <w:color w:val="000000"/>
          <w:lang w:val="en-GB"/>
        </w:rPr>
        <w:t xml:space="preserve">J.A.E.M. Mutsaers, </w:t>
      </w:r>
      <w:r w:rsidRPr="00562CF6">
        <w:rPr>
          <w:rFonts w:ascii="Calibri" w:hAnsi="Calibri"/>
          <w:lang w:val="en-GB"/>
        </w:rPr>
        <w:t>S.Q. van Veen</w:t>
      </w:r>
      <w:r w:rsidRPr="00562CF6">
        <w:rPr>
          <w:rFonts w:ascii="Calibri" w:eastAsia="Times New Roman" w:hAnsi="Calibri" w:cs="Calibri"/>
          <w:color w:val="000000"/>
          <w:lang w:val="en-GB"/>
        </w:rPr>
        <w:t xml:space="preserve">. MC </w:t>
      </w:r>
      <w:r w:rsidRPr="00562CF6">
        <w:rPr>
          <w:rFonts w:ascii="Calibri" w:hAnsi="Calibri"/>
          <w:lang w:val="en-GB"/>
        </w:rPr>
        <w:t xml:space="preserve">Slotervaart, Amsterdam: HIV treating physicians: </w:t>
      </w:r>
      <w:r w:rsidRPr="00562CF6">
        <w:rPr>
          <w:rFonts w:ascii="Calibri" w:eastAsia="Times New Roman" w:hAnsi="Calibri" w:cs="Calibri"/>
          <w:color w:val="000000"/>
          <w:lang w:val="en-GB"/>
        </w:rPr>
        <w:t xml:space="preserve">J.W. Mulder*, S.M.E. Vrouenraets, F.N. Lauw. </w:t>
      </w:r>
      <w:r w:rsidRPr="00562CF6">
        <w:rPr>
          <w:rFonts w:ascii="Calibri" w:hAnsi="Calibri"/>
          <w:lang w:val="en-GB"/>
        </w:rPr>
        <w:t xml:space="preserve">HIV nurse consultants: </w:t>
      </w:r>
      <w:r w:rsidRPr="00562CF6">
        <w:rPr>
          <w:rFonts w:ascii="Calibri" w:eastAsia="Times New Roman" w:hAnsi="Calibri" w:cs="Calibri"/>
          <w:color w:val="000000"/>
          <w:lang w:val="en-GB"/>
        </w:rPr>
        <w:t>M.C. van Broekhuizen, H. Paap, D.J. Vlasblom.</w:t>
      </w:r>
      <w:r w:rsidRPr="00562CF6">
        <w:rPr>
          <w:rFonts w:ascii="Calibri" w:hAnsi="Calibri"/>
          <w:lang w:val="en-GB"/>
        </w:rPr>
        <w:t xml:space="preserve"> HIV clinical virologists/chemists: </w:t>
      </w:r>
      <w:r w:rsidRPr="00562CF6">
        <w:rPr>
          <w:rFonts w:ascii="Calibri" w:eastAsia="Times New Roman" w:hAnsi="Calibri" w:cs="Calibri"/>
          <w:color w:val="000000"/>
          <w:lang w:val="en-GB"/>
        </w:rPr>
        <w:t xml:space="preserve">P.H.M. Smits. </w:t>
      </w:r>
      <w:r w:rsidRPr="00562CF6">
        <w:rPr>
          <w:rFonts w:ascii="Calibri" w:hAnsi="Calibri"/>
          <w:lang w:val="en-GB"/>
        </w:rPr>
        <w:t xml:space="preserve">MC Zuiderzee, Lelystad: HIV treating physicians: </w:t>
      </w:r>
      <w:r w:rsidRPr="00562CF6">
        <w:rPr>
          <w:rFonts w:ascii="Calibri" w:eastAsia="Times New Roman" w:hAnsi="Calibri" w:cs="Calibri"/>
          <w:color w:val="000000"/>
          <w:lang w:val="en-GB"/>
        </w:rPr>
        <w:t xml:space="preserve">S. Weijer*, R. El Moussaoui. </w:t>
      </w:r>
      <w:r w:rsidRPr="00562CF6">
        <w:rPr>
          <w:rFonts w:ascii="Calibri" w:eastAsia="Times New Roman" w:hAnsi="Calibri" w:cs="Calibri"/>
          <w:color w:val="000000"/>
        </w:rPr>
        <w:t xml:space="preserve">HIV nurse consultant: A.S. Bosma. </w:t>
      </w:r>
      <w:r w:rsidRPr="00562CF6">
        <w:rPr>
          <w:rFonts w:ascii="Calibri" w:hAnsi="Calibri"/>
        </w:rPr>
        <w:t xml:space="preserve">Medisch Centrum Leeuwarden, Leeuwarden: HIV treating physicians: </w:t>
      </w:r>
      <w:r w:rsidRPr="00562CF6">
        <w:rPr>
          <w:rFonts w:ascii="Calibri" w:eastAsia="Times New Roman" w:hAnsi="Calibri" w:cs="Calibri"/>
          <w:color w:val="000000"/>
        </w:rPr>
        <w:t xml:space="preserve">M.G.A.van Vonderen*, D.P.F. van Houte, L.M. Kampschreur. </w:t>
      </w:r>
      <w:r w:rsidRPr="00562CF6">
        <w:rPr>
          <w:rFonts w:ascii="Calibri" w:hAnsi="Calibri"/>
          <w:lang w:val="en-GB"/>
        </w:rPr>
        <w:t xml:space="preserve">HIV nurse consultants: </w:t>
      </w:r>
      <w:r w:rsidRPr="00562CF6">
        <w:rPr>
          <w:rFonts w:ascii="Calibri" w:eastAsia="Times New Roman" w:hAnsi="Calibri" w:cs="Calibri"/>
          <w:color w:val="000000"/>
          <w:lang w:val="en-GB"/>
        </w:rPr>
        <w:t xml:space="preserve">K. Dijkstra, S. Faber. </w:t>
      </w:r>
      <w:r w:rsidRPr="00562CF6">
        <w:rPr>
          <w:rFonts w:ascii="Calibri" w:hAnsi="Calibri"/>
          <w:lang w:val="en-GB"/>
        </w:rPr>
        <w:t xml:space="preserve">HIV clinical virologists/chemists: J Weel. </w:t>
      </w:r>
      <w:r w:rsidRPr="00562CF6">
        <w:rPr>
          <w:rFonts w:ascii="Calibri" w:hAnsi="Calibri"/>
        </w:rPr>
        <w:t xml:space="preserve">Medisch Spectrum Twente, Enschede: HIV treating physicians: </w:t>
      </w:r>
      <w:r w:rsidRPr="00562CF6">
        <w:rPr>
          <w:rFonts w:ascii="Calibri" w:hAnsi="Calibri" w:cs="Calibri"/>
          <w:color w:val="000000"/>
        </w:rPr>
        <w:t xml:space="preserve">G.J. Kootstra*, C.E. Delsing. </w:t>
      </w:r>
      <w:r w:rsidRPr="00562CF6">
        <w:rPr>
          <w:rFonts w:ascii="Calibri" w:hAnsi="Calibri"/>
          <w:lang w:val="es-AR"/>
        </w:rPr>
        <w:t xml:space="preserve">HIV nurse consultants: </w:t>
      </w:r>
      <w:r w:rsidRPr="00562CF6">
        <w:rPr>
          <w:rFonts w:ascii="Calibri" w:hAnsi="Calibri" w:cs="Calibri"/>
          <w:color w:val="000000"/>
          <w:lang w:val="es-AR"/>
        </w:rPr>
        <w:t xml:space="preserve">M. van der Burg-van de Plas, H. Heins. </w:t>
      </w:r>
      <w:r w:rsidRPr="00562CF6">
        <w:rPr>
          <w:rFonts w:ascii="Calibri" w:hAnsi="Calibri"/>
        </w:rPr>
        <w:t xml:space="preserve">Data collection: E. Lucas. Noordwest Ziekenhuisgroep, Alkmaar: HIV treating physicians: </w:t>
      </w:r>
      <w:r w:rsidRPr="00562CF6">
        <w:rPr>
          <w:rFonts w:ascii="Calibri" w:eastAsia="Times New Roman" w:hAnsi="Calibri" w:cs="Calibri"/>
          <w:color w:val="000000"/>
        </w:rPr>
        <w:t xml:space="preserve">W. Kortmann*, G. van Twillert*, J.W.T. Cohen Stuart, B.M.W. Diederen, </w:t>
      </w:r>
      <w:r w:rsidRPr="00562CF6">
        <w:rPr>
          <w:rFonts w:ascii="Calibri" w:hAnsi="Calibri" w:cs="Arial"/>
        </w:rPr>
        <w:t>R. Renckens</w:t>
      </w:r>
      <w:r w:rsidRPr="00562CF6">
        <w:rPr>
          <w:rFonts w:ascii="Calibri" w:eastAsia="Times New Roman" w:hAnsi="Calibri" w:cs="Calibri"/>
          <w:color w:val="000000"/>
        </w:rPr>
        <w:t xml:space="preserve">. </w:t>
      </w:r>
      <w:r w:rsidRPr="00562CF6">
        <w:rPr>
          <w:rFonts w:ascii="Calibri" w:hAnsi="Calibri"/>
        </w:rPr>
        <w:t xml:space="preserve">HIV nurse consultant and data collection: </w:t>
      </w:r>
      <w:r w:rsidRPr="00562CF6">
        <w:rPr>
          <w:rFonts w:ascii="Calibri" w:hAnsi="Calibri" w:cs="Calibri"/>
          <w:color w:val="000000"/>
        </w:rPr>
        <w:t>D. Ruiter-Pronk, F.A. van Truijen-Oud.</w:t>
      </w:r>
      <w:r w:rsidRPr="00562CF6">
        <w:rPr>
          <w:rFonts w:ascii="Calibri" w:hAnsi="Calibri"/>
        </w:rPr>
        <w:t xml:space="preserve"> HIV clinical virologists/chemists:</w:t>
      </w:r>
      <w:r w:rsidRPr="00562CF6">
        <w:rPr>
          <w:rFonts w:ascii="Calibri" w:eastAsia="Times New Roman" w:hAnsi="Calibri" w:cs="Calibri"/>
          <w:color w:val="000000"/>
        </w:rPr>
        <w:t xml:space="preserve"> W. A. van der Reijden, R. Jansen. </w:t>
      </w:r>
      <w:r w:rsidRPr="00562CF6">
        <w:rPr>
          <w:rFonts w:ascii="Calibri" w:hAnsi="Calibri"/>
        </w:rPr>
        <w:t xml:space="preserve">OLVG, Amsterdam: HIV treating physicians: </w:t>
      </w:r>
      <w:r w:rsidRPr="00562CF6">
        <w:rPr>
          <w:rFonts w:ascii="Calibri" w:eastAsia="Times New Roman" w:hAnsi="Calibri" w:cs="Calibri"/>
          <w:color w:val="000000"/>
        </w:rPr>
        <w:t xml:space="preserve">K. Brinkman*, G.E.L. van den Berk, W.L. Blok, P.H.J. Frissen, K.D. Lettinga W.E.M. Schouten, J. Veenstra. </w:t>
      </w:r>
      <w:r w:rsidRPr="00562CF6">
        <w:rPr>
          <w:rFonts w:ascii="Calibri" w:hAnsi="Calibri"/>
        </w:rPr>
        <w:t xml:space="preserve">HIV nurse consultants: </w:t>
      </w:r>
      <w:r w:rsidRPr="00562CF6">
        <w:rPr>
          <w:rFonts w:ascii="Calibri" w:eastAsia="Times New Roman" w:hAnsi="Calibri" w:cs="Calibri"/>
          <w:color w:val="000000"/>
        </w:rPr>
        <w:t xml:space="preserve">C.J. Brouwer, G.F. Geerders, K. Hoeksema, M.J. Kleene, I.B. van der Meché, M. Spelbrink, H. Sulman, A.J.M. Toonen, S. Wijnands. </w:t>
      </w:r>
      <w:r w:rsidRPr="00562CF6">
        <w:rPr>
          <w:rFonts w:ascii="Calibri" w:hAnsi="Calibri"/>
          <w:lang w:val="en-GB"/>
        </w:rPr>
        <w:t>HIV clinical virologists: M. Damen, D. Kwa</w:t>
      </w:r>
      <w:r w:rsidRPr="00562CF6">
        <w:rPr>
          <w:rFonts w:ascii="Calibri" w:eastAsia="Times New Roman" w:hAnsi="Calibri" w:cs="Calibri"/>
          <w:color w:val="000000"/>
          <w:lang w:val="en-GB"/>
        </w:rPr>
        <w:t xml:space="preserve">. </w:t>
      </w:r>
      <w:r w:rsidRPr="00562CF6">
        <w:rPr>
          <w:rFonts w:ascii="Calibri" w:hAnsi="Calibri"/>
          <w:lang w:val="en-GB"/>
        </w:rPr>
        <w:t>Data collection:</w:t>
      </w:r>
      <w:r w:rsidRPr="00562CF6">
        <w:rPr>
          <w:rFonts w:ascii="Calibri" w:eastAsia="Times New Roman" w:hAnsi="Calibri" w:cs="Calibri"/>
          <w:color w:val="000000"/>
          <w:lang w:val="en-GB"/>
        </w:rPr>
        <w:t xml:space="preserve"> E. Witte. </w:t>
      </w:r>
      <w:r w:rsidRPr="00562CF6">
        <w:rPr>
          <w:rFonts w:ascii="Calibri" w:hAnsi="Calibri"/>
        </w:rPr>
        <w:t>Radboudumc, Nijmegen: HIV treating physicians:</w:t>
      </w:r>
      <w:r w:rsidRPr="00562CF6">
        <w:rPr>
          <w:rFonts w:ascii="Calibri" w:hAnsi="Calibri"/>
          <w:iCs/>
        </w:rPr>
        <w:t xml:space="preserve"> </w:t>
      </w:r>
      <w:r w:rsidRPr="00562CF6">
        <w:rPr>
          <w:rFonts w:ascii="Calibri" w:hAnsi="Calibri"/>
        </w:rPr>
        <w:t>R. van Crevel*,</w:t>
      </w:r>
      <w:r w:rsidRPr="00562CF6">
        <w:rPr>
          <w:rStyle w:val="apple-converted-space"/>
          <w:rFonts w:ascii="Calibri" w:hAnsi="Calibri"/>
          <w:iCs/>
        </w:rPr>
        <w:t> </w:t>
      </w:r>
      <w:r w:rsidRPr="00562CF6">
        <w:rPr>
          <w:rFonts w:ascii="Calibri" w:hAnsi="Calibri"/>
        </w:rPr>
        <w:t xml:space="preserve">M. Keuter, A.J.A.M. van der Ven, H.J.M. ter Hofstede, A.S.M. Dofferhoff. </w:t>
      </w:r>
      <w:r w:rsidRPr="00562CF6">
        <w:rPr>
          <w:rFonts w:ascii="Calibri" w:hAnsi="Calibri"/>
          <w:iCs/>
        </w:rPr>
        <w:t>HIV nurse consultants:</w:t>
      </w:r>
      <w:r w:rsidRPr="00562CF6">
        <w:rPr>
          <w:rStyle w:val="apple-converted-space"/>
          <w:rFonts w:ascii="Calibri" w:hAnsi="Calibri"/>
          <w:iCs/>
        </w:rPr>
        <w:t> </w:t>
      </w:r>
      <w:r w:rsidRPr="00562CF6">
        <w:rPr>
          <w:rFonts w:ascii="Calibri" w:hAnsi="Calibri"/>
        </w:rPr>
        <w:t xml:space="preserve">M. Albers, K.J.T. Grintjes-Huisman, M. Marneef, A. Hairwassers. </w:t>
      </w:r>
      <w:r w:rsidRPr="00562CF6">
        <w:rPr>
          <w:rFonts w:ascii="Calibri" w:hAnsi="Calibri"/>
          <w:iCs/>
        </w:rPr>
        <w:t>HIV clinical virologists/chemists:</w:t>
      </w:r>
      <w:r w:rsidRPr="00562CF6">
        <w:rPr>
          <w:rStyle w:val="apple-converted-space"/>
          <w:rFonts w:ascii="Calibri" w:hAnsi="Calibri"/>
          <w:iCs/>
        </w:rPr>
        <w:t> </w:t>
      </w:r>
      <w:r w:rsidRPr="00562CF6">
        <w:rPr>
          <w:rFonts w:ascii="Calibri" w:hAnsi="Calibri"/>
        </w:rPr>
        <w:t xml:space="preserve">J. Rahamat-Langendoen. </w:t>
      </w:r>
      <w:r w:rsidRPr="00562CF6">
        <w:rPr>
          <w:rFonts w:ascii="Calibri" w:hAnsi="Calibri"/>
          <w:iCs/>
          <w:lang w:val="en-GB"/>
        </w:rPr>
        <w:t>HIV clinical pharmacology consultant:</w:t>
      </w:r>
      <w:r w:rsidRPr="00562CF6">
        <w:rPr>
          <w:rStyle w:val="apple-converted-space"/>
          <w:rFonts w:ascii="Calibri" w:hAnsi="Calibri"/>
          <w:iCs/>
          <w:lang w:val="en-GB"/>
        </w:rPr>
        <w:t> </w:t>
      </w:r>
      <w:r w:rsidRPr="00562CF6">
        <w:rPr>
          <w:rFonts w:ascii="Calibri" w:hAnsi="Calibri"/>
          <w:lang w:val="en-GB"/>
        </w:rPr>
        <w:t xml:space="preserve">D. Burger. Rijnstate, Arnhem: HIV treating physicians: </w:t>
      </w:r>
      <w:r w:rsidRPr="00562CF6">
        <w:rPr>
          <w:rFonts w:ascii="Calibri" w:eastAsia="Times New Roman" w:hAnsi="Calibri" w:cs="Calibri"/>
          <w:color w:val="000000"/>
        </w:rPr>
        <w:t xml:space="preserve">E.H. Gisolf*, R.J. Hassing, M. Claassen. </w:t>
      </w:r>
      <w:r w:rsidRPr="00562CF6">
        <w:rPr>
          <w:rFonts w:ascii="Calibri" w:hAnsi="Calibri"/>
        </w:rPr>
        <w:t xml:space="preserve">HIV nurse consultants: </w:t>
      </w:r>
      <w:r w:rsidRPr="00562CF6">
        <w:rPr>
          <w:rFonts w:ascii="Calibri" w:eastAsia="Times New Roman" w:hAnsi="Calibri" w:cs="Calibri"/>
          <w:color w:val="000000"/>
        </w:rPr>
        <w:t xml:space="preserve">G. ter Beest, P.H.M. van Bentum, N. Langebeek. </w:t>
      </w:r>
      <w:r w:rsidRPr="00562CF6">
        <w:rPr>
          <w:rFonts w:ascii="Calibri" w:hAnsi="Calibri"/>
          <w:lang w:val="en-GB"/>
        </w:rPr>
        <w:t xml:space="preserve">HIV clinical virologists/chemists: </w:t>
      </w:r>
      <w:r w:rsidRPr="00562CF6">
        <w:rPr>
          <w:rFonts w:ascii="Calibri" w:eastAsia="Times New Roman" w:hAnsi="Calibri" w:cs="Calibri"/>
          <w:color w:val="000000"/>
          <w:lang w:val="en-GB"/>
        </w:rPr>
        <w:t xml:space="preserve">R. Tiemessen, C.M.A. Swanink. </w:t>
      </w:r>
      <w:r w:rsidRPr="00562CF6">
        <w:rPr>
          <w:rFonts w:ascii="Calibri" w:hAnsi="Calibri"/>
        </w:rPr>
        <w:t xml:space="preserve">Spaarne Gasthuis, Haarlem: HIV treating physicians: </w:t>
      </w:r>
      <w:r w:rsidRPr="00562CF6">
        <w:rPr>
          <w:rFonts w:ascii="Calibri" w:eastAsia="Times New Roman" w:hAnsi="Calibri" w:cs="Calibri"/>
          <w:color w:val="000000"/>
        </w:rPr>
        <w:t xml:space="preserve">S.F.L. van Lelyveld*, R. Soetekouw. </w:t>
      </w:r>
      <w:r w:rsidRPr="00562CF6">
        <w:rPr>
          <w:rFonts w:ascii="Calibri" w:hAnsi="Calibri"/>
        </w:rPr>
        <w:t xml:space="preserve">HIV nurse consultants: </w:t>
      </w:r>
      <w:r w:rsidRPr="00562CF6">
        <w:rPr>
          <w:rFonts w:ascii="Calibri" w:eastAsia="Times New Roman" w:hAnsi="Calibri" w:cs="Calibri"/>
          <w:color w:val="000000"/>
        </w:rPr>
        <w:t xml:space="preserve">L.M.M. van der Prijt, J. van der Swaluw. </w:t>
      </w:r>
      <w:r w:rsidRPr="00562CF6">
        <w:rPr>
          <w:rFonts w:ascii="Calibri" w:hAnsi="Calibri"/>
        </w:rPr>
        <w:t xml:space="preserve">Data collection: N. Bermon. HIV clinical virologists/chemists: </w:t>
      </w:r>
      <w:r w:rsidRPr="00562CF6">
        <w:rPr>
          <w:rFonts w:ascii="Calibri" w:eastAsia="Times New Roman" w:hAnsi="Calibri" w:cs="Calibri"/>
          <w:color w:val="000000"/>
        </w:rPr>
        <w:t xml:space="preserve">W.A. van der Reijden, R. Jansen, B.L. Herpers, D.Veenendaal. </w:t>
      </w:r>
      <w:r w:rsidRPr="00562CF6">
        <w:rPr>
          <w:rFonts w:ascii="Calibri" w:hAnsi="Calibri"/>
        </w:rPr>
        <w:t xml:space="preserve">Medisch Centrum Jan van Goyen, Amsterdam: HIV treating physicians: </w:t>
      </w:r>
      <w:r w:rsidRPr="00562CF6">
        <w:rPr>
          <w:rFonts w:ascii="Calibri" w:eastAsia="Times New Roman" w:hAnsi="Calibri" w:cs="Calibri"/>
          <w:color w:val="000000"/>
        </w:rPr>
        <w:t xml:space="preserve">D.W.M. Verhagen. </w:t>
      </w:r>
      <w:r w:rsidRPr="00562CF6">
        <w:rPr>
          <w:rFonts w:ascii="Calibri" w:hAnsi="Calibri"/>
        </w:rPr>
        <w:t xml:space="preserve">HIV nurse consultants: M. van Wijk. Universitair Medisch Centrum Groningen, Groningen: HIV treating physicians: </w:t>
      </w:r>
      <w:r w:rsidRPr="00562CF6">
        <w:rPr>
          <w:rFonts w:ascii="Calibri" w:eastAsia="Times New Roman" w:hAnsi="Calibri" w:cs="Calibri"/>
          <w:color w:val="000000"/>
        </w:rPr>
        <w:t xml:space="preserve">W.F.W. Bierman*, </w:t>
      </w:r>
      <w:r w:rsidRPr="00562CF6">
        <w:rPr>
          <w:rFonts w:ascii="Calibri" w:hAnsi="Calibri"/>
        </w:rPr>
        <w:t xml:space="preserve">M. Bakker, J. Kleinnijenhuis, E. Kloeze, </w:t>
      </w:r>
      <w:r w:rsidRPr="00562CF6">
        <w:rPr>
          <w:rFonts w:ascii="Calibri" w:eastAsia="Times New Roman" w:hAnsi="Calibri" w:cs="Calibri"/>
          <w:color w:val="000000"/>
        </w:rPr>
        <w:t xml:space="preserve">H. Scholvinck, Y. Stienstra, </w:t>
      </w:r>
      <w:r w:rsidRPr="00562CF6">
        <w:rPr>
          <w:rFonts w:ascii="Calibri" w:hAnsi="Calibri"/>
        </w:rPr>
        <w:t>C.L. Vermont,</w:t>
      </w:r>
      <w:r w:rsidRPr="00562CF6">
        <w:rPr>
          <w:rFonts w:ascii="Calibri" w:hAnsi="Calibri"/>
          <w:color w:val="1F497D"/>
        </w:rPr>
        <w:t xml:space="preserve"> </w:t>
      </w:r>
      <w:r w:rsidRPr="00562CF6">
        <w:rPr>
          <w:rFonts w:ascii="Calibri" w:eastAsia="Times New Roman" w:hAnsi="Calibri" w:cs="Calibri"/>
          <w:color w:val="000000"/>
        </w:rPr>
        <w:t xml:space="preserve">K.R. Wilting. </w:t>
      </w:r>
      <w:r w:rsidRPr="00562CF6">
        <w:rPr>
          <w:rFonts w:ascii="Calibri" w:hAnsi="Calibri"/>
        </w:rPr>
        <w:t xml:space="preserve">HIV nurse consultants: A. Boonstra, </w:t>
      </w:r>
      <w:r w:rsidRPr="00562CF6">
        <w:rPr>
          <w:rFonts w:ascii="Calibri" w:eastAsia="Times New Roman" w:hAnsi="Calibri" w:cs="Calibri"/>
          <w:color w:val="000000"/>
        </w:rPr>
        <w:t xml:space="preserve">H. de Groot-de Jonge, P.A. van der Meulen, D.A. de Weerd. </w:t>
      </w:r>
      <w:r w:rsidRPr="00562CF6">
        <w:rPr>
          <w:rFonts w:ascii="Calibri" w:hAnsi="Calibri"/>
        </w:rPr>
        <w:t xml:space="preserve">HIV clinical virologists/chemists: </w:t>
      </w:r>
      <w:r w:rsidRPr="00562CF6">
        <w:rPr>
          <w:rFonts w:ascii="Calibri" w:eastAsia="Times New Roman" w:hAnsi="Calibri" w:cs="Calibri"/>
          <w:color w:val="000000"/>
        </w:rPr>
        <w:t xml:space="preserve">H.G.M. Niesters, C.C. van Leer-Buter, M. Knoester. </w:t>
      </w:r>
      <w:r w:rsidRPr="00562CF6">
        <w:rPr>
          <w:rFonts w:ascii="Calibri" w:hAnsi="Calibri"/>
        </w:rPr>
        <w:t xml:space="preserve">Universitair Medisch Centrum Utrecht, Utrecht: HIV treating physicians: </w:t>
      </w:r>
      <w:r w:rsidRPr="00562CF6">
        <w:rPr>
          <w:rFonts w:ascii="Calibri" w:eastAsia="Times New Roman" w:hAnsi="Calibri" w:cs="Calibri"/>
          <w:color w:val="000000"/>
        </w:rPr>
        <w:t xml:space="preserve">A.I.M. Hoepelman*, J.E. Arends, R.E. Barth, </w:t>
      </w:r>
      <w:r w:rsidRPr="00562CF6">
        <w:rPr>
          <w:rFonts w:ascii="Calibri" w:hAnsi="Calibri"/>
        </w:rPr>
        <w:t xml:space="preserve">A.H.W. Bruns, </w:t>
      </w:r>
      <w:r w:rsidRPr="00562CF6">
        <w:rPr>
          <w:rFonts w:ascii="Calibri" w:eastAsia="Times New Roman" w:hAnsi="Calibri" w:cs="Calibri"/>
          <w:color w:val="000000"/>
        </w:rPr>
        <w:t>P.M. Ellerbroek, T. Mudrikova, J.J. Oosterheert, E.M. Schadd,</w:t>
      </w:r>
      <w:r w:rsidRPr="00562CF6">
        <w:rPr>
          <w:rFonts w:ascii="Calibri" w:hAnsi="Calibri"/>
        </w:rPr>
        <w:t xml:space="preserve"> </w:t>
      </w:r>
      <w:r w:rsidRPr="00562CF6">
        <w:rPr>
          <w:rFonts w:ascii="Calibri" w:eastAsia="Times New Roman" w:hAnsi="Calibri" w:cs="Calibri"/>
          <w:color w:val="000000"/>
        </w:rPr>
        <w:t xml:space="preserve">M.W.M. Wassenberg, </w:t>
      </w:r>
      <w:r w:rsidRPr="00562CF6">
        <w:rPr>
          <w:rFonts w:ascii="Calibri" w:hAnsi="Calibri"/>
        </w:rPr>
        <w:t>M.A.D. van Zoelen</w:t>
      </w:r>
      <w:r w:rsidRPr="00562CF6">
        <w:rPr>
          <w:rFonts w:ascii="Calibri" w:eastAsia="Times New Roman" w:hAnsi="Calibri" w:cs="Calibri"/>
          <w:color w:val="000000"/>
        </w:rPr>
        <w:t xml:space="preserve">. </w:t>
      </w:r>
      <w:r w:rsidRPr="00562CF6">
        <w:rPr>
          <w:rFonts w:ascii="Calibri" w:hAnsi="Calibri"/>
        </w:rPr>
        <w:t xml:space="preserve">HIV nurse consultants: K. Aarsman, </w:t>
      </w:r>
      <w:r w:rsidRPr="00562CF6">
        <w:rPr>
          <w:rFonts w:ascii="Calibri" w:eastAsia="Times New Roman" w:hAnsi="Calibri" w:cs="Calibri"/>
          <w:color w:val="000000"/>
        </w:rPr>
        <w:t xml:space="preserve">D.H.M. van Elst-Laurijssen, E.E.B. van Oers-Hazelzet, I. de Kroon. </w:t>
      </w:r>
      <w:r w:rsidRPr="00562CF6">
        <w:rPr>
          <w:rFonts w:ascii="Calibri" w:hAnsi="Calibri"/>
        </w:rPr>
        <w:t>Data collection: M. van Berkel</w:t>
      </w:r>
      <w:r w:rsidRPr="00562CF6">
        <w:rPr>
          <w:rFonts w:ascii="Calibri" w:eastAsia="Times New Roman" w:hAnsi="Calibri" w:cs="Calibri"/>
          <w:color w:val="000000"/>
        </w:rPr>
        <w:t xml:space="preserve">. </w:t>
      </w:r>
      <w:r w:rsidRPr="00562CF6">
        <w:rPr>
          <w:rFonts w:ascii="Calibri" w:hAnsi="Calibri"/>
        </w:rPr>
        <w:t xml:space="preserve">HIV clinical virologists/chemists: </w:t>
      </w:r>
      <w:r w:rsidRPr="00562CF6">
        <w:rPr>
          <w:rFonts w:ascii="Calibri" w:eastAsia="Times New Roman" w:hAnsi="Calibri" w:cs="Calibri"/>
          <w:color w:val="000000"/>
        </w:rPr>
        <w:t xml:space="preserve">R. Schuurman, F. Verduyn-Lunel, A.M.J. Wensing. </w:t>
      </w:r>
      <w:r w:rsidRPr="00562CF6">
        <w:rPr>
          <w:rFonts w:ascii="Calibri" w:hAnsi="Calibri"/>
        </w:rPr>
        <w:t xml:space="preserve">VUmc, Amsterdam: HIV treating physicians: </w:t>
      </w:r>
      <w:r w:rsidRPr="00562CF6">
        <w:rPr>
          <w:rFonts w:ascii="Calibri" w:eastAsia="Times New Roman" w:hAnsi="Calibri" w:cs="Calibri"/>
          <w:color w:val="000000"/>
        </w:rPr>
        <w:t xml:space="preserve">E.J.G. Peters*, M.A. van Agtmael, M. Bomers, J. de Vocht. </w:t>
      </w:r>
      <w:r w:rsidRPr="00562CF6">
        <w:rPr>
          <w:rFonts w:ascii="Calibri" w:hAnsi="Calibri"/>
        </w:rPr>
        <w:t xml:space="preserve">HIV nurse consultants: </w:t>
      </w:r>
      <w:r w:rsidRPr="00562CF6">
        <w:rPr>
          <w:rFonts w:ascii="Calibri" w:eastAsia="Times New Roman" w:hAnsi="Calibri" w:cs="Calibri"/>
          <w:color w:val="000000"/>
        </w:rPr>
        <w:t xml:space="preserve">M. Heitmuller, L.M. Laan. </w:t>
      </w:r>
      <w:r w:rsidRPr="00562CF6">
        <w:rPr>
          <w:rFonts w:ascii="Calibri" w:hAnsi="Calibri"/>
        </w:rPr>
        <w:t xml:space="preserve">HIV clinical virologists/chemists: </w:t>
      </w:r>
      <w:r w:rsidRPr="00562CF6">
        <w:rPr>
          <w:rFonts w:ascii="Calibri" w:eastAsia="Times New Roman" w:hAnsi="Calibri" w:cs="Calibri"/>
          <w:color w:val="000000"/>
        </w:rPr>
        <w:t>C.W. Ang,</w:t>
      </w:r>
      <w:r w:rsidRPr="00562CF6">
        <w:rPr>
          <w:rFonts w:ascii="Calibri" w:hAnsi="Calibri"/>
        </w:rPr>
        <w:t xml:space="preserve"> R. van Houdt, </w:t>
      </w:r>
      <w:r w:rsidRPr="00562CF6">
        <w:rPr>
          <w:rFonts w:ascii="Calibri" w:eastAsia="Times New Roman" w:hAnsi="Calibri" w:cs="Calibri"/>
          <w:color w:val="000000"/>
        </w:rPr>
        <w:t xml:space="preserve">A.M. Pettersson, C.M.J.E. Vandenbroucke-Grauls. </w:t>
      </w:r>
      <w:r w:rsidRPr="00562CF6">
        <w:rPr>
          <w:rFonts w:ascii="Calibri" w:hAnsi="Calibri"/>
        </w:rPr>
        <w:t xml:space="preserve">Wilhelmina Kinderziekenhuis, UMCU, Utrecht: HIV treating physicians: </w:t>
      </w:r>
      <w:r w:rsidRPr="00562CF6">
        <w:rPr>
          <w:rFonts w:ascii="Calibri" w:eastAsia="Times New Roman" w:hAnsi="Calibri" w:cs="Calibri"/>
          <w:color w:val="000000"/>
        </w:rPr>
        <w:t xml:space="preserve">S.P.M. Geelen, T.F.W. Wolfs, L.J. Bont. </w:t>
      </w:r>
      <w:r w:rsidRPr="00562CF6">
        <w:rPr>
          <w:rFonts w:ascii="Calibri" w:hAnsi="Calibri"/>
          <w:lang w:val="en-GB"/>
        </w:rPr>
        <w:t xml:space="preserve">HIV nurse consultants: N. Nauta. </w:t>
      </w:r>
    </w:p>
    <w:p w14:paraId="3CDCF75C" w14:textId="77777777" w:rsidR="00562CF6" w:rsidRPr="00562CF6" w:rsidRDefault="00562CF6" w:rsidP="00562CF6">
      <w:pPr>
        <w:spacing w:after="0" w:line="240" w:lineRule="auto"/>
        <w:contextualSpacing/>
        <w:rPr>
          <w:rFonts w:ascii="Calibri" w:hAnsi="Calibri"/>
          <w:color w:val="000000"/>
        </w:rPr>
      </w:pPr>
      <w:r w:rsidRPr="00562CF6">
        <w:rPr>
          <w:rFonts w:ascii="Calibri" w:hAnsi="Calibri"/>
          <w:lang w:val="en-GB"/>
        </w:rPr>
        <w:t xml:space="preserve">COORDINATING CENTRE.Director: P. Reiss. Data analysis: </w:t>
      </w:r>
      <w:r w:rsidRPr="00562CF6">
        <w:rPr>
          <w:rFonts w:ascii="Calibri" w:hAnsi="Calibri"/>
          <w:color w:val="000000"/>
          <w:lang w:val="en-GB"/>
        </w:rPr>
        <w:t xml:space="preserve">D.O. Bezemer, A.I. van Sighem, C. Smit, </w:t>
      </w:r>
      <w:r w:rsidRPr="00562CF6">
        <w:rPr>
          <w:rFonts w:ascii="Calibri" w:eastAsia="Times New Roman" w:hAnsi="Calibri" w:cs="Calibri"/>
          <w:color w:val="000000"/>
          <w:lang w:val="en-GB"/>
        </w:rPr>
        <w:t>F.W.M.N. Wit, T.S. Boender</w:t>
      </w:r>
      <w:r w:rsidRPr="00562CF6">
        <w:rPr>
          <w:rFonts w:ascii="Calibri" w:hAnsi="Calibri"/>
          <w:color w:val="000000"/>
          <w:lang w:val="en-GB"/>
        </w:rPr>
        <w:t xml:space="preserve">. </w:t>
      </w:r>
      <w:r w:rsidRPr="00562CF6">
        <w:rPr>
          <w:rFonts w:ascii="Calibri" w:hAnsi="Calibri"/>
          <w:lang w:val="en-GB"/>
        </w:rPr>
        <w:t xml:space="preserve">Data management and quality control: S. Zaheri, M. Hillebregt, A. de Jong. </w:t>
      </w:r>
      <w:r w:rsidRPr="00562CF6">
        <w:rPr>
          <w:rFonts w:ascii="Calibri" w:hAnsi="Calibri"/>
        </w:rPr>
        <w:t xml:space="preserve">Data monitoring: D. Bergsma, S. Grivell, A. Jansen, M. Raethke, R. Meijering. Data collection: L. de Groot, M. van den Akker, Y. Bakker, E. Claessen, A. El Berkaoui, J. Koops, E. Kruijne, C. Lodewijk, L. Munjishvili, B. Peeck, C. Ree, R. Regtop, Y. Ruijs, T. Rutkens, M. Schoorl, A. Timmerman, E. Tuijn, L. Veenenberg, S. van der Vliet, A. Wisse, T. Woudstra. </w:t>
      </w:r>
      <w:r w:rsidRPr="00562CF6">
        <w:rPr>
          <w:rFonts w:ascii="Calibri" w:hAnsi="Calibri"/>
          <w:color w:val="000000"/>
        </w:rPr>
        <w:t>Patient registration: B. Tuk.</w:t>
      </w:r>
    </w:p>
    <w:p w14:paraId="040A50C7" w14:textId="77777777" w:rsidR="00562CF6" w:rsidRPr="00562CF6" w:rsidRDefault="00562CF6" w:rsidP="00562CF6">
      <w:pPr>
        <w:spacing w:after="0" w:line="240" w:lineRule="auto"/>
        <w:contextualSpacing/>
        <w:rPr>
          <w:rFonts w:ascii="Calibri" w:hAnsi="Calibri"/>
        </w:rPr>
      </w:pPr>
    </w:p>
    <w:p w14:paraId="1AC9994B" w14:textId="77777777" w:rsidR="00562CF6" w:rsidRPr="00562CF6" w:rsidRDefault="00562CF6" w:rsidP="00562CF6">
      <w:pPr>
        <w:pStyle w:val="NormalWeb"/>
        <w:spacing w:before="0" w:beforeAutospacing="0" w:after="0" w:afterAutospacing="0"/>
        <w:rPr>
          <w:rFonts w:ascii="Calibri" w:hAnsi="Calibri"/>
          <w:b/>
          <w:bCs/>
          <w:sz w:val="22"/>
          <w:szCs w:val="22"/>
          <w:lang w:val="fr-FR"/>
        </w:rPr>
      </w:pPr>
      <w:r w:rsidRPr="00562CF6">
        <w:rPr>
          <w:rFonts w:ascii="Calibri" w:hAnsi="Calibri"/>
          <w:b/>
          <w:bCs/>
          <w:sz w:val="22"/>
          <w:szCs w:val="22"/>
          <w:lang w:val="fr-FR"/>
        </w:rPr>
        <w:t>CoRIS/CoRIS-MD</w:t>
      </w:r>
    </w:p>
    <w:p w14:paraId="430A9229" w14:textId="172E9096" w:rsidR="00562CF6" w:rsidRPr="00562CF6" w:rsidRDefault="00E311DB" w:rsidP="00562CF6">
      <w:pPr>
        <w:adjustRightInd w:val="0"/>
        <w:spacing w:after="0" w:line="240" w:lineRule="auto"/>
        <w:rPr>
          <w:rFonts w:ascii="Calibri" w:eastAsia="Times New Roman" w:hAnsi="Calibri"/>
          <w:bCs/>
          <w:lang w:val="fr-FR" w:eastAsia="de-CH"/>
        </w:rPr>
      </w:pPr>
      <w:r w:rsidRPr="00E311DB">
        <w:rPr>
          <w:rFonts w:ascii="Calibri" w:eastAsia="Times New Roman" w:hAnsi="Calibri"/>
          <w:bCs/>
          <w:lang w:val="fr-FR" w:eastAsia="de-CH"/>
        </w:rPr>
        <w:t xml:space="preserve">CoRIS is funded by the SPANISH AIDS Research Network (RIS) RD16/0025/0001 project as part of the Plan Nacional R + D + I and cofinanced by ISCIII- Subdirección General de Evaluación y el Fondo Europeo de Desarrollo Regional (FEDER). </w:t>
      </w:r>
      <w:r w:rsidR="00562CF6" w:rsidRPr="00562CF6">
        <w:rPr>
          <w:rFonts w:ascii="Calibri" w:eastAsia="Times New Roman" w:hAnsi="Calibri"/>
          <w:bCs/>
          <w:lang w:val="fr-FR" w:eastAsia="de-CH"/>
        </w:rPr>
        <w:t>Steering committee: S Moreno, J del Amo, D Dalmau, ML Navarro, MI González, JL Blanco, F Garcia, R Rubio, JA Iribarren, F Gutiérrez, F  Vidal, J Berenguer, J González. Field work, data management, and statistical analyses: P Sobrino, I Jarrín, B Alejos, V Hernando, D Alvarez, C Moreno. Participating centres: Hospital General Universitario de Alicante, Alicante (J Portilla, E Merino, S Reus, V Boix, L Giner, C Gadea, I Portilla, M Pampliega, M Díez, JC Rodríguez, J Sánchez-Payá) ; Hospital Universitari de Bellvitge, Badalona (D Podzamczer, E Ferrer, A Imaz, E Van Den Eyncle, S Di Yacovo, M Sumoy); Hospital Universitario de Canarias, Santa Cruz de Tenerife (JL Gómez, J Hernández,  MR Alemán, MM Alonso, MI Hernández, F Díaz-Flores, D García, R Pelazas) ;  Hospital Universitario Central de Asturias, Oviedo (V Asensi, E Valle, JA Cartón); Hospital Clínico San Carlos, Madrid (V Estrada, MJ Téllez, J Vergas, E Pérez-Cecila); Hospital Doce de Octubre, Madrid (R Rubio, F Pulido, O Bisbal, M Matarranz, M Lagarde, R Rubio-Martín, A Hernando, L Bermejo, L Dominguez); Hospital Universitario Donostia, San Sebastián (JA Iribarren, J Arrizabalaga, MJ Aramburu, X Camino, F Rodríguez-Arrondo, MÁ von Wichmann, L Pascual, MÁ Goenaga, MJ Bustinduy, H Azkune, M Ibarguren, M Aguado, M Umerez); Hospital General Universitario de Elche, Elche (F Gutiérrez, M Masiá, C López, S Padilla, A Navarro, F Montolio, C Robledano, JG Colomé, A Adsuar, R Pascual, F Carlos, M Martinez, J Llenas, M Fernández, E García); Hospital Germans Trías i Pujol, Badalona (R Muga, J Tor, A Sanvisens); Hospital General Universitario Gregorio Marañón, Madrid (J Berenguer, JC López Bernaldo de Quirós, P Miralles, I Gutiérrez, M Ramírez, B Padilla, P Gijón, A Carrero, T Aldamiz-Echevarría, F Tejerina, FJ Parras, P Balsalobre, C Diez; Hospital Universitari de Tarragona Joan XXIII, IISPV, Universitat Rovira i Virgili, Tarragona (F Vidal, J Peraire, C Viladés, S Veloso, M Vargas, M López-Dupla, M Olona, A Aguilar, JJ Sirvent, V Alba, O Calavia; Hospital Universitario La Fe, Valencia (M Montero, J Lacruz, M Blanes, E Calabuig, S Cuellar, J López, M Salavert) ; Hospital Universitario La Paz/IdiPaz, Madrid (J González, I Bernardino, JR Arribas, ML Montes, JM Peña,  B Arribas, JM Castro, FJ Zamora, I Pérez, M Estébanez, S García, M Díaz, NS Alcáriz, J Mingorance, D Montero, A González, MI de José); Hospital de la Princesa, Madrid (I de los Santos, J Sanz, A Salas, C Sarriá, A Gómez-Berrocal, L Garcia-Fraile; Hospital San Pedro-CIBIR, Logroño (JA Oteo, JR Blanco, V Ibarra, L Metola, M Sanz, L Pérez-Martínez) ; Hospital Universitario Miguel Servet, Zaragoza (A Pascual, C Ramos, P Arazo, D Gil); Hospital Universitari Mutua de Terrassa, Terrassa (D Dalmau, A Jaén, M Cairó, D Irigoyen, Q Jordano, M Xercavins, J Martinez-Lacasa, P Velli, R Font, M Sanmartí, L Ibáñez; Complejo Hospitalario de Navarra, Pamplona (M Rivero, MI Casado, JA Díaz, J Uriz, J Repáraz, C Irigoyen, MJ Arraiza); Hospital Parc Taulí, Sabadell (F Segura, MJ Amengual, G Navarro, M Sala, M Cervantes, V Pineda, V Segura, M Navarro, E Antón, MM Nogueras); Hospital Ramón y Cajal, Madrid (S Moreno, JL Casado, F Dronda, A Moreno, MJ Pérez Elías, D López, C Gutiérrez, N Madrid, A Lamas, P Martí, A de Diaz, S Serrrano, L Donat); Hospital Reina Sofía, Murcia (A Cano, E Bernal, Á Muñoz); Hospital San Cecilio, Granada (F García, J Hernández, A Peña, L Muñoz, J Parra, M Alvarez, N Chueca, V Guillot, D Vinuesa, JA Fernández); Centro Sanitario Sandoval, Madrid (J Del Romero, C Rodríguez, T Puerta, JC Carrió, M Vera, J Ballesteros); Hospital de la Santa Creu i Sant Pau, Barcelona (P Domingo, MA Sambeat, K Lamarca, G Mateo, M Gutiérrez, I Fernández); Hospital Universitario Santiago de Compostela, Santiago de Compostela (A Antela,  E Losada); Hospital Son Espases, Palma de Mallorca (M Riera, M Peñaranda, M Leyes, MA Ribas, AA Campins, C Vidal, L Gil, F Fanjul, C Marinescu); Hospital Universitari Vall d´Hebron, Barcelona (E Ribera); Hospital Virgen de la Victoria, Málaga (J Santos, M Márquez, I Viciana, R Palacios, I Pérez, CM González); Hospital Universitario Virgen del Rocío, Sevilla (P Viciana, M Leal, LF López-Cortés, N Espinosa); Hospital Universitario de Basurto, Bilbao (J Muñoz, M Zuriñe Zubero, J Mirena, S Ibarra, O Ferrero, J López de Munain, MM Cámara, I López, M de la Peña); Hospital Universitario Infanta Sofía, San Sebastián de los Reyes (I Suárez-García, E Malmierca); Hospital Universitario Costa del Sol, Marbella (J Olalla, A del Arco, J de la Torre, JL Prada, Z Caracuel); Hospital del Poniente, El Ejido (AM Lopez-Lirola, AB Lozano, E Fernández, I Pérez, JM Fernández); Hospital Universitario Santa Lucia, Cartagena (OJ Martínez, FJ Vera, L Martínez, J García, B Alcaraz, A Jimeno); INIBIC-Complejo Hospitalario Universitario de A Coruña, A Coruña (E Poveda, B Pernas, A Mena, M Grandal, A Castro, JD Pedreira); Hospital Clínico Universitario Virgen de la Arrixaca, Murcia (C Galera, H Albendin, A Iborra, A Moreno, MA Campillo, A Vidal); Hospital Marina Baixa, Villajoyosa (C Amador, F Pasquau, J Ena, C Benito, V Fenoll); Complejo Hospitalario de Jaén, Jaén (MO Mohamed-Balghata, MA Gómez); Hospital San Agustín de Avilés, Avilés (MA de Zarraga, ME Rivas); Fundación Jiménez Diaz,Madrid (M Górgolas).</w:t>
      </w:r>
    </w:p>
    <w:p w14:paraId="0796066A" w14:textId="77777777" w:rsidR="00562CF6" w:rsidRPr="00562CF6" w:rsidRDefault="00562CF6" w:rsidP="00562CF6">
      <w:pPr>
        <w:pStyle w:val="NormalWeb"/>
        <w:spacing w:before="0" w:beforeAutospacing="0" w:after="0" w:afterAutospacing="0"/>
        <w:rPr>
          <w:rFonts w:ascii="Calibri" w:hAnsi="Calibri"/>
          <w:sz w:val="22"/>
          <w:szCs w:val="22"/>
          <w:lang w:val="fr-FR"/>
        </w:rPr>
      </w:pPr>
    </w:p>
    <w:p w14:paraId="2180C9FB" w14:textId="77777777" w:rsidR="00562CF6" w:rsidRPr="00562CF6" w:rsidRDefault="00562CF6" w:rsidP="00562CF6">
      <w:pPr>
        <w:pStyle w:val="NormalWeb"/>
        <w:spacing w:before="0" w:beforeAutospacing="0" w:after="0" w:afterAutospacing="0"/>
        <w:rPr>
          <w:rFonts w:ascii="Calibri" w:eastAsia="Times New Roman" w:hAnsi="Calibri" w:cstheme="minorBidi"/>
          <w:bCs/>
          <w:sz w:val="22"/>
          <w:szCs w:val="22"/>
          <w:lang w:val="fr-FR" w:eastAsia="de-CH"/>
        </w:rPr>
      </w:pPr>
      <w:r w:rsidRPr="00316FAB">
        <w:rPr>
          <w:rStyle w:val="Emphasis"/>
          <w:rFonts w:ascii="Calibri" w:hAnsi="Calibri"/>
          <w:b/>
          <w:bCs/>
          <w:i w:val="0"/>
          <w:sz w:val="22"/>
          <w:szCs w:val="22"/>
        </w:rPr>
        <w:t>SWISS HIV COHORT STUDY</w:t>
      </w:r>
      <w:r w:rsidRPr="00316FAB">
        <w:rPr>
          <w:rFonts w:ascii="Calibri" w:hAnsi="Calibri"/>
          <w:b/>
          <w:bCs/>
          <w:i/>
          <w:iCs/>
          <w:sz w:val="22"/>
          <w:szCs w:val="22"/>
        </w:rPr>
        <w:br/>
      </w:r>
      <w:r w:rsidRPr="00562CF6">
        <w:rPr>
          <w:rFonts w:ascii="Calibri" w:eastAsia="Times New Roman" w:hAnsi="Calibri" w:cstheme="minorBidi"/>
          <w:bCs/>
          <w:sz w:val="22"/>
          <w:szCs w:val="22"/>
          <w:lang w:val="fr-FR" w:eastAsia="de-CH"/>
        </w:rPr>
        <w:t>The Swiss HIV Cohort Study (SHCS) and the SHCS drug resistance database have been supported by the following grants: Swiss National Science Foundation (grants 33CS30_148522 and 320030_159868 to H. F. G.), the SHCS Research Foundation; the Yvonne-Jacob Foundation, Gilead, Switzerland (1 unrestricted grant to the SHCS Research Foundation and 1 unrestricted grant to H. F. G.); and the University of Zurich’s Clinical Research Priority Program (Viral Infectious Diseases: Zurich Primary HIV Infection Study; to H. F. G.).</w:t>
      </w:r>
    </w:p>
    <w:p w14:paraId="4FA490FC" w14:textId="4E3BA5CF" w:rsidR="00562CF6" w:rsidRDefault="00E311DB" w:rsidP="00562CF6">
      <w:pPr>
        <w:pStyle w:val="NormalWeb"/>
        <w:spacing w:before="0" w:beforeAutospacing="0" w:after="0" w:afterAutospacing="0"/>
        <w:rPr>
          <w:rFonts w:ascii="Calibri" w:eastAsia="Times New Roman" w:hAnsi="Calibri" w:cstheme="minorBidi"/>
          <w:bCs/>
          <w:sz w:val="22"/>
          <w:szCs w:val="22"/>
          <w:lang w:val="fr-FR" w:eastAsia="de-CH"/>
        </w:rPr>
      </w:pPr>
      <w:r w:rsidRPr="00E311DB">
        <w:rPr>
          <w:rFonts w:ascii="Calibri" w:eastAsia="Times New Roman" w:hAnsi="Calibri" w:cstheme="minorBidi"/>
          <w:bCs/>
          <w:sz w:val="22"/>
          <w:szCs w:val="22"/>
          <w:lang w:val="fr-FR" w:eastAsia="de-CH"/>
        </w:rPr>
        <w:t>MEMBERS. Anagnostopoulos A, Battegay M, Bernasconi E, Böni J, Braun DL, Bucher HC, Calmy A, Cavassini M, Ciuffi A, Dollenmaier G, Egger M, Elzi L, Fehr J, Fellay J, Furrer H (Chairman of the Clinical and Laboratory Committee), Fux CA, Günthard HF (President of the SHCS), Haerry D (deputy of "Positive Council"), Hasse B, Hirsch HH, Hoffmann M, Hösli I, Huber M, Kahlert C, Kaiser L, Keiser O, Klimkait T, Kouyos RD, Kovari H, Ledergerber B, Martinetti G, Martinez de Tejada B, Marzolini C, Metzner KJ, Müller N, Nicca D, Paioni P, Pantaleo G, Perreau M, Rauch A (Chairman of the Scientific Board), Rudin C (Chairman of the Mother &amp; Child Substudy), Scherrer AU (Head of Data Centre), Schmid P, Speck R, Stöckle M, Tarr P, Trkola A, Vernazza P, Wandeler G, Weber R, Yerly S.</w:t>
      </w:r>
    </w:p>
    <w:p w14:paraId="64A23829" w14:textId="77777777" w:rsidR="00A136B9" w:rsidRPr="00562CF6" w:rsidRDefault="00A136B9" w:rsidP="00562CF6">
      <w:pPr>
        <w:pStyle w:val="NormalWeb"/>
        <w:spacing w:before="0" w:beforeAutospacing="0" w:after="0" w:afterAutospacing="0"/>
        <w:rPr>
          <w:rFonts w:ascii="Calibri" w:eastAsia="Times New Roman" w:hAnsi="Calibri" w:cstheme="minorBidi"/>
          <w:bCs/>
          <w:sz w:val="22"/>
          <w:szCs w:val="22"/>
          <w:lang w:val="fr-FR" w:eastAsia="de-CH"/>
        </w:rPr>
      </w:pPr>
    </w:p>
    <w:p w14:paraId="11444A4C" w14:textId="77777777" w:rsidR="009835A1" w:rsidRDefault="00562CF6" w:rsidP="009835A1">
      <w:pPr>
        <w:pStyle w:val="NormalWeb"/>
        <w:spacing w:before="0" w:beforeAutospacing="0" w:after="0" w:afterAutospacing="0"/>
        <w:rPr>
          <w:rFonts w:ascii="Calibri" w:hAnsi="Calibri"/>
          <w:b/>
          <w:iCs/>
          <w:sz w:val="22"/>
          <w:szCs w:val="22"/>
          <w:lang w:val="en-GB"/>
        </w:rPr>
      </w:pPr>
      <w:r w:rsidRPr="00562CF6">
        <w:rPr>
          <w:rFonts w:ascii="Calibri" w:hAnsi="Calibri"/>
          <w:b/>
          <w:iCs/>
          <w:sz w:val="22"/>
          <w:szCs w:val="22"/>
          <w:lang w:val="en-GB"/>
        </w:rPr>
        <w:t xml:space="preserve">UK CHIC </w:t>
      </w:r>
    </w:p>
    <w:p w14:paraId="791200F3" w14:textId="42072900" w:rsidR="00562CF6" w:rsidRPr="009835A1" w:rsidRDefault="00562CF6" w:rsidP="009835A1">
      <w:pPr>
        <w:pStyle w:val="NormalWeb"/>
        <w:spacing w:before="0" w:beforeAutospacing="0" w:after="0" w:afterAutospacing="0"/>
        <w:rPr>
          <w:rFonts w:ascii="Calibri" w:hAnsi="Calibri"/>
          <w:b/>
          <w:iCs/>
          <w:sz w:val="22"/>
          <w:szCs w:val="22"/>
          <w:lang w:val="en-GB"/>
        </w:rPr>
      </w:pPr>
      <w:r w:rsidRPr="00562CF6">
        <w:rPr>
          <w:rFonts w:ascii="Calibri" w:hAnsi="Calibri"/>
          <w:sz w:val="22"/>
          <w:szCs w:val="22"/>
        </w:rPr>
        <w:t xml:space="preserve">UK CHIC </w:t>
      </w:r>
      <w:r w:rsidR="00316FAB">
        <w:rPr>
          <w:rFonts w:ascii="Calibri" w:hAnsi="Calibri"/>
          <w:sz w:val="22"/>
          <w:szCs w:val="22"/>
        </w:rPr>
        <w:t xml:space="preserve">is funded </w:t>
      </w:r>
      <w:r w:rsidRPr="00562CF6">
        <w:rPr>
          <w:rFonts w:ascii="Calibri" w:hAnsi="Calibri"/>
          <w:sz w:val="22"/>
          <w:szCs w:val="22"/>
        </w:rPr>
        <w:t>by the UK Medical Research Council (Grant numbers G0000199, G060033</w:t>
      </w:r>
      <w:r w:rsidR="00CE785D">
        <w:rPr>
          <w:rFonts w:ascii="Calibri" w:hAnsi="Calibri"/>
          <w:sz w:val="22"/>
          <w:szCs w:val="22"/>
        </w:rPr>
        <w:t xml:space="preserve">7, G0900274 and M004236). </w:t>
      </w:r>
      <w:r w:rsidRPr="00562CF6">
        <w:rPr>
          <w:rFonts w:ascii="Calibri" w:hAnsi="Calibri"/>
          <w:sz w:val="22"/>
          <w:szCs w:val="22"/>
        </w:rPr>
        <w:t>The views expressed in this manuscript are those of the researchers and not necessarily those of the Medical Research Council.</w:t>
      </w:r>
    </w:p>
    <w:p w14:paraId="42BB5DE4" w14:textId="77777777" w:rsidR="00562CF6" w:rsidRDefault="00562CF6" w:rsidP="00562CF6">
      <w:pPr>
        <w:spacing w:after="0" w:line="240" w:lineRule="auto"/>
        <w:rPr>
          <w:rFonts w:ascii="Calibri" w:eastAsia="Times New Roman" w:hAnsi="Calibri"/>
          <w:bCs/>
          <w:lang w:eastAsia="de-CH"/>
        </w:rPr>
      </w:pPr>
      <w:r w:rsidRPr="00562CF6">
        <w:rPr>
          <w:rFonts w:ascii="Calibri" w:eastAsia="Times New Roman" w:hAnsi="Calibri"/>
          <w:bCs/>
          <w:lang w:eastAsia="de-CH"/>
        </w:rPr>
        <w:t>Steering Committee: Jonathan Ainsworth, Sris Allan, Jane Anderson, Abdel Babiker, David Chadwick, Valerie Delpech, David Dunn, Martin Fisher, Brian Gazzard, Richard Gilson, Mark Gompels, Phillip Hay, Teresa Hill, Margaret Johnson, Sophie Jose, Stephen Kegg, Clifford Leen, Fabiola Martin, Mark Nelson, Chloe Orkin, Adrian Palfreeman, Andrew Phillips, Deenan Pillay, Frank Post, Jillian Pritchard, Caroline Sabin, Achim Schwenk, Anjum Tariq, Roy Trevelion, John Walsh. Central Co-ordination: University College London (Teresa Hill, Sophie Jose, Andrew Phillips, Caroline Sabin); Medical Research Council Clinical Trials Unit at UCL (MRC CTU at UCL), London (David Dunn, Adam Glabay). Participating Centres: Brighton and Sussex University Hospitals NHS Trust (M Fisher, N Perry, S Tilbury, E Youssef, D Churchill); Chelsea and Westminster Hospital NHS Foundation Trust, London (B Gazzard, M Nelson, R Everett, D Asboe, S Mandalia); King’s College Hospital NHS Foundation Trust, London (F Post, H Korat, C Taylor, Z Gleisner, F Ibrahim, L Campbell); Mortimer Market Centre, University College London (R Gilson, N Brima, I Williams); Royal Free NHS Foundation Trust/University College London (M Johnson, M Youle, F Lampe, C Smith, R Tsintas, C Chaloner, S Hutchinson, C Sabin, A Phillips T Hill, S Jose); Imperial College Healthcare NHS Trust, London (J Walsh, N Mackie, A Winston, J Weber, F Ramzan, M Carder); Barts and The London NHS Trust, London (C Orkin, J Lynch, J Hand, C de Souza); Homerton University Hospital NHS Trust, London (J Anderson, S Munshi); North Middlesex University Hospital NHS Trust, London (J Ainsworth, A Schwenk, S Miller, C Wood); The Lothian University Hospitals NHS Trust, Edinburgh (C Leen, A Wilson, S Morris); North Bristol NHS Trust (M Gompels, S Allan); Leicester, University Hospitals of Leicester NHS Trust (A Palfreeman, K Memon, A Lewszuk); Middlesbrough, South Tees Hospitals NHS Foundation Trust, (D Chadwick, E Cope, J Gibson); Woolwich, Lewisham and Greenwich NHS Trust (S Kegg, P Main, Dr Mitchell, Dr Hunter), St. George’s Healthcare NHS Trust (P Hay, M Dhillon); York Teaching Hospital NHS Foundation Trust (F Martin, S Russell-Sharpe); Coventry, University Hospitals Coventry and Warwickshire NHS Trust (S Allan, A Harte, S Clay); Wolverhampton, The Royal Wolverhampton Hospitals NHS Trust (A Tariq, H Spencer, R Jones); Chertsey, Ashford and St.Peter’s Hospitals NHS Foundation Trust (J Pritchard, S Cumming, C Atkinson); Public Health England, London (V Delpech); HIV i-base (R Trevelion).</w:t>
      </w:r>
    </w:p>
    <w:p w14:paraId="6C3610EC" w14:textId="77777777" w:rsidR="00316FAB" w:rsidRDefault="00316FAB" w:rsidP="00562CF6">
      <w:pPr>
        <w:spacing w:after="0" w:line="240" w:lineRule="auto"/>
        <w:rPr>
          <w:rFonts w:ascii="Calibri" w:eastAsia="Times New Roman" w:hAnsi="Calibri"/>
          <w:bCs/>
          <w:lang w:eastAsia="de-CH"/>
        </w:rPr>
      </w:pPr>
    </w:p>
    <w:p w14:paraId="0B2F3575" w14:textId="77777777" w:rsidR="00316FAB" w:rsidRPr="00316FAB" w:rsidRDefault="00316FAB" w:rsidP="00316FAB">
      <w:pPr>
        <w:spacing w:after="0" w:line="240" w:lineRule="auto"/>
        <w:rPr>
          <w:rFonts w:ascii="Calibri" w:eastAsia="Times New Roman" w:hAnsi="Calibri"/>
          <w:b/>
          <w:bCs/>
          <w:lang w:eastAsia="de-CH"/>
        </w:rPr>
      </w:pPr>
      <w:r w:rsidRPr="00316FAB">
        <w:rPr>
          <w:rFonts w:ascii="Calibri" w:eastAsia="Times New Roman" w:hAnsi="Calibri"/>
          <w:b/>
          <w:bCs/>
          <w:lang w:eastAsia="de-CH"/>
        </w:rPr>
        <w:t>UK HIV Drug Resistance Database</w:t>
      </w:r>
    </w:p>
    <w:p w14:paraId="0F93088A" w14:textId="4E8D63E4" w:rsidR="00316FAB" w:rsidRDefault="00316FAB" w:rsidP="00316FAB">
      <w:pPr>
        <w:spacing w:after="0" w:line="240" w:lineRule="auto"/>
        <w:rPr>
          <w:rFonts w:ascii="Calibri" w:eastAsia="Times New Roman" w:hAnsi="Calibri"/>
          <w:bCs/>
          <w:lang w:eastAsia="de-CH"/>
        </w:rPr>
      </w:pPr>
      <w:r>
        <w:rPr>
          <w:rFonts w:ascii="Calibri" w:hAnsi="Calibri"/>
        </w:rPr>
        <w:t xml:space="preserve">The </w:t>
      </w:r>
      <w:r w:rsidRPr="00562CF6">
        <w:rPr>
          <w:rFonts w:ascii="Calibri" w:hAnsi="Calibri"/>
        </w:rPr>
        <w:t xml:space="preserve">UK </w:t>
      </w:r>
      <w:r>
        <w:rPr>
          <w:rFonts w:ascii="Calibri" w:hAnsi="Calibri"/>
        </w:rPr>
        <w:t>HIV Drug Resistance Database</w:t>
      </w:r>
      <w:r w:rsidRPr="00562CF6">
        <w:rPr>
          <w:rFonts w:ascii="Calibri" w:hAnsi="Calibri"/>
        </w:rPr>
        <w:t xml:space="preserve"> </w:t>
      </w:r>
      <w:r>
        <w:rPr>
          <w:rFonts w:ascii="Calibri" w:hAnsi="Calibri"/>
        </w:rPr>
        <w:t xml:space="preserve">is funded </w:t>
      </w:r>
      <w:r w:rsidRPr="00562CF6">
        <w:rPr>
          <w:rFonts w:ascii="Calibri" w:hAnsi="Calibri"/>
        </w:rPr>
        <w:t>by the UK Medical Research Council</w:t>
      </w:r>
      <w:r>
        <w:rPr>
          <w:rFonts w:ascii="Calibri" w:hAnsi="Calibri"/>
        </w:rPr>
        <w:t>.</w:t>
      </w:r>
      <w:bookmarkStart w:id="0" w:name="_GoBack"/>
      <w:bookmarkEnd w:id="0"/>
    </w:p>
    <w:p w14:paraId="2D228A78" w14:textId="77777777" w:rsidR="00316FAB" w:rsidRPr="00316FAB" w:rsidRDefault="00316FAB" w:rsidP="00316FAB">
      <w:pPr>
        <w:spacing w:after="0" w:line="240" w:lineRule="auto"/>
        <w:rPr>
          <w:rFonts w:ascii="Calibri" w:eastAsia="Times New Roman" w:hAnsi="Calibri"/>
          <w:bCs/>
          <w:lang w:eastAsia="de-CH"/>
        </w:rPr>
      </w:pPr>
      <w:r w:rsidRPr="00316FAB">
        <w:rPr>
          <w:rFonts w:ascii="Calibri" w:eastAsia="Times New Roman" w:hAnsi="Calibri"/>
          <w:bCs/>
          <w:lang w:eastAsia="de-CH"/>
        </w:rPr>
        <w:t xml:space="preserve">Steering Committee: David Asboe, Anton Pozniak (Chelsea &amp; Westminster Hospital, London); Patricia Cane (Public Health England, Porton Down); David Chadwick (South Tees Hospitals NHS Trust, Middlesbrough); Duncan Churchill (Brighton and Sussex University Hospitals NHS Trust); Duncan Clark (Barts Health NHS Trust, London); Simon Collins (HIV i-Base, London); Valerie Delpech (National Infection Service, Public Health England); Samuel Douthwaite (Guy’s and St. Thomas’ NHS Foundation Trust, London); David Dunn, Esther Fearnhill, Kholoud Porter, Anna Tostevin, Ellen White, Oliver Stirrup (Research Department of Infection and Population Health, UCL); Christophe Fraser (University of Oxford); Anna Maria Geretti (Institute of Infection and Global Health, University of Liverpool); Rory Gunson (Gartnavel General Hospital, Glasgow); Antony Hale (Leeds Teaching Hospitals NHS Trust); Stéphane Hué (London School of Hygiene and Tropical Medicine); Steve Kaye (Imperial College, London); Linda Lazarus (Expert Advisory Group on AIDS Secretariat, Public Health England); Andrew Leigh-Brown (University of Edinburgh); Tamyo Mbisa (National Infection Service, Public Health England); Nicola Mackie (Imperial NHS Trust,  London); Samuel Moses (King’s College Hospital, London); Chloe Orkin (Barts Health NHS Trust, London); Eleni Nastouli, Deenan Pillay, Andrew Phillips, Caroline Sabin (University College London, London); Erasmus Smit (Public Health England, Birmingham Heartlands Hospital); Kate Templeton (Royal Infirmary of Edinburgh); Peter Tilston (Manchester Royal Infirmary); Ian Williams (Mortimer Market Centre, London); Hongyi Zhang (Addenbrooke’s Hospital, Cambridge). </w:t>
      </w:r>
    </w:p>
    <w:p w14:paraId="2126E394" w14:textId="77777777" w:rsidR="00316FAB" w:rsidRPr="00316FAB" w:rsidRDefault="00316FAB" w:rsidP="00316FAB">
      <w:pPr>
        <w:spacing w:after="0" w:line="240" w:lineRule="auto"/>
        <w:rPr>
          <w:rFonts w:ascii="Calibri" w:eastAsia="Times New Roman" w:hAnsi="Calibri"/>
          <w:bCs/>
          <w:lang w:eastAsia="de-CH"/>
        </w:rPr>
      </w:pPr>
      <w:r w:rsidRPr="00316FAB">
        <w:rPr>
          <w:rFonts w:ascii="Calibri" w:eastAsia="Times New Roman" w:hAnsi="Calibri"/>
          <w:bCs/>
          <w:lang w:eastAsia="de-CH"/>
        </w:rPr>
        <w:t>Coordinating Centre: Research Department of Infection and Population Health, UCL (David Dunn, Keith Fairbrother, Esther Fearnhill, Kholoud Porter, Anna Tostevin, Ellen White, Oliver Stirrup)</w:t>
      </w:r>
    </w:p>
    <w:p w14:paraId="6BF57144" w14:textId="77777777" w:rsidR="00316FAB" w:rsidRPr="00316FAB" w:rsidRDefault="00316FAB" w:rsidP="00316FAB">
      <w:pPr>
        <w:spacing w:after="0" w:line="240" w:lineRule="auto"/>
        <w:rPr>
          <w:rFonts w:ascii="Calibri" w:eastAsia="Times New Roman" w:hAnsi="Calibri"/>
          <w:bCs/>
          <w:lang w:eastAsia="de-CH"/>
        </w:rPr>
      </w:pPr>
      <w:r w:rsidRPr="00316FAB">
        <w:rPr>
          <w:rFonts w:ascii="Calibri" w:eastAsia="Times New Roman" w:hAnsi="Calibri"/>
          <w:bCs/>
          <w:lang w:eastAsia="de-CH"/>
        </w:rPr>
        <w:t>Centres contributing data: Clinical Microbiology and Public Health Laboratory, Addenbrooke’s Hospital, Cambridge (Jane Greatorex); Guy’s and St Thomas’ NHS Foundation Trust, London (Siobhan O’Shea, Jane Mullen); PHE – Public Health Laboratory, Birmingham Heartlands Hospital, Birmingham (Erasmus Smit); Antiviral Unit, National Infection Service, Public Health England, London (Tamyo Mbisa); Imperial College Health NHS Trust, London (Alison Cox); King's College Hospital, London (Richard Tandy); Medical Microbiology Laboratory, Leeds Teaching Hospitals NHS Trust (Tracy Fawcett); Specialist Virology Centre, Liverpool (Mark Hopkins); Department of Clinical Virology, Manchester Royal Infirmary, Manchester (Peter Tilston); Department of Virology, Royal Free Hospital, London (Clare Booth, Ana Garcia-Diaz); Edinburgh Specialist Virology Centre, Royal Infirmary of Edinburgh (Lynne Renwick); Department of Infection &amp; Tropical Medicine, Royal Victoria Infirmary, Newcastle (Matthias L Schmid, Brendan Payne); South Tees Hospitals NHS Trust, Middlesbrough (David Chadwick); Department of Virology, Barts Health NHS Trust, London (Duncan Clark, Jonathan Hubb); Molecular Diagnostic Unit, Imperial College, London (Steve Kaye); University College London Hospitals (Stuart Kirk); West of Scotland Specialist Virology Laboratory, Gartnavel, Glasgow (Rory Gunson, Amanda Bradley-Stewart).</w:t>
      </w:r>
    </w:p>
    <w:p w14:paraId="7134131C" w14:textId="77777777" w:rsidR="00316FAB" w:rsidRPr="00562CF6" w:rsidRDefault="00316FAB" w:rsidP="00562CF6">
      <w:pPr>
        <w:spacing w:after="0" w:line="240" w:lineRule="auto"/>
        <w:rPr>
          <w:rFonts w:ascii="Calibri" w:eastAsia="Times New Roman" w:hAnsi="Calibri"/>
          <w:bCs/>
          <w:lang w:eastAsia="de-CH"/>
        </w:rPr>
      </w:pPr>
    </w:p>
    <w:p w14:paraId="290DD829" w14:textId="77777777" w:rsidR="00562CF6" w:rsidRPr="00562CF6" w:rsidRDefault="00562CF6" w:rsidP="00562CF6">
      <w:pPr>
        <w:spacing w:after="0" w:line="240" w:lineRule="auto"/>
        <w:rPr>
          <w:rFonts w:ascii="Calibri" w:hAnsi="Calibri"/>
          <w:b/>
        </w:rPr>
      </w:pPr>
    </w:p>
    <w:p w14:paraId="132A58B1" w14:textId="77777777" w:rsidR="00562CF6" w:rsidRPr="00562CF6" w:rsidRDefault="00562CF6" w:rsidP="00562CF6">
      <w:pPr>
        <w:spacing w:after="0" w:line="240" w:lineRule="auto"/>
        <w:rPr>
          <w:rFonts w:ascii="Calibri" w:hAnsi="Calibri"/>
          <w:b/>
        </w:rPr>
      </w:pPr>
      <w:r w:rsidRPr="00562CF6">
        <w:rPr>
          <w:rFonts w:ascii="Calibri" w:hAnsi="Calibri"/>
          <w:b/>
        </w:rPr>
        <w:t>UK Register of HIV Seroconverters</w:t>
      </w:r>
    </w:p>
    <w:p w14:paraId="5A992FD4" w14:textId="2F78670C" w:rsidR="00562CF6" w:rsidRPr="00562CF6" w:rsidRDefault="00F735F9" w:rsidP="00562CF6">
      <w:pPr>
        <w:spacing w:after="0" w:line="240" w:lineRule="auto"/>
        <w:rPr>
          <w:rFonts w:ascii="Calibri" w:hAnsi="Calibri"/>
        </w:rPr>
      </w:pPr>
      <w:r w:rsidRPr="00F735F9">
        <w:rPr>
          <w:rFonts w:ascii="Calibri" w:hAnsi="Calibri"/>
        </w:rPr>
        <w:t xml:space="preserve">The UK Register of HIV Seroconversion is funded by the UK Medical Research Council. </w:t>
      </w:r>
      <w:r w:rsidR="00562CF6" w:rsidRPr="00562CF6">
        <w:rPr>
          <w:rFonts w:ascii="Calibri" w:hAnsi="Calibri"/>
        </w:rPr>
        <w:t>Steering Committee: Andrew Phillips (Chair), University College London (UCL), London; Abdel Babiker, MRC CTU, London; Valerie Delpech, Public Health England, London; Sarah Fidler, St. Mary’s Hospital, London; Martin Fisher, Brighton &amp; Sussex University Hospitals NHS Trust, Brighton; Julie Fox, Guys and St Thomas' NHS Trust/ Kings College, London; Richard Gilson, West London Centre for Sexual Health, London; David Goldberg, Health Protection Scotland, Glasgow; David Hawkins, Chelsea &amp; Westminster NHS Trust, London; Anne Johnson, UCL, London; Margaret Johnson, UCL and Royal Free NHS Trust, London; Ken McLean, West London Centre for Sexual Health, London; Deenan Pillay, UCL, London; Frank Post, Kings College, London. Collaborating clinical centres: N Kennedy, Monklands Hospital, Airdrie; J Pritchard , Ashford Hospital, Ashford; U Andrady, Ysbyty Gwynedd, Bangor; N Rajda, North Hampshire Hospital, Basingstoke; C Donnelly, S McKernan, Royal Victoria Hospital, Belfast; S Drake, G Gilleran, D White, Birmingham Heartlands Hospital, Birmingham; J Ross, J Harding, R Faville, Whittall Street Clinic, Birmingham; J Sweeney, P Flegg, S Toomer, Blackpool Victoria Hospital, Blackpool; H Wilding, R Woodward, Royal Bournemouth Hospital, Bournemouth; G Dean, C Richardson, N Perry, Royal Sussex County Hospital, Brighton; M Gompels, L Jennings, Southmead Hospital, Bristol; D Bansaal, Queens Hospital, Burton-upon-Trent; M Browing, L Connolly, Cardiff Royal Infirmary, Cardiff; B Stanley, North Cumbria Acute Hospitals NHS Trust, Carlisle; S Estreich, A Magdy, St. Helier Hospital, Carshalton; C O’Mahony, Countess of Chester Hospital, Chester; P Fraser, Chesterfield &amp; North Derbyshire Royal Hospital, Chesterfield; SPR Jebakumar, Essex County Hospital, Colchester; L David, Coventry &amp; Warwickshire Hospital, Coventry; R Mette, Mayday University Hospital, Croydon; H Summerfield, Weymouth Community Hospital, Dorset; M Evans, Ninewells Hospital, Dundee; C White, University Hospital of North Durham, Durham; R Robertson, Muirhouse Medical Group, Edinburgh; C Lean, S Morris, Western General Hospital, Edinburgh; A Winter, Gartnavel General Hospital &amp; Glasgow Royal Infirmary, Glasgow; S Faulkner, Gloucestershire Royal Hospital, Gloucester; B Goorney, Salford Hope Hospital, Greater Manchester; L Howard, Farnham Road Hospital, Guildford; I Fairley, C Stemp, Harrogate Hospital, Harrogate; L Short, Huddersfield Royal Infirmary, Huddersfield; M gomez, F young, St Mary’s Hospital Isle of Wight; M Roberts, S Green, Kidderminster General Hospital, Kidderminster; K Sivakumar, The Queen Elizabeth Hospital, King's Lynn; J Minton, A Siminoni, Leeds General Infirmary, Leeds; J Calderwood, D Greenhough, J Minton, St. James Hospital, Leeds; C DeSouza, Lisa Muthern, C Orkin, Barts &amp; The London NHS Trust, London; S Murphy, M Truvedi, Central Middlesex Hospital, London; K McLean, Charing Cross Hospital, London; D Hawkins, C Higgs, A Moyes, Chelsea &amp; Westminster Hospital, London; S Antonucci, S McCormack, Dean Street Clinic, London; W Lynn, Ealing Hospital, London; M Bevan, J Fox, A Teague, Guy's &amp; St. Thomas NHS Trust, London; J Anderson, S Mguni, Homerton Hospital, London; F Post, L Campbell, E Wandolo King's College Hospital, London; C Mazhude, H Russell, Lewisham University Hospital, London; R Gilson, G Carrick, C Young Mortimer Market Centre, London; J Ainsworth, A Waters, North Middlesex Hospital, London; P Byrne, M Johnson, Royal Free Hospital, London; London; S Fidler, K Kuldanek, S Mullaney, St. Mary's Hospital, London; V Lawlor, R Melville, Whipps Cross Hospital, London; A Sukthankar, S Thorpe, Manchester Royal Infirmary, Manchester; C Murphy, E Wilkins, North Manchester General Hospital, Manchester; S Ahmad, P Green, Withington Hospital, Manchester; S Tayal, James Cook Hospital, Middlesbrough; E Ong, Newcastle General Hospital, Newcastle; J Meaden, Norfolk &amp; Norwich University Hospital, Norwich; L Riddell, City Hospital, Nottingham; D Loay, K Peacock, George Eliot Hospital, Nunneaton; H Blackman, V Harindra, St. Mary's Hospital, Portsmouth; AM Saeed, Royal Preston Hospital, Preston; S Allen, U Natarajan, East Surrey Hospital, Redhill; O Williams, Glan Clwyd District General, Rhyl; H Lacey, Baillie Street Health Centre, Rochdale; C Care, C Bowman, S Herman, Royal Hallamshire Hospital, Sheffield; S V Devendra, J Wither, Royal Shrewsbury Hospital, Shrewsbury; A Bridgwood, G Singh, North Staffordshire Hospital, Stoke-on-Trent; S Bushby, Sunderland Royal Hospital, Sunderland; D Kellock,  S Young, King's Mill Centre, Sutton-in-Ashfield; G Rooney, B Snart, The Great Western Hospital, Swindon; J Currie, M. Fitzgerald, Taunton &amp; Somerset Hospital, Taunton; J Arumainayyagam, S Chandramani, Manor Hospital, Walsall; S Rajamanoharan, T Robinson, Watford General Hospital, Watford; M Roberts, Worcester Royal Infirmary, Worcester; O Williams, Maelor Hospital, Wrexham; B Taylor, Wycombe General Hospital, Wycombe; C Brewer, I Fairley, Monkgate Health Centre, York Hospital NHS Trust, York.</w:t>
      </w:r>
    </w:p>
    <w:p w14:paraId="41CCB454" w14:textId="77777777" w:rsidR="00562CF6" w:rsidRPr="00562CF6" w:rsidRDefault="00562CF6" w:rsidP="00562CF6">
      <w:pPr>
        <w:pStyle w:val="NoSpacing"/>
        <w:rPr>
          <w:rFonts w:ascii="Calibri" w:hAnsi="Calibri" w:cs="Times New Roman"/>
        </w:rPr>
      </w:pPr>
    </w:p>
    <w:p w14:paraId="652ECBF6" w14:textId="77777777" w:rsidR="00562CF6" w:rsidRPr="00562CF6" w:rsidRDefault="00562CF6" w:rsidP="00562CF6">
      <w:pPr>
        <w:adjustRightInd w:val="0"/>
        <w:spacing w:after="0" w:line="240" w:lineRule="auto"/>
        <w:rPr>
          <w:rFonts w:ascii="Calibri" w:hAnsi="Calibri"/>
          <w:b/>
        </w:rPr>
      </w:pPr>
    </w:p>
    <w:p w14:paraId="4F538737" w14:textId="77777777" w:rsidR="00562CF6" w:rsidRPr="00562CF6" w:rsidRDefault="00562CF6" w:rsidP="00562CF6">
      <w:pPr>
        <w:adjustRightInd w:val="0"/>
        <w:spacing w:after="0" w:line="240" w:lineRule="auto"/>
        <w:rPr>
          <w:rFonts w:ascii="Calibri" w:hAnsi="Calibri"/>
          <w:b/>
        </w:rPr>
      </w:pPr>
    </w:p>
    <w:p w14:paraId="52772391" w14:textId="77777777" w:rsidR="00562CF6" w:rsidRPr="00562CF6" w:rsidRDefault="00562CF6" w:rsidP="00562CF6">
      <w:pPr>
        <w:spacing w:after="0" w:line="240" w:lineRule="auto"/>
        <w:rPr>
          <w:rFonts w:ascii="Calibri" w:hAnsi="Calibri"/>
        </w:rPr>
      </w:pPr>
    </w:p>
    <w:p w14:paraId="3F9C62AB" w14:textId="77777777" w:rsidR="005123BC" w:rsidRPr="00562CF6" w:rsidRDefault="005123BC">
      <w:pPr>
        <w:rPr>
          <w:rFonts w:ascii="Calibri" w:hAnsi="Calibri"/>
        </w:rPr>
      </w:pPr>
    </w:p>
    <w:sectPr w:rsidR="005123BC" w:rsidRPr="00562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F6"/>
    <w:rsid w:val="00316FAB"/>
    <w:rsid w:val="005123BC"/>
    <w:rsid w:val="00562CF6"/>
    <w:rsid w:val="007D1C94"/>
    <w:rsid w:val="009835A1"/>
    <w:rsid w:val="00A136B9"/>
    <w:rsid w:val="00CE785D"/>
    <w:rsid w:val="00E311DB"/>
    <w:rsid w:val="00F73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6"/>
    <o:shapelayout v:ext="edit">
      <o:idmap v:ext="edit" data="1"/>
    </o:shapelayout>
  </w:shapeDefaults>
  <w:decimalSymbol w:val="."/>
  <w:listSeparator w:val=","/>
  <w14:docId w14:val="68E658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F6"/>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62CF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CF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unhideWhenUsed/>
    <w:rsid w:val="00562CF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2CF6"/>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562CF6"/>
    <w:rPr>
      <w:rFonts w:eastAsiaTheme="minorHAnsi"/>
      <w:sz w:val="22"/>
      <w:szCs w:val="22"/>
      <w:lang w:val="en-GB"/>
    </w:rPr>
  </w:style>
  <w:style w:type="character" w:styleId="Emphasis">
    <w:name w:val="Emphasis"/>
    <w:basedOn w:val="DefaultParagraphFont"/>
    <w:uiPriority w:val="20"/>
    <w:qFormat/>
    <w:rsid w:val="00562CF6"/>
    <w:rPr>
      <w:i/>
      <w:iCs/>
    </w:rPr>
  </w:style>
  <w:style w:type="character" w:customStyle="1" w:styleId="apple-converted-space">
    <w:name w:val="apple-converted-space"/>
    <w:rsid w:val="00562C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CF6"/>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562CF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CF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unhideWhenUsed/>
    <w:rsid w:val="00562CF6"/>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2CF6"/>
    <w:pPr>
      <w:spacing w:before="100" w:beforeAutospacing="1" w:after="100" w:afterAutospacing="1" w:line="240" w:lineRule="auto"/>
    </w:pPr>
    <w:rPr>
      <w:rFonts w:ascii="Times" w:eastAsiaTheme="minorEastAsia" w:hAnsi="Times" w:cs="Times New Roman"/>
      <w:sz w:val="20"/>
      <w:szCs w:val="20"/>
    </w:rPr>
  </w:style>
  <w:style w:type="paragraph" w:styleId="NoSpacing">
    <w:name w:val="No Spacing"/>
    <w:uiPriority w:val="1"/>
    <w:qFormat/>
    <w:rsid w:val="00562CF6"/>
    <w:rPr>
      <w:rFonts w:eastAsiaTheme="minorHAnsi"/>
      <w:sz w:val="22"/>
      <w:szCs w:val="22"/>
      <w:lang w:val="en-GB"/>
    </w:rPr>
  </w:style>
  <w:style w:type="character" w:styleId="Emphasis">
    <w:name w:val="Emphasis"/>
    <w:basedOn w:val="DefaultParagraphFont"/>
    <w:uiPriority w:val="20"/>
    <w:qFormat/>
    <w:rsid w:val="00562CF6"/>
    <w:rPr>
      <w:i/>
      <w:iCs/>
    </w:rPr>
  </w:style>
  <w:style w:type="character" w:customStyle="1" w:styleId="apple-converted-space">
    <w:name w:val="apple-converted-space"/>
    <w:rsid w:val="00562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oleObject" Target="embeddings/oleObject8.bin"/><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oleObject" Target="embeddings/oleObject3.bin"/><Relationship Id="rId11" Type="http://schemas.openxmlformats.org/officeDocument/2006/relationships/image" Target="media/image4.png"/><Relationship Id="rId12" Type="http://schemas.openxmlformats.org/officeDocument/2006/relationships/oleObject" Target="embeddings/oleObject4.bin"/><Relationship Id="rId13" Type="http://schemas.openxmlformats.org/officeDocument/2006/relationships/image" Target="media/image5.png"/><Relationship Id="rId14" Type="http://schemas.openxmlformats.org/officeDocument/2006/relationships/oleObject" Target="embeddings/oleObject5.bin"/><Relationship Id="rId15" Type="http://schemas.openxmlformats.org/officeDocument/2006/relationships/image" Target="media/image6.png"/><Relationship Id="rId16" Type="http://schemas.openxmlformats.org/officeDocument/2006/relationships/oleObject" Target="embeddings/oleObject6.bin"/><Relationship Id="rId17" Type="http://schemas.openxmlformats.org/officeDocument/2006/relationships/image" Target="media/image7.png"/><Relationship Id="rId18" Type="http://schemas.openxmlformats.org/officeDocument/2006/relationships/oleObject" Target="embeddings/oleObject7.bin"/><Relationship Id="rId19" Type="http://schemas.openxmlformats.org/officeDocument/2006/relationships/image" Target="media/image8.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image" Target="media/image2.png"/><Relationship Id="rId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4624</Words>
  <Characters>26362</Characters>
  <Application>Microsoft Macintosh Word</Application>
  <DocSecurity>0</DocSecurity>
  <Lines>219</Lines>
  <Paragraphs>61</Paragraphs>
  <ScaleCrop>false</ScaleCrop>
  <Company/>
  <LinksUpToDate>false</LinksUpToDate>
  <CharactersWithSpaces>30925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Lodi</dc:creator>
  <cp:keywords/>
  <dc:description/>
  <cp:lastModifiedBy>Sara Lodi</cp:lastModifiedBy>
  <cp:revision>7</cp:revision>
  <dcterms:created xsi:type="dcterms:W3CDTF">2017-02-27T20:04:00Z</dcterms:created>
  <dcterms:modified xsi:type="dcterms:W3CDTF">2017-09-01T04:18:00Z</dcterms:modified>
</cp:coreProperties>
</file>