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52B7" w:rsidRDefault="00B152B7">
      <w:pPr>
        <w:rPr>
          <w:rFonts w:ascii="Times New Roman" w:hAnsi="Times New Roman"/>
          <w:sz w:val="24"/>
          <w:szCs w:val="24"/>
        </w:rPr>
      </w:pPr>
      <w:r w:rsidRPr="003363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D5C05" wp14:editId="43A88764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4360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2B7" w:rsidRPr="008F0B58" w:rsidRDefault="00B152B7" w:rsidP="00336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Supplemental Figure</w:t>
                            </w:r>
                            <w:r w:rsidRPr="008F0B5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Prescribing patterns for treatment naïve PLWH in the CNICS cohort initiating ART between 2007 – 2015 (</w:t>
                            </w:r>
                            <w:r w:rsidRPr="00950064">
                              <w:rPr>
                                <w:b/>
                                <w:color w:val="FF0000"/>
                              </w:rPr>
                              <w:t>Supplemental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B152B7" w:rsidRDefault="00B152B7" w:rsidP="00336385"/>
                          <w:p w:rsidR="00B152B7" w:rsidRDefault="00B15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5C05" id="_x0000_s1067" type="#_x0000_t202" style="position:absolute;margin-left:0;margin-top:14.25pt;width:468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P2KAIAAE4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">
                <v:textbox>
                  <w:txbxContent>
                    <w:p w:rsidR="00B152B7" w:rsidRPr="008F0B58" w:rsidRDefault="00B152B7" w:rsidP="00336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Supplemental Figure</w:t>
                      </w:r>
                      <w:r w:rsidRPr="008F0B5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Prescribing patterns for treatment naïve PLWH in the CNICS cohort initiating ART between 2007 – 2015 (</w:t>
                      </w:r>
                      <w:r w:rsidRPr="00950064">
                        <w:rPr>
                          <w:b/>
                          <w:color w:val="FF0000"/>
                        </w:rPr>
                        <w:t>Supplemental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B152B7" w:rsidRDefault="00B152B7" w:rsidP="00336385"/>
                    <w:p w:rsidR="00B152B7" w:rsidRDefault="00B152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894B9E" wp14:editId="68EF3831">
            <wp:extent cx="5943600" cy="3490481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0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Pr="001F0752" w:rsidRDefault="00B152B7" w:rsidP="0033638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004"/>
      </w:tblGrid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Dolutegravir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abacavir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/lamivudine</w:t>
            </w:r>
          </w:p>
        </w:tc>
      </w:tr>
      <w:tr w:rsidR="00B152B7" w:rsidRPr="0082425D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4004" w:type="dxa"/>
            <w:shd w:val="clear" w:color="auto" w:fill="auto"/>
          </w:tcPr>
          <w:p w:rsidR="00B152B7" w:rsidRPr="00CC320F" w:rsidRDefault="00B152B7" w:rsidP="002552C3">
            <w:pPr>
              <w:rPr>
                <w:noProof/>
                <w:sz w:val="18"/>
                <w:szCs w:val="18"/>
                <w:lang w:val="fr-FR"/>
              </w:rPr>
            </w:pPr>
            <w:proofErr w:type="spellStart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Atazanavir</w:t>
            </w:r>
            <w:proofErr w:type="spellEnd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proofErr w:type="spellStart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ritonavir</w:t>
            </w:r>
            <w:proofErr w:type="spellEnd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proofErr w:type="spellStart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emtricitabine</w:t>
            </w:r>
            <w:proofErr w:type="spellEnd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proofErr w:type="spellStart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tenofovir</w:t>
            </w:r>
            <w:proofErr w:type="spellEnd"/>
            <w:r w:rsidRPr="00CC320F">
              <w:rPr>
                <w:rFonts w:ascii="Arial" w:hAnsi="Arial" w:cs="Arial"/>
                <w:sz w:val="18"/>
                <w:szCs w:val="18"/>
                <w:lang w:val="fr-FR"/>
              </w:rPr>
              <w:t>/r</w:t>
            </w:r>
          </w:p>
        </w:tc>
      </w:tr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C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Darunavir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/ritonavir/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emtricitabine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tenofovir</w:t>
            </w:r>
            <w:proofErr w:type="spellEnd"/>
          </w:p>
        </w:tc>
      </w:tr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Dolutegravir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emtricitabine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tenofovir</w:t>
            </w:r>
            <w:proofErr w:type="spellEnd"/>
          </w:p>
        </w:tc>
      </w:tr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E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Efavirenz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emtricitabine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tenofovir</w:t>
            </w:r>
            <w:proofErr w:type="spellEnd"/>
          </w:p>
        </w:tc>
      </w:tr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F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Elvitegravir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cobicistat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emtricitabine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tenofovir</w:t>
            </w:r>
            <w:proofErr w:type="spellEnd"/>
          </w:p>
        </w:tc>
      </w:tr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G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Raltegravir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emtricitabine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tenofovir</w:t>
            </w:r>
            <w:proofErr w:type="spellEnd"/>
          </w:p>
        </w:tc>
      </w:tr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Rilpivirine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emtricitabine</w:t>
            </w:r>
            <w:proofErr w:type="spellEnd"/>
            <w:r w:rsidRPr="00527F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27F71">
              <w:rPr>
                <w:rFonts w:ascii="Arial" w:hAnsi="Arial" w:cs="Arial"/>
                <w:sz w:val="18"/>
                <w:szCs w:val="18"/>
              </w:rPr>
              <w:t>tenofovir</w:t>
            </w:r>
            <w:proofErr w:type="spellEnd"/>
          </w:p>
        </w:tc>
      </w:tr>
      <w:tr w:rsidR="00B152B7" w:rsidTr="002552C3">
        <w:tc>
          <w:tcPr>
            <w:tcW w:w="557" w:type="dxa"/>
          </w:tcPr>
          <w:p w:rsidR="00B152B7" w:rsidRDefault="00B152B7" w:rsidP="002552C3">
            <w:pPr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4004" w:type="dxa"/>
            <w:shd w:val="clear" w:color="auto" w:fill="auto"/>
          </w:tcPr>
          <w:p w:rsidR="00B152B7" w:rsidRPr="00527F71" w:rsidRDefault="00B152B7" w:rsidP="002552C3">
            <w:pPr>
              <w:rPr>
                <w:noProof/>
                <w:sz w:val="18"/>
                <w:szCs w:val="18"/>
              </w:rPr>
            </w:pPr>
            <w:r w:rsidRPr="00527F71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:rsidR="00B152B7" w:rsidRDefault="00B152B7" w:rsidP="00336385">
      <w:pPr>
        <w:rPr>
          <w:noProof/>
          <w:sz w:val="20"/>
          <w:szCs w:val="20"/>
        </w:rPr>
      </w:pPr>
    </w:p>
    <w:p w:rsidR="00B152B7" w:rsidRDefault="00B152B7" w:rsidP="00336385">
      <w:pPr>
        <w:rPr>
          <w:rFonts w:ascii="Times New Roman" w:hAnsi="Times New Roman"/>
          <w:sz w:val="24"/>
          <w:szCs w:val="24"/>
        </w:rPr>
      </w:pPr>
    </w:p>
    <w:p w:rsidR="00B152B7" w:rsidRDefault="00B152B7" w:rsidP="00336385">
      <w:pPr>
        <w:rPr>
          <w:rFonts w:ascii="Times New Roman" w:hAnsi="Times New Roman"/>
          <w:sz w:val="24"/>
          <w:szCs w:val="24"/>
        </w:rPr>
      </w:pPr>
    </w:p>
    <w:p w:rsidR="00B152B7" w:rsidRDefault="00B152B7" w:rsidP="00336385">
      <w:pPr>
        <w:rPr>
          <w:rFonts w:ascii="Times New Roman" w:hAnsi="Times New Roman"/>
          <w:sz w:val="24"/>
          <w:szCs w:val="24"/>
        </w:rPr>
      </w:pPr>
    </w:p>
    <w:p w:rsidR="00B152B7" w:rsidRDefault="00B152B7" w:rsidP="00336385">
      <w:pPr>
        <w:rPr>
          <w:rFonts w:ascii="Times New Roman" w:hAnsi="Times New Roman"/>
          <w:sz w:val="24"/>
          <w:szCs w:val="24"/>
        </w:rPr>
      </w:pPr>
    </w:p>
    <w:p w:rsidR="00B152B7" w:rsidRDefault="00B152B7" w:rsidP="00336385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 w:rsidP="000A1C91">
      <w:pPr>
        <w:rPr>
          <w:rFonts w:ascii="Times New Roman" w:hAnsi="Times New Roman"/>
          <w:sz w:val="24"/>
          <w:szCs w:val="24"/>
        </w:rPr>
      </w:pPr>
    </w:p>
    <w:p w:rsidR="00B152B7" w:rsidRDefault="00B152B7">
      <w:pPr>
        <w:rPr>
          <w:rFonts w:ascii="Times New Roman" w:hAnsi="Times New Roman"/>
          <w:sz w:val="24"/>
          <w:szCs w:val="24"/>
        </w:rPr>
      </w:pPr>
    </w:p>
    <w:p w:rsidR="00B152B7" w:rsidRPr="00756A9B" w:rsidRDefault="00B152B7" w:rsidP="00756A9B">
      <w:pPr>
        <w:pStyle w:val="EndNoteBibliography"/>
        <w:ind w:left="720" w:hanging="720"/>
      </w:pPr>
      <w:bookmarkStart w:id="1" w:name="_ENREF_1"/>
      <w:r w:rsidRPr="00756A9B">
        <w:t>1.</w:t>
      </w:r>
      <w:r w:rsidRPr="00756A9B">
        <w:tab/>
        <w:t xml:space="preserve">Lundgren, J.D., et al., </w:t>
      </w:r>
      <w:r w:rsidRPr="00756A9B">
        <w:rPr>
          <w:i/>
        </w:rPr>
        <w:t>Initiation of Antiretroviral Therapy in Early Asymptomatic HIV Infection.</w:t>
      </w:r>
      <w:r w:rsidRPr="00756A9B">
        <w:t xml:space="preserve"> N Engl J Med, 2015. </w:t>
      </w:r>
      <w:r w:rsidRPr="00756A9B">
        <w:rPr>
          <w:b/>
        </w:rPr>
        <w:t>373</w:t>
      </w:r>
      <w:r w:rsidRPr="00756A9B">
        <w:t>(9): p. 795-807.</w:t>
      </w:r>
      <w:bookmarkEnd w:id="1"/>
    </w:p>
    <w:p w:rsidR="00B152B7" w:rsidRPr="00756A9B" w:rsidRDefault="00B152B7" w:rsidP="00756A9B">
      <w:pPr>
        <w:pStyle w:val="EndNoteBibliography"/>
        <w:ind w:left="720" w:hanging="720"/>
      </w:pPr>
      <w:bookmarkStart w:id="2" w:name="_ENREF_2"/>
      <w:r w:rsidRPr="00756A9B">
        <w:t>2.</w:t>
      </w:r>
      <w:r w:rsidRPr="00756A9B">
        <w:tab/>
        <w:t xml:space="preserve">Cohen, M.S., et al., </w:t>
      </w:r>
      <w:r w:rsidRPr="00756A9B">
        <w:rPr>
          <w:i/>
        </w:rPr>
        <w:t>Antiretroviral Therapy for the Prevention of HIV-1 Transmission.</w:t>
      </w:r>
      <w:r w:rsidRPr="00756A9B">
        <w:t xml:space="preserve"> N Engl J Med, 2016.</w:t>
      </w:r>
      <w:bookmarkEnd w:id="2"/>
    </w:p>
    <w:p w:rsidR="00B152B7" w:rsidRPr="00756A9B" w:rsidRDefault="00B152B7" w:rsidP="00756A9B">
      <w:pPr>
        <w:pStyle w:val="EndNoteBibliography"/>
        <w:ind w:left="720" w:hanging="720"/>
        <w:rPr>
          <w:i/>
        </w:rPr>
      </w:pPr>
      <w:bookmarkStart w:id="3" w:name="_ENREF_3"/>
      <w:r w:rsidRPr="00756A9B">
        <w:t>3.</w:t>
      </w:r>
      <w:r w:rsidRPr="00756A9B">
        <w:tab/>
        <w:t xml:space="preserve">DHHS. </w:t>
      </w:r>
      <w:r w:rsidRPr="00756A9B">
        <w:rPr>
          <w:i/>
        </w:rPr>
        <w:t xml:space="preserve">Guidelines for the Use of Antiretroviral Agents in HIV-1-Infected Adults and Adolescents. </w:t>
      </w:r>
    </w:p>
    <w:p w:rsidR="00B152B7" w:rsidRPr="00756A9B" w:rsidRDefault="00B152B7" w:rsidP="00756A9B">
      <w:pPr>
        <w:pStyle w:val="EndNoteBibliography"/>
        <w:ind w:left="720" w:hanging="720"/>
      </w:pPr>
      <w:r w:rsidRPr="00756A9B">
        <w:t xml:space="preserve">.  [cited 2016 August 10]; Available from: </w:t>
      </w:r>
      <w:r w:rsidRPr="00B152B7">
        <w:t>http://aidsinfo.nih.gov/guidelines/html/1/adult-and-adolescent-arv-guidelines/0</w:t>
      </w:r>
      <w:r w:rsidRPr="00756A9B">
        <w:t>.</w:t>
      </w:r>
      <w:bookmarkEnd w:id="3"/>
    </w:p>
    <w:p w:rsidR="00B152B7" w:rsidRPr="00756A9B" w:rsidRDefault="00B152B7" w:rsidP="00756A9B">
      <w:pPr>
        <w:pStyle w:val="EndNoteBibliography"/>
        <w:ind w:left="720" w:hanging="720"/>
      </w:pPr>
      <w:bookmarkStart w:id="4" w:name="_ENREF_4"/>
      <w:r w:rsidRPr="00756A9B">
        <w:t>4.</w:t>
      </w:r>
      <w:r w:rsidRPr="00756A9B">
        <w:tab/>
        <w:t xml:space="preserve">Gunthard, H.F., et al., </w:t>
      </w:r>
      <w:r w:rsidRPr="00756A9B">
        <w:rPr>
          <w:i/>
        </w:rPr>
        <w:t>Antiretroviral Drugs for Treatment and Prevention of HIV Infection in Adults: 2016 Recommendations of the International Antiviral Society-USA Panel.</w:t>
      </w:r>
      <w:r w:rsidRPr="00756A9B">
        <w:t xml:space="preserve"> Jama, 2016. </w:t>
      </w:r>
      <w:r w:rsidRPr="00756A9B">
        <w:rPr>
          <w:b/>
        </w:rPr>
        <w:t>316</w:t>
      </w:r>
      <w:r w:rsidRPr="00756A9B">
        <w:t>(2): p. 191-210.</w:t>
      </w:r>
      <w:bookmarkEnd w:id="4"/>
    </w:p>
    <w:p w:rsidR="00B152B7" w:rsidRPr="00756A9B" w:rsidRDefault="00B152B7" w:rsidP="00756A9B">
      <w:pPr>
        <w:pStyle w:val="EndNoteBibliography"/>
        <w:ind w:left="720" w:hanging="720"/>
      </w:pPr>
      <w:bookmarkStart w:id="5" w:name="_ENREF_5"/>
      <w:r w:rsidRPr="00756A9B">
        <w:t>5.</w:t>
      </w:r>
      <w:r w:rsidRPr="00756A9B">
        <w:tab/>
        <w:t xml:space="preserve">Clotet, B., et al., </w:t>
      </w:r>
      <w:r w:rsidRPr="00756A9B">
        <w:rPr>
          <w:i/>
        </w:rPr>
        <w:t>Once-daily dolutegravir versus darunavir plus ritonavir in antiretroviral-naive adults with HIV-1 infection (FLAMINGO): 48 week results from the randomised open-label phase 3b study.</w:t>
      </w:r>
      <w:r w:rsidRPr="00756A9B">
        <w:t xml:space="preserve"> Lancet, 2014. </w:t>
      </w:r>
      <w:r w:rsidRPr="00756A9B">
        <w:rPr>
          <w:b/>
        </w:rPr>
        <w:t>383</w:t>
      </w:r>
      <w:r w:rsidRPr="00756A9B">
        <w:t>(9936): p. 2222-31.</w:t>
      </w:r>
      <w:bookmarkEnd w:id="5"/>
    </w:p>
    <w:p w:rsidR="00B152B7" w:rsidRPr="00756A9B" w:rsidRDefault="00B152B7" w:rsidP="00756A9B">
      <w:pPr>
        <w:pStyle w:val="EndNoteBibliography"/>
        <w:ind w:left="720" w:hanging="720"/>
      </w:pPr>
      <w:bookmarkStart w:id="6" w:name="_ENREF_6"/>
      <w:r w:rsidRPr="00756A9B">
        <w:t>6.</w:t>
      </w:r>
      <w:r w:rsidRPr="00756A9B">
        <w:tab/>
        <w:t xml:space="preserve">Walmsley, S.L., et al., </w:t>
      </w:r>
      <w:r w:rsidRPr="00756A9B">
        <w:rPr>
          <w:i/>
        </w:rPr>
        <w:t>Dolutegravir plus abacavir-lamivudine for the treatment of HIV-1 infection.</w:t>
      </w:r>
      <w:r w:rsidRPr="00756A9B">
        <w:t xml:space="preserve"> N Engl J Med, 2013. </w:t>
      </w:r>
      <w:r w:rsidRPr="00756A9B">
        <w:rPr>
          <w:b/>
        </w:rPr>
        <w:t>369</w:t>
      </w:r>
      <w:r w:rsidRPr="00756A9B">
        <w:t>(19): p. 1807-18.</w:t>
      </w:r>
      <w:bookmarkEnd w:id="6"/>
    </w:p>
    <w:p w:rsidR="00B152B7" w:rsidRPr="00756A9B" w:rsidRDefault="00B152B7" w:rsidP="00756A9B">
      <w:pPr>
        <w:pStyle w:val="EndNoteBibliography"/>
        <w:ind w:left="720" w:hanging="720"/>
      </w:pPr>
      <w:bookmarkStart w:id="7" w:name="_ENREF_7"/>
      <w:r w:rsidRPr="00756A9B">
        <w:t>7.</w:t>
      </w:r>
      <w:r w:rsidRPr="00756A9B">
        <w:tab/>
        <w:t xml:space="preserve">Sax, P.E., et al., </w:t>
      </w:r>
      <w:r w:rsidRPr="00756A9B">
        <w:rPr>
          <w:i/>
        </w:rPr>
        <w:t>Tenofovir alafenamide versus tenofovir disoproxil fumarate, coformulated with elvitegravir, cobicistat, and emtricitabine, for initial treatment of HIV-1 infection: two randomised, double-blind, phase 3, non-inferiority trials.</w:t>
      </w:r>
      <w:r w:rsidRPr="00756A9B">
        <w:t xml:space="preserve"> Lancet, 2015. </w:t>
      </w:r>
      <w:r w:rsidRPr="00756A9B">
        <w:rPr>
          <w:b/>
        </w:rPr>
        <w:t>385</w:t>
      </w:r>
      <w:r w:rsidRPr="00756A9B">
        <w:t>(9987): p. 2606-15.</w:t>
      </w:r>
      <w:bookmarkEnd w:id="7"/>
    </w:p>
    <w:p w:rsidR="00B152B7" w:rsidRPr="00756A9B" w:rsidRDefault="00B152B7" w:rsidP="00756A9B">
      <w:pPr>
        <w:pStyle w:val="EndNoteBibliography"/>
        <w:ind w:left="720" w:hanging="720"/>
      </w:pPr>
      <w:bookmarkStart w:id="8" w:name="_ENREF_8"/>
      <w:r w:rsidRPr="00756A9B">
        <w:t>8.</w:t>
      </w:r>
      <w:r w:rsidRPr="00756A9B">
        <w:tab/>
        <w:t xml:space="preserve">Stellbrink, H.J., et al., </w:t>
      </w:r>
      <w:r w:rsidRPr="00756A9B">
        <w:rPr>
          <w:i/>
        </w:rPr>
        <w:t>Comparison of changes in bone density and turnover with abacavir-lamivudine versus tenofovir-emtricitabine in HIV-infected adults: 48-week results from the ASSERT study.</w:t>
      </w:r>
      <w:r w:rsidRPr="00756A9B">
        <w:t xml:space="preserve"> Clin Infect Dis, 2010. </w:t>
      </w:r>
      <w:r w:rsidRPr="00756A9B">
        <w:rPr>
          <w:b/>
        </w:rPr>
        <w:t>51</w:t>
      </w:r>
      <w:r w:rsidRPr="00756A9B">
        <w:t>(8): p. 963-72.</w:t>
      </w:r>
      <w:bookmarkEnd w:id="8"/>
    </w:p>
    <w:p w:rsidR="00B152B7" w:rsidRPr="00756A9B" w:rsidRDefault="00B152B7" w:rsidP="00756A9B">
      <w:pPr>
        <w:pStyle w:val="EndNoteBibliography"/>
        <w:ind w:left="720" w:hanging="720"/>
      </w:pPr>
      <w:bookmarkStart w:id="9" w:name="_ENREF_9"/>
      <w:r w:rsidRPr="00756A9B">
        <w:t>9.</w:t>
      </w:r>
      <w:r w:rsidRPr="00756A9B">
        <w:tab/>
        <w:t xml:space="preserve">Wohl, D., et al., </w:t>
      </w:r>
      <w:r w:rsidRPr="00756A9B">
        <w:rPr>
          <w:i/>
        </w:rPr>
        <w:t>Brief Report: A Randomized, Double-Blind Comparison of Tenofovir Alafenamide Versus Tenofovir Disoproxil Fumarate, Each Coformulated With Elvitegravir, Cobicistat, and Emtricitabine for Initial HIV-1 Treatment: Week 96 Results.</w:t>
      </w:r>
      <w:r w:rsidRPr="00756A9B">
        <w:t xml:space="preserve"> J Acquir Immune Defic Syndr, 2016. </w:t>
      </w:r>
      <w:r w:rsidRPr="00756A9B">
        <w:rPr>
          <w:b/>
        </w:rPr>
        <w:t>72</w:t>
      </w:r>
      <w:r w:rsidRPr="00756A9B">
        <w:t>(1): p. 58-64.</w:t>
      </w:r>
      <w:bookmarkEnd w:id="9"/>
    </w:p>
    <w:p w:rsidR="00B152B7" w:rsidRPr="00756A9B" w:rsidRDefault="00B152B7" w:rsidP="00756A9B">
      <w:pPr>
        <w:pStyle w:val="EndNoteBibliography"/>
        <w:ind w:left="720" w:hanging="720"/>
      </w:pPr>
      <w:bookmarkStart w:id="10" w:name="_ENREF_10"/>
      <w:r w:rsidRPr="00756A9B">
        <w:t>10.</w:t>
      </w:r>
      <w:r w:rsidRPr="00756A9B">
        <w:tab/>
        <w:t xml:space="preserve">Castillo-Mancilla, J.R., et al., </w:t>
      </w:r>
      <w:r w:rsidRPr="00756A9B">
        <w:rPr>
          <w:i/>
        </w:rPr>
        <w:t>Minorities remain underrepresented in HIV/AIDS research despite access to clinical trials.</w:t>
      </w:r>
      <w:r w:rsidRPr="00756A9B">
        <w:t xml:space="preserve"> HIV Clin Trials, 2014. </w:t>
      </w:r>
      <w:r w:rsidRPr="00756A9B">
        <w:rPr>
          <w:b/>
        </w:rPr>
        <w:t>15</w:t>
      </w:r>
      <w:r w:rsidRPr="00756A9B">
        <w:t>(1): p. 14-26.</w:t>
      </w:r>
      <w:bookmarkEnd w:id="10"/>
    </w:p>
    <w:p w:rsidR="00B152B7" w:rsidRPr="00756A9B" w:rsidRDefault="00B152B7" w:rsidP="00756A9B">
      <w:pPr>
        <w:pStyle w:val="EndNoteBibliography"/>
        <w:ind w:left="720" w:hanging="720"/>
      </w:pPr>
      <w:bookmarkStart w:id="11" w:name="_ENREF_11"/>
      <w:r w:rsidRPr="00756A9B">
        <w:t>11.</w:t>
      </w:r>
      <w:r w:rsidRPr="00756A9B">
        <w:tab/>
        <w:t xml:space="preserve">Nieuwkerk, P.T., et al., </w:t>
      </w:r>
      <w:r w:rsidRPr="00756A9B">
        <w:rPr>
          <w:i/>
        </w:rPr>
        <w:t>LImited patient adherence to highly active antiretroviral therapy for hiv-1 infection in an observational cohort study.</w:t>
      </w:r>
      <w:r w:rsidRPr="00756A9B">
        <w:t xml:space="preserve"> Archives of Internal Medicine, 2001. </w:t>
      </w:r>
      <w:r w:rsidRPr="00756A9B">
        <w:rPr>
          <w:b/>
        </w:rPr>
        <w:t>161</w:t>
      </w:r>
      <w:r w:rsidRPr="00756A9B">
        <w:t>(16): p. 1962-1968.</w:t>
      </w:r>
      <w:bookmarkEnd w:id="11"/>
    </w:p>
    <w:p w:rsidR="00B152B7" w:rsidRPr="00756A9B" w:rsidRDefault="00B152B7" w:rsidP="00756A9B">
      <w:pPr>
        <w:pStyle w:val="EndNoteBibliography"/>
        <w:ind w:left="720" w:hanging="720"/>
      </w:pPr>
      <w:bookmarkStart w:id="12" w:name="_ENREF_12"/>
      <w:r w:rsidRPr="00756A9B">
        <w:t>12.</w:t>
      </w:r>
      <w:r w:rsidRPr="00756A9B">
        <w:tab/>
        <w:t xml:space="preserve">Al-Dakkak, I., et al., </w:t>
      </w:r>
      <w:r w:rsidRPr="00756A9B">
        <w:rPr>
          <w:i/>
        </w:rPr>
        <w:t>The impact of specific HIV treatment-related adverse events on adherence to antiretroviral therapy: a systematic review and meta-analysis.</w:t>
      </w:r>
      <w:r w:rsidRPr="00756A9B">
        <w:t xml:space="preserve"> AIDS Care, 2013. </w:t>
      </w:r>
      <w:r w:rsidRPr="00756A9B">
        <w:rPr>
          <w:b/>
        </w:rPr>
        <w:t>25</w:t>
      </w:r>
      <w:r w:rsidRPr="00756A9B">
        <w:t>(4): p. 400-14.</w:t>
      </w:r>
      <w:bookmarkEnd w:id="12"/>
    </w:p>
    <w:p w:rsidR="00B152B7" w:rsidRPr="00756A9B" w:rsidRDefault="00B152B7" w:rsidP="00756A9B">
      <w:pPr>
        <w:pStyle w:val="EndNoteBibliography"/>
        <w:ind w:left="720" w:hanging="720"/>
      </w:pPr>
      <w:bookmarkStart w:id="13" w:name="_ENREF_13"/>
      <w:r w:rsidRPr="00756A9B">
        <w:t>13.</w:t>
      </w:r>
      <w:r w:rsidRPr="00756A9B">
        <w:tab/>
        <w:t xml:space="preserve">Eaton, E.F., et al., </w:t>
      </w:r>
      <w:r w:rsidRPr="00756A9B">
        <w:rPr>
          <w:i/>
        </w:rPr>
        <w:t>Unanticipated effects of new drug availability on antiretroviral durability: Implications for Comparative Effectiveness Research</w:t>
      </w:r>
      <w:r w:rsidRPr="00756A9B">
        <w:t xml:space="preserve">. 2016: Open Forum Infectious Diseases </w:t>
      </w:r>
      <w:bookmarkEnd w:id="13"/>
    </w:p>
    <w:p w:rsidR="00B152B7" w:rsidRPr="00756A9B" w:rsidRDefault="00B152B7" w:rsidP="00756A9B">
      <w:pPr>
        <w:pStyle w:val="EndNoteBibliography"/>
        <w:ind w:left="720" w:hanging="720"/>
      </w:pPr>
      <w:bookmarkStart w:id="14" w:name="_ENREF_14"/>
      <w:r w:rsidRPr="00756A9B">
        <w:t>14.</w:t>
      </w:r>
      <w:r w:rsidRPr="00756A9B">
        <w:tab/>
        <w:t xml:space="preserve">Sheth, A.N., et al., </w:t>
      </w:r>
      <w:r w:rsidRPr="00756A9B">
        <w:rPr>
          <w:i/>
        </w:rPr>
        <w:t>Antiretroviral regimen durability and success in treatment-naive and treatment-experienced patients by year of treatment initiation, United States, 1996-2011.</w:t>
      </w:r>
      <w:r w:rsidRPr="00756A9B">
        <w:t xml:space="preserve"> J Acquir Immune Defic Syndr, 2015.</w:t>
      </w:r>
      <w:bookmarkEnd w:id="14"/>
    </w:p>
    <w:p w:rsidR="00B152B7" w:rsidRPr="00756A9B" w:rsidRDefault="00B152B7" w:rsidP="00756A9B">
      <w:pPr>
        <w:pStyle w:val="EndNoteBibliography"/>
        <w:ind w:left="720" w:hanging="720"/>
      </w:pPr>
      <w:bookmarkStart w:id="15" w:name="_ENREF_15"/>
      <w:r w:rsidRPr="00756A9B">
        <w:t>15.</w:t>
      </w:r>
      <w:r w:rsidRPr="00756A9B">
        <w:tab/>
        <w:t xml:space="preserve">Slama, L., et al., </w:t>
      </w:r>
      <w:r w:rsidRPr="00756A9B">
        <w:rPr>
          <w:i/>
        </w:rPr>
        <w:t>Increases in duration of first highly active antiretroviral therapy over time (1996-2009) and associated factors in the Multicenter AIDS Cohort Study.</w:t>
      </w:r>
      <w:r w:rsidRPr="00756A9B">
        <w:t xml:space="preserve"> J Acquir Immune Defic Syndr, 2014. </w:t>
      </w:r>
      <w:r w:rsidRPr="00756A9B">
        <w:rPr>
          <w:b/>
        </w:rPr>
        <w:t>65</w:t>
      </w:r>
      <w:r w:rsidRPr="00756A9B">
        <w:t>(1): p. 57-64.</w:t>
      </w:r>
      <w:bookmarkEnd w:id="15"/>
    </w:p>
    <w:p w:rsidR="00B152B7" w:rsidRPr="00756A9B" w:rsidRDefault="00B152B7" w:rsidP="00756A9B">
      <w:pPr>
        <w:pStyle w:val="EndNoteBibliography"/>
        <w:ind w:left="720" w:hanging="720"/>
      </w:pPr>
      <w:bookmarkStart w:id="16" w:name="_ENREF_16"/>
      <w:r w:rsidRPr="00756A9B">
        <w:t>16.</w:t>
      </w:r>
      <w:r w:rsidRPr="00756A9B">
        <w:tab/>
        <w:t xml:space="preserve">Di Biagio, A., et al., </w:t>
      </w:r>
      <w:r w:rsidRPr="00756A9B">
        <w:rPr>
          <w:i/>
        </w:rPr>
        <w:t>Discontinuation of Initial Antiretroviral Therapy in Clinical Practice: Moving Toward Individualized Therapy.</w:t>
      </w:r>
      <w:r w:rsidRPr="00756A9B">
        <w:t xml:space="preserve"> J Acquir Immune Defic Syndr, 2016. </w:t>
      </w:r>
      <w:r w:rsidRPr="00756A9B">
        <w:rPr>
          <w:b/>
        </w:rPr>
        <w:t>71</w:t>
      </w:r>
      <w:r w:rsidRPr="00756A9B">
        <w:t>(3): p. 263-71.</w:t>
      </w:r>
      <w:bookmarkEnd w:id="16"/>
    </w:p>
    <w:p w:rsidR="00B152B7" w:rsidRPr="00756A9B" w:rsidRDefault="00B152B7" w:rsidP="00756A9B">
      <w:pPr>
        <w:pStyle w:val="EndNoteBibliography"/>
        <w:ind w:left="720" w:hanging="720"/>
      </w:pPr>
      <w:bookmarkStart w:id="17" w:name="_ENREF_17"/>
      <w:r w:rsidRPr="00756A9B">
        <w:t>17.</w:t>
      </w:r>
      <w:r w:rsidRPr="00756A9B">
        <w:tab/>
        <w:t xml:space="preserve">Kitahata, M.M., et al., </w:t>
      </w:r>
      <w:r w:rsidRPr="00756A9B">
        <w:rPr>
          <w:i/>
        </w:rPr>
        <w:t>Cohort profile: the Centers for AIDS Research Network of Integrated Clinical Systems.</w:t>
      </w:r>
      <w:r w:rsidRPr="00756A9B">
        <w:t xml:space="preserve"> Int J Epidemiol, 2008. </w:t>
      </w:r>
      <w:r w:rsidRPr="00756A9B">
        <w:rPr>
          <w:b/>
        </w:rPr>
        <w:t>37</w:t>
      </w:r>
      <w:r w:rsidRPr="00756A9B">
        <w:t>(5): p. 948-55.</w:t>
      </w:r>
      <w:bookmarkEnd w:id="17"/>
    </w:p>
    <w:p w:rsidR="00B152B7" w:rsidRPr="00756A9B" w:rsidRDefault="00B152B7" w:rsidP="00756A9B">
      <w:pPr>
        <w:pStyle w:val="EndNoteBibliography"/>
        <w:ind w:left="720" w:hanging="720"/>
      </w:pPr>
      <w:bookmarkStart w:id="18" w:name="_ENREF_18"/>
      <w:r w:rsidRPr="00756A9B">
        <w:t>18.</w:t>
      </w:r>
      <w:r w:rsidRPr="00756A9B">
        <w:tab/>
        <w:t xml:space="preserve">Markowitz, M., et al., </w:t>
      </w:r>
      <w:r w:rsidRPr="00756A9B">
        <w:rPr>
          <w:i/>
        </w:rPr>
        <w:t>Rapid and durable antiretroviral effect of the HIV-1 Integrase inhibitor raltegravir as part of combination therapy in treatment-naive patients with HIV-1 infection: results of a 48-week controlled study.</w:t>
      </w:r>
      <w:r w:rsidRPr="00756A9B">
        <w:t xml:space="preserve"> J Acquir Immune Defic Syndr, 2007. </w:t>
      </w:r>
      <w:r w:rsidRPr="00756A9B">
        <w:rPr>
          <w:b/>
        </w:rPr>
        <w:t>46</w:t>
      </w:r>
      <w:r w:rsidRPr="00756A9B">
        <w:t>(2): p. 125-33.</w:t>
      </w:r>
      <w:bookmarkEnd w:id="18"/>
    </w:p>
    <w:p w:rsidR="00B152B7" w:rsidRPr="00756A9B" w:rsidRDefault="00B152B7" w:rsidP="00756A9B">
      <w:pPr>
        <w:pStyle w:val="EndNoteBibliography"/>
        <w:ind w:left="720" w:hanging="720"/>
      </w:pPr>
      <w:bookmarkStart w:id="19" w:name="_ENREF_19"/>
      <w:r w:rsidRPr="00756A9B">
        <w:t>19.</w:t>
      </w:r>
      <w:r w:rsidRPr="00756A9B">
        <w:tab/>
        <w:t xml:space="preserve">Arribas, J.R., et al., </w:t>
      </w:r>
      <w:r w:rsidRPr="00756A9B">
        <w:rPr>
          <w:i/>
        </w:rPr>
        <w:t>The MONET trial: week 144 analysis of the efficacy of darunavir/ritonavir (DRV/r) monotherapy versus DRV/r plus two nucleoside reverse transcriptase inhibitors, for patients with viral load &lt; 50 HIV-1 RNA copies/mL at baseline.</w:t>
      </w:r>
      <w:r w:rsidRPr="00756A9B">
        <w:t xml:space="preserve"> HIV Med, 2012. </w:t>
      </w:r>
      <w:r w:rsidRPr="00756A9B">
        <w:rPr>
          <w:b/>
        </w:rPr>
        <w:t>13</w:t>
      </w:r>
      <w:r w:rsidRPr="00756A9B">
        <w:t>(7): p. 398-405.</w:t>
      </w:r>
      <w:bookmarkEnd w:id="19"/>
    </w:p>
    <w:p w:rsidR="00B152B7" w:rsidRPr="00756A9B" w:rsidRDefault="00B152B7" w:rsidP="00756A9B">
      <w:pPr>
        <w:pStyle w:val="EndNoteBibliography"/>
        <w:ind w:left="720" w:hanging="720"/>
      </w:pPr>
      <w:bookmarkStart w:id="20" w:name="_ENREF_20"/>
      <w:r w:rsidRPr="00756A9B">
        <w:t>20.</w:t>
      </w:r>
      <w:r w:rsidRPr="00756A9B">
        <w:tab/>
        <w:t xml:space="preserve">McKinnell, J.A., et al., </w:t>
      </w:r>
      <w:r w:rsidRPr="00756A9B">
        <w:rPr>
          <w:i/>
        </w:rPr>
        <w:t>Antiretroviral prescribing patterns in treatment-naive patients in the United States.</w:t>
      </w:r>
      <w:r w:rsidRPr="00756A9B">
        <w:t xml:space="preserve"> AIDS Patient Care STDS, 2010. </w:t>
      </w:r>
      <w:r w:rsidRPr="00756A9B">
        <w:rPr>
          <w:b/>
        </w:rPr>
        <w:t>24</w:t>
      </w:r>
      <w:r w:rsidRPr="00756A9B">
        <w:t>(2): p. 79-85.</w:t>
      </w:r>
      <w:bookmarkEnd w:id="20"/>
    </w:p>
    <w:p w:rsidR="00B152B7" w:rsidRPr="00756A9B" w:rsidRDefault="00B152B7" w:rsidP="00756A9B">
      <w:pPr>
        <w:pStyle w:val="EndNoteBibliography"/>
        <w:ind w:left="720" w:hanging="720"/>
      </w:pPr>
      <w:bookmarkStart w:id="21" w:name="_ENREF_21"/>
      <w:r w:rsidRPr="00756A9B">
        <w:t>21.</w:t>
      </w:r>
      <w:r w:rsidRPr="00756A9B">
        <w:tab/>
        <w:t xml:space="preserve">Cotte, L., et al., </w:t>
      </w:r>
      <w:r w:rsidRPr="00756A9B">
        <w:rPr>
          <w:i/>
        </w:rPr>
        <w:t>Effectiveness and tolerance of single tablet versus once daily multiple tablet regimens as first-line antiretroviral therapy - Results from a large french multicenter cohort study.</w:t>
      </w:r>
      <w:r w:rsidRPr="00756A9B">
        <w:t xml:space="preserve"> PLoS One, 2017. </w:t>
      </w:r>
      <w:r w:rsidRPr="00756A9B">
        <w:rPr>
          <w:b/>
        </w:rPr>
        <w:t>12</w:t>
      </w:r>
      <w:r w:rsidRPr="00756A9B">
        <w:t>(2): p. e0170661.</w:t>
      </w:r>
      <w:bookmarkEnd w:id="21"/>
    </w:p>
    <w:p w:rsidR="00B152B7" w:rsidRPr="00756A9B" w:rsidRDefault="00B152B7" w:rsidP="00756A9B">
      <w:pPr>
        <w:pStyle w:val="EndNoteBibliography"/>
        <w:ind w:left="720" w:hanging="720"/>
      </w:pPr>
      <w:bookmarkStart w:id="22" w:name="_ENREF_22"/>
      <w:r w:rsidRPr="00756A9B">
        <w:t>22.</w:t>
      </w:r>
      <w:r w:rsidRPr="00756A9B">
        <w:tab/>
        <w:t xml:space="preserve">Robison, L.S., et al., </w:t>
      </w:r>
      <w:r w:rsidRPr="00756A9B">
        <w:rPr>
          <w:i/>
        </w:rPr>
        <w:t>Short-term discontinuation of HAART regimens more common in vulnerable patient populations.</w:t>
      </w:r>
      <w:r w:rsidRPr="00756A9B">
        <w:t xml:space="preserve"> AIDS Res Hum Retroviruses, 2008. </w:t>
      </w:r>
      <w:r w:rsidRPr="00756A9B">
        <w:rPr>
          <w:b/>
        </w:rPr>
        <w:t>24</w:t>
      </w:r>
      <w:r w:rsidRPr="00756A9B">
        <w:t>(11): p. 1347-55.</w:t>
      </w:r>
      <w:bookmarkEnd w:id="22"/>
    </w:p>
    <w:p w:rsidR="00B152B7" w:rsidRPr="00756A9B" w:rsidRDefault="00B152B7" w:rsidP="00756A9B">
      <w:pPr>
        <w:pStyle w:val="EndNoteBibliography"/>
        <w:ind w:left="720" w:hanging="720"/>
      </w:pPr>
      <w:bookmarkStart w:id="23" w:name="_ENREF_23"/>
      <w:r w:rsidRPr="00756A9B">
        <w:t>23.</w:t>
      </w:r>
      <w:r w:rsidRPr="00756A9B">
        <w:tab/>
        <w:t xml:space="preserve">Hughes, A.J., et al., </w:t>
      </w:r>
      <w:r w:rsidRPr="00756A9B">
        <w:rPr>
          <w:i/>
        </w:rPr>
        <w:t>Discontinuation of antiretroviral therapy among adults receiving HIV care in the United States.</w:t>
      </w:r>
      <w:r w:rsidRPr="00756A9B">
        <w:t xml:space="preserve"> J Acquir Immune Defic Syndr, 2014. </w:t>
      </w:r>
      <w:r w:rsidRPr="00756A9B">
        <w:rPr>
          <w:b/>
        </w:rPr>
        <w:t>66</w:t>
      </w:r>
      <w:r w:rsidRPr="00756A9B">
        <w:t>(1): p. 80-9.</w:t>
      </w:r>
      <w:bookmarkEnd w:id="23"/>
    </w:p>
    <w:p w:rsidR="00B152B7" w:rsidRPr="00756A9B" w:rsidRDefault="00B152B7" w:rsidP="00756A9B">
      <w:pPr>
        <w:pStyle w:val="EndNoteBibliography"/>
        <w:ind w:left="720" w:hanging="720"/>
      </w:pPr>
      <w:bookmarkStart w:id="24" w:name="_ENREF_24"/>
      <w:r w:rsidRPr="00756A9B">
        <w:t>24.</w:t>
      </w:r>
      <w:r w:rsidRPr="00756A9B">
        <w:tab/>
        <w:t xml:space="preserve">Centers for Disease Control and Prevention. </w:t>
      </w:r>
      <w:r w:rsidRPr="00756A9B">
        <w:rPr>
          <w:i/>
        </w:rPr>
        <w:t>Reportable STDs in Young People 15-24 Years of Age, by State</w:t>
      </w:r>
      <w:r w:rsidRPr="00756A9B">
        <w:t xml:space="preserve">. 2013; Available from: </w:t>
      </w:r>
      <w:r w:rsidRPr="00B152B7">
        <w:t>https://www.cdc.gov/std/stats/by-age/15-24-all-stds/default.htm</w:t>
      </w:r>
      <w:r w:rsidRPr="00756A9B">
        <w:t>.</w:t>
      </w:r>
      <w:bookmarkEnd w:id="24"/>
    </w:p>
    <w:p w:rsidR="00B152B7" w:rsidRPr="00756A9B" w:rsidRDefault="00B152B7" w:rsidP="00756A9B">
      <w:pPr>
        <w:pStyle w:val="EndNoteBibliography"/>
        <w:ind w:left="720" w:hanging="720"/>
      </w:pPr>
      <w:bookmarkStart w:id="25" w:name="_ENREF_25"/>
      <w:r w:rsidRPr="00756A9B">
        <w:t>25.</w:t>
      </w:r>
      <w:r w:rsidRPr="00756A9B">
        <w:tab/>
        <w:t xml:space="preserve">The Centers for Disease Control. </w:t>
      </w:r>
      <w:r w:rsidRPr="00756A9B">
        <w:rPr>
          <w:i/>
        </w:rPr>
        <w:t>HIV in the United States: At A Glance</w:t>
      </w:r>
      <w:r w:rsidRPr="00756A9B">
        <w:t xml:space="preserve">. July 2015 [cited 2016 February 26]; Available from: </w:t>
      </w:r>
      <w:r w:rsidRPr="00B152B7">
        <w:t>http://www.cdc.gov/hiv/pdf/statistics_basics_ataglance_factsheet.pdf</w:t>
      </w:r>
      <w:r w:rsidRPr="00756A9B">
        <w:t>.</w:t>
      </w:r>
      <w:bookmarkEnd w:id="25"/>
    </w:p>
    <w:p w:rsidR="00B152B7" w:rsidRPr="002751DC" w:rsidRDefault="00B152B7">
      <w:pPr>
        <w:rPr>
          <w:rFonts w:ascii="Times New Roman" w:hAnsi="Times New Roman"/>
          <w:sz w:val="24"/>
          <w:szCs w:val="24"/>
        </w:rPr>
      </w:pPr>
    </w:p>
    <w:p w:rsidR="00F80814" w:rsidRDefault="00F80814"/>
    <w:sectPr w:rsidR="00F80814" w:rsidSect="005A3D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7F64">
      <w:r>
        <w:separator/>
      </w:r>
    </w:p>
  </w:endnote>
  <w:endnote w:type="continuationSeparator" w:id="0">
    <w:p w:rsidR="00000000" w:rsidRDefault="001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7B31C6" w:rsidRDefault="00B152B7">
        <w:pPr>
          <w:pStyle w:val="Footer"/>
        </w:pPr>
        <w:r>
          <w:t>[Type here]</w:t>
        </w:r>
      </w:p>
    </w:sdtContent>
  </w:sdt>
  <w:p w:rsidR="007B31C6" w:rsidRDefault="001E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7F64">
      <w:r>
        <w:separator/>
      </w:r>
    </w:p>
  </w:footnote>
  <w:footnote w:type="continuationSeparator" w:id="0">
    <w:p w:rsidR="00000000" w:rsidRDefault="001E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1A93"/>
    <w:multiLevelType w:val="hybridMultilevel"/>
    <w:tmpl w:val="C4A6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5AE3"/>
    <w:multiLevelType w:val="multilevel"/>
    <w:tmpl w:val="F7C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F74BE"/>
    <w:multiLevelType w:val="hybridMultilevel"/>
    <w:tmpl w:val="7910FDCE"/>
    <w:lvl w:ilvl="0" w:tplc="EE2C9DA0">
      <w:start w:val="10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3C66"/>
    <w:multiLevelType w:val="hybridMultilevel"/>
    <w:tmpl w:val="A0B0EDEE"/>
    <w:lvl w:ilvl="0" w:tplc="937EE67C">
      <w:start w:val="10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5E00"/>
    <w:multiLevelType w:val="hybridMultilevel"/>
    <w:tmpl w:val="5A6A2AC4"/>
    <w:lvl w:ilvl="0" w:tplc="7248B9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152B7"/>
    <w:rsid w:val="001E7F64"/>
    <w:rsid w:val="006C78BE"/>
    <w:rsid w:val="00B152B7"/>
    <w:rsid w:val="00F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1110D-C5F7-460A-9EB3-313F320F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B7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152B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2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semiHidden/>
    <w:rsid w:val="00B152B7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B152B7"/>
    <w:rPr>
      <w:rFonts w:ascii="Lucida Grande" w:eastAsiaTheme="minorEastAsia" w:hAnsi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B1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2B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B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152B7"/>
    <w:pPr>
      <w:spacing w:after="0" w:line="240" w:lineRule="auto"/>
    </w:pPr>
    <w:rPr>
      <w:rFonts w:ascii="Calibri" w:eastAsia="Calibri" w:hAnsi="Calibri" w:cs="Times New Roman"/>
    </w:rPr>
  </w:style>
  <w:style w:type="paragraph" w:styleId="HTMLAddress">
    <w:name w:val="HTML Address"/>
    <w:basedOn w:val="Normal"/>
    <w:link w:val="HTMLAddressChar"/>
    <w:uiPriority w:val="99"/>
    <w:unhideWhenUsed/>
    <w:rsid w:val="00B152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B152B7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B152B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152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52B7"/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B152B7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52B7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152B7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152B7"/>
    <w:rPr>
      <w:rFonts w:ascii="Calibri" w:eastAsia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B152B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B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152B7"/>
  </w:style>
  <w:style w:type="paragraph" w:styleId="Revision">
    <w:name w:val="Revision"/>
    <w:hidden/>
    <w:uiPriority w:val="99"/>
    <w:semiHidden/>
    <w:rsid w:val="00B152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B1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Ellen F</dc:creator>
  <cp:keywords/>
  <dc:description/>
  <cp:lastModifiedBy>Eaton, Ellen F</cp:lastModifiedBy>
  <cp:revision>2</cp:revision>
  <dcterms:created xsi:type="dcterms:W3CDTF">2017-06-24T17:46:00Z</dcterms:created>
  <dcterms:modified xsi:type="dcterms:W3CDTF">2017-06-24T17:46:00Z</dcterms:modified>
</cp:coreProperties>
</file>