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C" w:rsidRDefault="006450AC">
      <w:pPr>
        <w:framePr w:wrap="auto" w:yAlign="inline"/>
        <w:rPr>
          <w:rFonts w:ascii="Arial" w:eastAsia="SimSun" w:hAnsi="Arial"/>
        </w:rPr>
      </w:pPr>
      <w:bookmarkStart w:id="0" w:name="_GoBack"/>
      <w:bookmarkEnd w:id="0"/>
      <w:r>
        <w:rPr>
          <w:rFonts w:ascii="Arial" w:eastAsia="SimSun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upplementary </w:t>
      </w:r>
      <w:r>
        <w:rPr>
          <w:rFonts w:ascii="Arial" w:eastAsia="SimSun" w:hAnsi="Arial" w:cs="Arial"/>
          <w:color w:val="auto"/>
        </w:rPr>
        <w:t>results</w:t>
      </w:r>
    </w:p>
    <w:p w:rsidR="006450AC" w:rsidRDefault="006450AC">
      <w:pPr>
        <w:framePr w:wrap="auto" w:yAlign="inline"/>
        <w:rPr>
          <w:rFonts w:ascii="Arial" w:eastAsia="SimSun" w:hAnsi="Arial" w:cs="Arial"/>
        </w:rPr>
      </w:pPr>
      <w:r>
        <w:rPr>
          <w:rFonts w:ascii="Arial" w:hAnsi="Arial" w:cs="Arial"/>
        </w:rPr>
        <w:t>The GenBank accession numbers of nucleotide sequences reported in this article are HQ007312-50,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JF759957-60203,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JF906562</w:t>
      </w:r>
      <w:r>
        <w:rPr>
          <w:rFonts w:ascii="Arial" w:eastAsia="SimSun" w:hAnsi="Arial" w:cs="Arial"/>
        </w:rPr>
        <w:t>-</w:t>
      </w:r>
      <w:r>
        <w:rPr>
          <w:rFonts w:ascii="Arial" w:hAnsi="Arial" w:cs="Arial"/>
        </w:rPr>
        <w:t>700,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JF759957-60203, 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KM011653-849,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KY713346-582</w:t>
      </w:r>
      <w:r>
        <w:rPr>
          <w:rFonts w:ascii="Arial" w:eastAsia="SimSun" w:hAnsi="Arial" w:cs="Arial"/>
        </w:rPr>
        <w:t>, AB078678-716, AB213667-92, AB746342-5, AB773884-5, AM886178-221, AP005206-7, AY008714-8, AY967803-7, DQ833405-36, EF036527-36, EF122502-92, EF199551-620, EF394214-36, EF418662-781, EU046375-428, EU921952-87, FJ036960-71, FJ374975-5126, FJ387028-128, FJ531405-62, FJ752417-20, FM251948-2030, GQ290693-724, GQ845124-6, GU345085-203, GU564221-30, GU645196-8, HE590887-1065, HG421451-1735, HQ198013-45, HQ215552-87, HQ588180-303, JF505510-622, JF932468-500, JN848837-955, JQ028198-423, JQ235008-21, JQ302545-755, JQ658474-772, JQ898221-77, JQ901022-97, JX070462-556, JX112796-870, JX392378-84, JX412323-63, JX960597-635, KC183774-83, KC203209-332, KC870027-44, KC888202-745, KC898975-9015, KC924448-4539, KC987968-78, KC988057-166, KC990124-7, KF250366-410, KF267584-704, KF714292-496, KF803577-80, KF835116-250, KF835493-547, KF857358-461, KJ184176-80, KJ193530-636, KJ401414-768, KJ484433-6, KJ570783-851, KJ613998-4226, KJ778895-7, KJ820090-408, KM217833-55, KM258676-875, KM370212-32, KM395730-811, KM974719-20, KP178420-50, KP234972-5200, KP250654-829, KP418582-633, KP698503-8, KP992343-441, KR106771-986, KR187186-8450, KR604970-5106, KR822836-4040, KT191925-2028, KT378642-9957, KT625782-884, KT893482-704, KU050197-674, KU161143-5, KU364385-414, KU378038-46, KU871408-88, KU992928-37, KX198562-86, KX305973-6175, KX378999-9000, KX505967-85, KX582249-3340, KX791498-637, MF503154-241, MF684019-335, MG787428-59, MG905777-818.</w:t>
      </w:r>
    </w:p>
    <w:p w:rsidR="006450AC" w:rsidRDefault="006450AC">
      <w:pPr>
        <w:framePr w:wrap="auto" w:yAlign="inline"/>
        <w:rPr>
          <w:rFonts w:ascii="Arial" w:eastAsia="SimSun" w:hAnsi="Arial" w:cs="Arial"/>
        </w:rPr>
      </w:pPr>
    </w:p>
    <w:p w:rsidR="006450AC" w:rsidRDefault="006450AC">
      <w:pPr>
        <w:framePr w:wrap="auto" w:yAlign="inline"/>
        <w:rPr>
          <w:rFonts w:ascii="Arial" w:eastAsia="SimSun" w:hAnsi="Arial" w:cs="Arial"/>
        </w:rPr>
      </w:pPr>
    </w:p>
    <w:p w:rsidR="006450AC" w:rsidRDefault="006450AC">
      <w:pPr>
        <w:framePr w:wrap="auto" w:yAlign="inline"/>
        <w:rPr>
          <w:rFonts w:ascii="Arial" w:eastAsia="SimSun" w:hAnsi="Arial" w:cs="Arial"/>
        </w:rPr>
      </w:pPr>
    </w:p>
    <w:p w:rsidR="006450AC" w:rsidRDefault="006450AC">
      <w:pPr>
        <w:framePr w:wrap="auto" w:yAlign="inline"/>
        <w:rPr>
          <w:rFonts w:ascii="Arial" w:eastAsia="SimSun" w:hAnsi="Arial" w:cs="Arial"/>
        </w:rPr>
      </w:pPr>
    </w:p>
    <w:p w:rsidR="006450AC" w:rsidRDefault="006450AC">
      <w:pPr>
        <w:framePr w:wrap="auto" w:yAlign="inline"/>
        <w:rPr>
          <w:rFonts w:ascii="Arial" w:eastAsia="SimSun" w:hAnsi="Arial" w:cs="Arial"/>
        </w:rPr>
      </w:pPr>
    </w:p>
    <w:sectPr w:rsidR="006450AC" w:rsidSect="006450AC">
      <w:headerReference w:type="default" r:id="rId6"/>
      <w:footerReference w:type="default" r:id="rId7"/>
      <w:pgSz w:w="11900" w:h="16840"/>
      <w:pgMar w:top="1701" w:right="1701" w:bottom="1701" w:left="1701" w:header="851" w:footer="992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AC" w:rsidRDefault="006450AC">
      <w:pPr>
        <w:framePr w:wrap="auto"/>
        <w:spacing w:after="0" w:line="240" w:lineRule="auto"/>
      </w:pPr>
      <w:r>
        <w:separator/>
      </w:r>
    </w:p>
  </w:endnote>
  <w:endnote w:type="continuationSeparator" w:id="0">
    <w:p w:rsidR="006450AC" w:rsidRDefault="006450AC">
      <w:pPr>
        <w:framePr w:wrap="auto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AC" w:rsidRDefault="006450AC">
    <w:pPr>
      <w:pStyle w:val="Footer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AC" w:rsidRDefault="006450AC">
      <w:pPr>
        <w:framePr w:wrap="auto"/>
        <w:spacing w:after="0" w:line="240" w:lineRule="auto"/>
      </w:pPr>
      <w:r>
        <w:separator/>
      </w:r>
    </w:p>
  </w:footnote>
  <w:footnote w:type="continuationSeparator" w:id="0">
    <w:p w:rsidR="006450AC" w:rsidRDefault="006450AC">
      <w:pPr>
        <w:framePr w:wrap="auto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AC" w:rsidRDefault="006450AC">
    <w:pPr>
      <w:pStyle w:val="a"/>
      <w:framePr w:wrap="auto" w:yAlign="inline"/>
      <w:rPr>
        <w:rFonts w:ascii="Arial Unicode MS"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characterSpacingControl w:val="doNotCompress"/>
  <w:noLineBreaksAfter w:lang="zh-CN" w:val="([{«‘“⦅〈《「『【〔〖〘〝︵︷︹︻︽︿﹁﹃﹇﹙﹛﹝｢"/>
  <w:noLineBreaksBefore w:lang="zh-CN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AC"/>
    <w:rsid w:val="0064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 w:hAnchor="text" w:y="1"/>
      <w:spacing w:after="200" w:line="480" w:lineRule="auto"/>
    </w:pPr>
    <w:rPr>
      <w:rFonts w:ascii="Calibri" w:hAnsi="Calibri" w:cs="Calibri"/>
      <w:color w:val="000000"/>
      <w:sz w:val="24"/>
      <w:szCs w:val="24"/>
      <w:u w:color="00000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framePr w:wrap="auto"/>
      <w:widowControl w:val="0"/>
      <w:spacing w:before="340" w:after="330" w:line="578" w:lineRule="auto"/>
      <w:jc w:val="both"/>
      <w:outlineLvl w:val="0"/>
    </w:pPr>
    <w:rPr>
      <w:rFonts w:ascii="Times New Roman" w:eastAsia="Arial Unicode MS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eastAsia="zh-CN"/>
    </w:rPr>
  </w:style>
  <w:style w:type="paragraph" w:styleId="Footer">
    <w:name w:val="footer"/>
    <w:basedOn w:val="Normal"/>
    <w:link w:val="FooterChar"/>
    <w:uiPriority w:val="99"/>
    <w:pPr>
      <w:framePr w:wrap="auto"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50AC"/>
    <w:rPr>
      <w:rFonts w:ascii="Calibri" w:hAnsi="Calibri" w:cs="Calibri"/>
      <w:color w:val="000000"/>
      <w:sz w:val="24"/>
      <w:szCs w:val="24"/>
      <w:u w:color="000000"/>
      <w:lang w:eastAsia="zh-CN"/>
    </w:rPr>
  </w:style>
  <w:style w:type="paragraph" w:styleId="Header">
    <w:name w:val="header"/>
    <w:basedOn w:val="Normal"/>
    <w:link w:val="HeaderChar"/>
    <w:uiPriority w:val="99"/>
    <w:pPr>
      <w:framePr w:wrap="auto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sz w:val="18"/>
      <w:szCs w:val="18"/>
      <w:u w:color="00000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u w:val="single"/>
    </w:rPr>
  </w:style>
  <w:style w:type="paragraph" w:customStyle="1" w:styleId="a">
    <w:name w:val="页眉与页脚"/>
    <w:uiPriority w:val="99"/>
    <w:pPr>
      <w:framePr w:wrap="auto" w:hAnchor="text" w:y="1"/>
      <w:tabs>
        <w:tab w:val="right" w:pos="9020"/>
      </w:tabs>
    </w:pPr>
    <w:rPr>
      <w:rFonts w:ascii="Helvetica Neue" w:eastAsia="Arial Unicode MS" w:hAnsi="Helvetica Neue" w:cs="Helvetica Neue"/>
      <w:color w:val="000000"/>
      <w:sz w:val="24"/>
      <w:szCs w:val="24"/>
      <w:lang w:eastAsia="zh-CN"/>
    </w:rPr>
  </w:style>
  <w:style w:type="character" w:customStyle="1" w:styleId="a0">
    <w:name w:val="链接"/>
    <w:uiPriority w:val="99"/>
    <w:rPr>
      <w:color w:val="auto"/>
      <w:u w:val="single"/>
    </w:rPr>
  </w:style>
  <w:style w:type="character" w:customStyle="1" w:styleId="Hyperlink0">
    <w:name w:val="Hyperlink.0"/>
    <w:basedOn w:val="a0"/>
    <w:uiPriority w:val="99"/>
    <w:rPr>
      <w:rFonts w:ascii="Arial" w:eastAsia="Times New Roman" w:hAnsi="Arial" w:cs="Arial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229</Words>
  <Characters>1352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TEESLWW</cp:lastModifiedBy>
  <cp:revision>62</cp:revision>
  <dcterms:created xsi:type="dcterms:W3CDTF">2019-09-19T02:36:00Z</dcterms:created>
  <dcterms:modified xsi:type="dcterms:W3CDTF">2019-12-17T19:03:00Z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