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F" w:rsidRDefault="00A8052F">
      <w:pPr>
        <w:pStyle w:val="NormalWeb"/>
        <w:spacing w:before="0" w:beforeAutospacing="0" w:after="0" w:afterAutospacing="0" w:line="480" w:lineRule="auto"/>
        <w:jc w:val="both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7.25pt;margin-top:4.5pt;width:748.8pt;height:357pt;z-index:251658240;visibility:visible;mso-position-horizontal-relative:margin">
            <v:imagedata r:id="rId6" o:title=""/>
            <w10:wrap type="topAndBottom" anchorx="margin"/>
          </v:shape>
        </w:pict>
      </w:r>
    </w:p>
    <w:p w:rsidR="00A8052F" w:rsidRDefault="00A8052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8052F">
          <w:footerReference w:type="default" r:id="rId7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 xml:space="preserve">. The percentage of different mutation types found within each cell subset and each participant. Mutations resulting in a full-length provirus (intact or defective) are represented in pink, while those resulting in a short provirus are blue. </w:t>
      </w:r>
    </w:p>
    <w:p w:rsidR="00A8052F" w:rsidRDefault="00A8052F"/>
    <w:sectPr w:rsidR="00A8052F" w:rsidSect="00A8052F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2F" w:rsidRDefault="00A805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052F" w:rsidRDefault="00A805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F" w:rsidRDefault="00A8052F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A8052F" w:rsidRDefault="00A8052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F" w:rsidRDefault="00A8052F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A8052F" w:rsidRDefault="00A8052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2F" w:rsidRDefault="00A805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052F" w:rsidRDefault="00A805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2F"/>
    <w:rsid w:val="00A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</Words>
  <Characters>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2019-12-17T22:59:00Z</dcterms:modified>
</cp:coreProperties>
</file>