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98" w:rsidRDefault="005F0A9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0A98" w:rsidRDefault="005F0A9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S3. HIV Infection Frequencies per 10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Cells for All Cell Subsets</w:t>
      </w:r>
    </w:p>
    <w:tbl>
      <w:tblPr>
        <w:tblW w:w="9923" w:type="dxa"/>
        <w:tblInd w:w="-106" w:type="dxa"/>
        <w:tblLook w:val="0000"/>
      </w:tblPr>
      <w:tblGrid>
        <w:gridCol w:w="1190"/>
        <w:gridCol w:w="681"/>
        <w:gridCol w:w="733"/>
        <w:gridCol w:w="681"/>
        <w:gridCol w:w="733"/>
        <w:gridCol w:w="681"/>
        <w:gridCol w:w="733"/>
        <w:gridCol w:w="681"/>
        <w:gridCol w:w="733"/>
        <w:gridCol w:w="715"/>
        <w:gridCol w:w="851"/>
        <w:gridCol w:w="708"/>
        <w:gridCol w:w="851"/>
      </w:tblGrid>
      <w:tr w:rsidR="005F0A98">
        <w:trPr>
          <w:cantSplit/>
          <w:trHeight w:val="914"/>
        </w:trPr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A98" w:rsidRDefault="005F0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Participant   (SCOPE ID)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HLA-DR+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HLA-DR-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Naïve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CM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TM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EM</w:t>
            </w:r>
          </w:p>
        </w:tc>
      </w:tr>
      <w:tr w:rsidR="005F0A98">
        <w:trPr>
          <w:cantSplit/>
          <w:trHeight w:val="325"/>
        </w:trPr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Total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Intact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Total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Intact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Total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Intact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Total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Intact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Intact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Intact</w:t>
            </w:r>
          </w:p>
        </w:tc>
      </w:tr>
      <w:tr w:rsidR="005F0A98">
        <w:trPr>
          <w:trHeight w:val="32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2452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7</w:t>
            </w:r>
          </w:p>
        </w:tc>
      </w:tr>
      <w:tr w:rsidR="005F0A98">
        <w:trPr>
          <w:trHeight w:val="32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2302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13</w:t>
            </w:r>
          </w:p>
        </w:tc>
      </w:tr>
      <w:tr w:rsidR="005F0A98">
        <w:trPr>
          <w:trHeight w:val="32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2026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314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33</w:t>
            </w:r>
          </w:p>
        </w:tc>
      </w:tr>
      <w:tr w:rsidR="005F0A98">
        <w:trPr>
          <w:trHeight w:val="32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2115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5F0A98">
        <w:trPr>
          <w:trHeight w:val="32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2275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313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6</w:t>
            </w:r>
          </w:p>
        </w:tc>
      </w:tr>
      <w:tr w:rsidR="005F0A98">
        <w:trPr>
          <w:trHeight w:val="32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2046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583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14</w:t>
            </w:r>
          </w:p>
        </w:tc>
      </w:tr>
      <w:tr w:rsidR="005F0A98">
        <w:trPr>
          <w:trHeight w:val="32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F0A98" w:rsidRDefault="005F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Average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A98" w:rsidRDefault="005F0A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12</w:t>
            </w:r>
          </w:p>
        </w:tc>
      </w:tr>
    </w:tbl>
    <w:p w:rsidR="005F0A98" w:rsidRDefault="005F0A9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0A98" w:rsidSect="005F0A98">
      <w:foot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98" w:rsidRDefault="005F0A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F0A98" w:rsidRDefault="005F0A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98" w:rsidRDefault="005F0A98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1</w:t>
      </w:r>
    </w:fldSimple>
  </w:p>
  <w:p w:rsidR="005F0A98" w:rsidRDefault="005F0A9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98" w:rsidRDefault="005F0A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F0A98" w:rsidRDefault="005F0A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A98"/>
    <w:rsid w:val="005F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AU"/>
    </w:rPr>
  </w:style>
  <w:style w:type="character" w:customStyle="1" w:styleId="NormalWebChar">
    <w:name w:val="Normal (Web) Char"/>
    <w:basedOn w:val="DefaultParagraphFont"/>
    <w:uiPriority w:val="9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customStyle="1" w:styleId="xmsonormal">
    <w:name w:val="x_msonormal"/>
    <w:basedOn w:val="Normal"/>
    <w:uiPriority w:val="99"/>
    <w:pPr>
      <w:spacing w:line="252" w:lineRule="auto"/>
    </w:pPr>
    <w:rPr>
      <w:lang w:eastAsia="en-AU"/>
    </w:rPr>
  </w:style>
  <w:style w:type="paragraph" w:customStyle="1" w:styleId="xmsonospacing">
    <w:name w:val="x_msonospacing"/>
    <w:basedOn w:val="Normal"/>
    <w:uiPriority w:val="99"/>
    <w:pPr>
      <w:spacing w:after="0" w:line="240" w:lineRule="auto"/>
    </w:pPr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S3</dc:title>
  <dc:subject/>
  <dc:creator>Beth Horsburgh</dc:creator>
  <cp:keywords/>
  <dc:description/>
  <cp:lastModifiedBy>TEESLWW</cp:lastModifiedBy>
  <cp:revision>5</cp:revision>
  <cp:lastPrinted>2019-11-12T02:04:00Z</cp:lastPrinted>
  <dcterms:created xsi:type="dcterms:W3CDTF">2019-11-12T02:05:00Z</dcterms:created>
  <dcterms:modified xsi:type="dcterms:W3CDTF">2019-12-17T23:05:00Z</dcterms:modified>
</cp:coreProperties>
</file>