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52A2E" w14:textId="593B7626" w:rsidR="000F7608" w:rsidRPr="005347E2" w:rsidRDefault="000F49BB">
      <w:pPr>
        <w:rPr>
          <w:rFonts w:ascii="Times New Roman" w:hAnsi="Times New Roman" w:cs="Times New Roman"/>
        </w:rPr>
      </w:pPr>
      <w:bookmarkStart w:id="0" w:name="_GoBack"/>
      <w:bookmarkEnd w:id="0"/>
      <w:r w:rsidRPr="005347E2">
        <w:rPr>
          <w:rFonts w:ascii="Times New Roman" w:hAnsi="Times New Roman" w:cs="Times New Roman"/>
          <w:b/>
          <w:bCs/>
        </w:rPr>
        <w:t>Supplemental appendix</w:t>
      </w:r>
      <w:r w:rsidR="00FF1B47" w:rsidRPr="005347E2">
        <w:rPr>
          <w:rFonts w:ascii="Times New Roman" w:hAnsi="Times New Roman" w:cs="Times New Roman"/>
          <w:b/>
          <w:bCs/>
        </w:rPr>
        <w:t>: Additional Detail on Propensity Score Methods</w:t>
      </w:r>
    </w:p>
    <w:p w14:paraId="593081FF" w14:textId="34F7E695" w:rsidR="00FF1B47" w:rsidRPr="005347E2" w:rsidRDefault="00FF1B47">
      <w:pPr>
        <w:rPr>
          <w:rFonts w:ascii="Times New Roman" w:hAnsi="Times New Roman" w:cs="Times New Roman"/>
        </w:rPr>
      </w:pPr>
    </w:p>
    <w:p w14:paraId="23B761B9" w14:textId="3E6837BA" w:rsidR="00256223" w:rsidRPr="005347E2" w:rsidRDefault="00FF1B47" w:rsidP="00EE1788">
      <w:pPr>
        <w:rPr>
          <w:rFonts w:ascii="Times New Roman" w:hAnsi="Times New Roman" w:cs="Times New Roman"/>
        </w:rPr>
      </w:pPr>
      <w:r w:rsidRPr="005347E2">
        <w:rPr>
          <w:rFonts w:ascii="Times New Roman" w:hAnsi="Times New Roman" w:cs="Times New Roman"/>
        </w:rPr>
        <w:t>As an alternate modelling strategy for the primary outcome, viral suppression, and the primary exposure, the pre/post-COVID-19 time</w:t>
      </w:r>
      <w:r w:rsidR="001B6FE0">
        <w:rPr>
          <w:rFonts w:ascii="Times New Roman" w:hAnsi="Times New Roman" w:cs="Times New Roman"/>
        </w:rPr>
        <w:t>-</w:t>
      </w:r>
      <w:r w:rsidRPr="005347E2">
        <w:rPr>
          <w:rFonts w:ascii="Times New Roman" w:hAnsi="Times New Roman" w:cs="Times New Roman"/>
        </w:rPr>
        <w:t>interval, we first constructed a propensity score model for the probability of having a viral load check</w:t>
      </w:r>
      <w:r w:rsidR="001B6FE0">
        <w:rPr>
          <w:rFonts w:ascii="Times New Roman" w:hAnsi="Times New Roman" w:cs="Times New Roman"/>
        </w:rPr>
        <w:t>ed</w:t>
      </w:r>
      <w:r w:rsidRPr="005347E2">
        <w:rPr>
          <w:rFonts w:ascii="Times New Roman" w:hAnsi="Times New Roman" w:cs="Times New Roman"/>
        </w:rPr>
        <w:t xml:space="preserve"> during and prior to shelter-in-place due to COVID-19. Covariates were selected using directed acyclic graphs (DAGs) </w:t>
      </w:r>
      <w:r w:rsidR="00256223" w:rsidRPr="005347E2">
        <w:rPr>
          <w:rFonts w:ascii="Times New Roman" w:hAnsi="Times New Roman" w:cs="Times New Roman"/>
        </w:rPr>
        <w:t xml:space="preserve">examining potential confounders of obtaining viral load monitoring pre/post-COVID-19. Covariates in the </w:t>
      </w:r>
      <w:r w:rsidR="004974B3">
        <w:rPr>
          <w:rFonts w:ascii="Times New Roman" w:hAnsi="Times New Roman" w:cs="Times New Roman"/>
        </w:rPr>
        <w:t xml:space="preserve">mixed-effects logistic regression </w:t>
      </w:r>
      <w:r w:rsidR="00256223" w:rsidRPr="005347E2">
        <w:rPr>
          <w:rFonts w:ascii="Times New Roman" w:hAnsi="Times New Roman" w:cs="Times New Roman"/>
        </w:rPr>
        <w:t xml:space="preserve">model included: </w:t>
      </w:r>
      <w:r w:rsidR="00256223" w:rsidRPr="005347E2">
        <w:rPr>
          <w:rFonts w:ascii="Times New Roman" w:hAnsi="Times New Roman" w:cs="Times New Roman"/>
        </w:rPr>
        <w:t>sex</w:t>
      </w:r>
      <w:r w:rsidR="00256223" w:rsidRPr="005347E2">
        <w:rPr>
          <w:rFonts w:ascii="Times New Roman" w:hAnsi="Times New Roman" w:cs="Times New Roman"/>
        </w:rPr>
        <w:t xml:space="preserve"> (binary, woman vs. man)</w:t>
      </w:r>
      <w:r w:rsidR="00256223" w:rsidRPr="005347E2">
        <w:rPr>
          <w:rFonts w:ascii="Times New Roman" w:hAnsi="Times New Roman" w:cs="Times New Roman"/>
        </w:rPr>
        <w:t>, race/eth</w:t>
      </w:r>
      <w:r w:rsidR="00256223" w:rsidRPr="005347E2">
        <w:rPr>
          <w:rFonts w:ascii="Times New Roman" w:hAnsi="Times New Roman" w:cs="Times New Roman"/>
        </w:rPr>
        <w:t>nicity (categorical, hierarchy of Black&gt;Latinx&gt;Asian&gt;White&gt;Other)</w:t>
      </w:r>
      <w:r w:rsidR="00256223" w:rsidRPr="005347E2">
        <w:rPr>
          <w:rFonts w:ascii="Times New Roman" w:hAnsi="Times New Roman" w:cs="Times New Roman"/>
        </w:rPr>
        <w:t>, primary language (</w:t>
      </w:r>
      <w:r w:rsidR="00256223" w:rsidRPr="005347E2">
        <w:rPr>
          <w:rFonts w:ascii="Times New Roman" w:hAnsi="Times New Roman" w:cs="Times New Roman"/>
        </w:rPr>
        <w:t xml:space="preserve">binary, </w:t>
      </w:r>
      <w:r w:rsidR="00256223" w:rsidRPr="005347E2">
        <w:rPr>
          <w:rFonts w:ascii="Times New Roman" w:hAnsi="Times New Roman" w:cs="Times New Roman"/>
        </w:rPr>
        <w:t xml:space="preserve">English vs. non-English), and homeless </w:t>
      </w:r>
      <w:r w:rsidR="001B6FE0">
        <w:rPr>
          <w:rFonts w:ascii="Times New Roman" w:hAnsi="Times New Roman" w:cs="Times New Roman"/>
        </w:rPr>
        <w:t xml:space="preserve">housing </w:t>
      </w:r>
      <w:r w:rsidR="00256223" w:rsidRPr="005347E2">
        <w:rPr>
          <w:rFonts w:ascii="Times New Roman" w:hAnsi="Times New Roman" w:cs="Times New Roman"/>
        </w:rPr>
        <w:t>status (</w:t>
      </w:r>
      <w:r w:rsidR="00256223" w:rsidRPr="005347E2">
        <w:rPr>
          <w:rFonts w:ascii="Times New Roman" w:hAnsi="Times New Roman" w:cs="Times New Roman"/>
        </w:rPr>
        <w:t>binary, homeless vs. housed</w:t>
      </w:r>
      <w:r w:rsidR="00256223" w:rsidRPr="005347E2">
        <w:rPr>
          <w:rFonts w:ascii="Times New Roman" w:hAnsi="Times New Roman" w:cs="Times New Roman"/>
        </w:rPr>
        <w:t>); while age</w:t>
      </w:r>
      <w:r w:rsidR="009307DE">
        <w:rPr>
          <w:rFonts w:ascii="Times New Roman" w:hAnsi="Times New Roman" w:cs="Times New Roman"/>
        </w:rPr>
        <w:t xml:space="preserve"> and</w:t>
      </w:r>
      <w:r w:rsidR="00256223" w:rsidRPr="005347E2">
        <w:rPr>
          <w:rFonts w:ascii="Times New Roman" w:hAnsi="Times New Roman" w:cs="Times New Roman"/>
        </w:rPr>
        <w:t xml:space="preserve"> CD4+ count</w:t>
      </w:r>
      <w:r w:rsidR="009307DE">
        <w:rPr>
          <w:rFonts w:ascii="Times New Roman" w:hAnsi="Times New Roman" w:cs="Times New Roman"/>
        </w:rPr>
        <w:t xml:space="preserve"> were</w:t>
      </w:r>
      <w:r w:rsidR="00256223" w:rsidRPr="005347E2">
        <w:rPr>
          <w:rFonts w:ascii="Times New Roman" w:hAnsi="Times New Roman" w:cs="Times New Roman"/>
        </w:rPr>
        <w:t xml:space="preserve"> included using </w:t>
      </w:r>
      <w:r w:rsidR="00256223" w:rsidRPr="005347E2">
        <w:rPr>
          <w:rFonts w:ascii="Times New Roman" w:hAnsi="Times New Roman" w:cs="Times New Roman"/>
        </w:rPr>
        <w:t xml:space="preserve">restricted </w:t>
      </w:r>
      <w:r w:rsidR="00256223" w:rsidRPr="005347E2">
        <w:rPr>
          <w:rFonts w:ascii="Times New Roman" w:hAnsi="Times New Roman" w:cs="Times New Roman"/>
        </w:rPr>
        <w:t>cubic splines</w:t>
      </w:r>
      <w:r w:rsidR="00256223" w:rsidRPr="005347E2">
        <w:rPr>
          <w:rFonts w:ascii="Times New Roman" w:hAnsi="Times New Roman" w:cs="Times New Roman"/>
        </w:rPr>
        <w:t xml:space="preserve"> with 3 knots. After fitting the model, we checked for balance of key confounders (CD4 count, homeless status, etc.) in </w:t>
      </w:r>
      <w:r w:rsidR="005003D6">
        <w:rPr>
          <w:rFonts w:ascii="Times New Roman" w:hAnsi="Times New Roman" w:cs="Times New Roman"/>
        </w:rPr>
        <w:t xml:space="preserve">box plots and </w:t>
      </w:r>
      <w:r w:rsidR="00256223" w:rsidRPr="005347E2">
        <w:rPr>
          <w:rFonts w:ascii="Times New Roman" w:hAnsi="Times New Roman" w:cs="Times New Roman"/>
        </w:rPr>
        <w:t xml:space="preserve">2x2 tables comparing means of the covariates across the 5 strata. To assess </w:t>
      </w:r>
      <w:r w:rsidR="00824DE7">
        <w:rPr>
          <w:rFonts w:ascii="Times New Roman" w:hAnsi="Times New Roman" w:cs="Times New Roman"/>
        </w:rPr>
        <w:t xml:space="preserve">probability score </w:t>
      </w:r>
      <w:r w:rsidR="00256223" w:rsidRPr="005347E2">
        <w:rPr>
          <w:rFonts w:ascii="Times New Roman" w:hAnsi="Times New Roman" w:cs="Times New Roman"/>
        </w:rPr>
        <w:t>overlap, we examined graphs of the pre/post COVID-19</w:t>
      </w:r>
      <w:r w:rsidR="00824DE7">
        <w:rPr>
          <w:rFonts w:ascii="Times New Roman" w:hAnsi="Times New Roman" w:cs="Times New Roman"/>
        </w:rPr>
        <w:t xml:space="preserve"> probability score histograms (</w:t>
      </w:r>
      <w:r w:rsidR="00824DE7">
        <w:rPr>
          <w:rFonts w:ascii="Times New Roman" w:hAnsi="Times New Roman" w:cs="Times New Roman"/>
          <w:b/>
          <w:bCs/>
        </w:rPr>
        <w:t>Supplemental Figure)</w:t>
      </w:r>
      <w:r w:rsidR="00824DE7">
        <w:rPr>
          <w:rFonts w:ascii="Times New Roman" w:hAnsi="Times New Roman" w:cs="Times New Roman"/>
        </w:rPr>
        <w:t>.</w:t>
      </w:r>
      <w:r w:rsidR="00256223" w:rsidRPr="005347E2">
        <w:rPr>
          <w:rFonts w:ascii="Times New Roman" w:hAnsi="Times New Roman" w:cs="Times New Roman"/>
        </w:rPr>
        <w:t xml:space="preserve"> We divided the propensity scores into quintiles, and examined the odds ratios across each quintile, and tested for an interaction of the propensity scores with the pre/post-COVID-19 exposure indicator using a likelihood ratio test (</w:t>
      </w:r>
      <w:r w:rsidR="001B6FE0">
        <w:rPr>
          <w:rFonts w:ascii="Times New Roman" w:hAnsi="Times New Roman" w:cs="Times New Roman"/>
        </w:rPr>
        <w:t xml:space="preserve">p=0.54, </w:t>
      </w:r>
      <w:r w:rsidR="00256223" w:rsidRPr="005347E2">
        <w:rPr>
          <w:rFonts w:ascii="Times New Roman" w:hAnsi="Times New Roman" w:cs="Times New Roman"/>
          <w:b/>
          <w:bCs/>
        </w:rPr>
        <w:t>Supplemental Table</w:t>
      </w:r>
      <w:r w:rsidR="00256223" w:rsidRPr="005347E2">
        <w:rPr>
          <w:rFonts w:ascii="Times New Roman" w:hAnsi="Times New Roman" w:cs="Times New Roman"/>
        </w:rPr>
        <w:t>)</w:t>
      </w:r>
      <w:r w:rsidR="005347E2">
        <w:rPr>
          <w:rFonts w:ascii="Times New Roman" w:hAnsi="Times New Roman" w:cs="Times New Roman"/>
        </w:rPr>
        <w:t xml:space="preserve">. </w:t>
      </w:r>
      <w:r w:rsidR="005347E2">
        <w:rPr>
          <w:rFonts w:ascii="Times New Roman" w:hAnsi="Times New Roman" w:cs="Times New Roman"/>
        </w:rPr>
        <w:t xml:space="preserve">Finally, to test the robustness of these findings we performed </w:t>
      </w:r>
      <w:r w:rsidR="00EE1788">
        <w:rPr>
          <w:rFonts w:ascii="Times New Roman" w:hAnsi="Times New Roman" w:cs="Times New Roman"/>
        </w:rPr>
        <w:t>two</w:t>
      </w:r>
      <w:r w:rsidR="005347E2">
        <w:rPr>
          <w:rFonts w:ascii="Times New Roman" w:hAnsi="Times New Roman" w:cs="Times New Roman"/>
        </w:rPr>
        <w:t xml:space="preserve"> sensitivity analyses: (1) we conducted a trimmed analysis that was restricted to the region of common support; </w:t>
      </w:r>
      <w:r w:rsidR="00EE1788">
        <w:rPr>
          <w:rFonts w:ascii="Times New Roman" w:hAnsi="Times New Roman" w:cs="Times New Roman"/>
        </w:rPr>
        <w:t xml:space="preserve">and </w:t>
      </w:r>
      <w:r w:rsidR="005347E2">
        <w:rPr>
          <w:rFonts w:ascii="Times New Roman" w:hAnsi="Times New Roman" w:cs="Times New Roman"/>
        </w:rPr>
        <w:t>(</w:t>
      </w:r>
      <w:r w:rsidR="00C344A6">
        <w:rPr>
          <w:rFonts w:ascii="Times New Roman" w:hAnsi="Times New Roman" w:cs="Times New Roman"/>
        </w:rPr>
        <w:t>2</w:t>
      </w:r>
      <w:r w:rsidR="005347E2">
        <w:rPr>
          <w:rFonts w:ascii="Times New Roman" w:hAnsi="Times New Roman" w:cs="Times New Roman"/>
        </w:rPr>
        <w:t>) we used restricted cubic splines with five knots instead of quintiles to model the relationship between the propensity scores and odds of unsuppressed viral load</w:t>
      </w:r>
      <w:r w:rsidR="00EE1788">
        <w:rPr>
          <w:rFonts w:ascii="Times New Roman" w:hAnsi="Times New Roman" w:cs="Times New Roman"/>
        </w:rPr>
        <w:t xml:space="preserve">. </w:t>
      </w:r>
      <w:r w:rsidR="005347E2">
        <w:rPr>
          <w:rFonts w:ascii="Times New Roman" w:hAnsi="Times New Roman" w:cs="Times New Roman"/>
        </w:rPr>
        <w:t>Limiting the analysis to propensity scores within the region of overlap had minimal impact on results (AOR 1.31; 95% CI=1.14-1.51).</w:t>
      </w:r>
      <w:r w:rsidR="005347E2" w:rsidRPr="005347E2">
        <w:rPr>
          <w:rFonts w:ascii="Times New Roman" w:hAnsi="Times New Roman" w:cs="Times New Roman"/>
        </w:rPr>
        <w:t xml:space="preserve"> </w:t>
      </w:r>
      <w:r w:rsidR="001B6FE0">
        <w:rPr>
          <w:rFonts w:ascii="Times New Roman" w:hAnsi="Times New Roman" w:cs="Times New Roman"/>
        </w:rPr>
        <w:t>The cubic spline</w:t>
      </w:r>
      <w:r w:rsidR="00C344A6">
        <w:rPr>
          <w:rFonts w:ascii="Times New Roman" w:hAnsi="Times New Roman" w:cs="Times New Roman"/>
        </w:rPr>
        <w:t xml:space="preserve"> propensity score</w:t>
      </w:r>
      <w:r w:rsidR="001B6FE0">
        <w:rPr>
          <w:rFonts w:ascii="Times New Roman" w:hAnsi="Times New Roman" w:cs="Times New Roman"/>
        </w:rPr>
        <w:t xml:space="preserve"> analysis of</w:t>
      </w:r>
      <w:r w:rsidR="005347E2">
        <w:rPr>
          <w:rFonts w:ascii="Times New Roman" w:hAnsi="Times New Roman" w:cs="Times New Roman"/>
        </w:rPr>
        <w:t xml:space="preserve"> the relationship between viral non-suppression</w:t>
      </w:r>
      <w:r w:rsidR="00F74B37">
        <w:rPr>
          <w:rFonts w:ascii="Times New Roman" w:hAnsi="Times New Roman" w:cs="Times New Roman"/>
        </w:rPr>
        <w:t xml:space="preserve"> and the</w:t>
      </w:r>
      <w:r w:rsidR="005347E2">
        <w:rPr>
          <w:rFonts w:ascii="Times New Roman" w:hAnsi="Times New Roman" w:cs="Times New Roman"/>
        </w:rPr>
        <w:t xml:space="preserve"> pre/post-COVID-19 </w:t>
      </w:r>
      <w:r w:rsidR="00F74B37">
        <w:rPr>
          <w:rFonts w:ascii="Times New Roman" w:hAnsi="Times New Roman" w:cs="Times New Roman"/>
        </w:rPr>
        <w:t xml:space="preserve">time-interval </w:t>
      </w:r>
      <w:r w:rsidR="005347E2">
        <w:rPr>
          <w:rFonts w:ascii="Times New Roman" w:hAnsi="Times New Roman" w:cs="Times New Roman"/>
        </w:rPr>
        <w:t>was nearly identical</w:t>
      </w:r>
      <w:r w:rsidR="001B6FE0">
        <w:rPr>
          <w:rFonts w:ascii="Times New Roman" w:hAnsi="Times New Roman" w:cs="Times New Roman"/>
        </w:rPr>
        <w:t xml:space="preserve"> to the analysis using quintiles</w:t>
      </w:r>
      <w:r w:rsidR="005347E2">
        <w:rPr>
          <w:rFonts w:ascii="Times New Roman" w:hAnsi="Times New Roman" w:cs="Times New Roman"/>
        </w:rPr>
        <w:t xml:space="preserve"> (AOR 1.33; 95% CI=1.15-1.53 using cubic splines</w:t>
      </w:r>
      <w:r w:rsidR="00007D18">
        <w:rPr>
          <w:rFonts w:ascii="Times New Roman" w:hAnsi="Times New Roman" w:cs="Times New Roman"/>
        </w:rPr>
        <w:t xml:space="preserve"> vs.</w:t>
      </w:r>
      <w:r w:rsidR="001B6FE0">
        <w:rPr>
          <w:rFonts w:ascii="Times New Roman" w:hAnsi="Times New Roman" w:cs="Times New Roman"/>
        </w:rPr>
        <w:t xml:space="preserve"> </w:t>
      </w:r>
      <w:r w:rsidR="001B6FE0">
        <w:rPr>
          <w:rFonts w:ascii="Times New Roman" w:hAnsi="Times New Roman" w:cs="Times New Roman"/>
        </w:rPr>
        <w:t>AOR 1.32; 95% CI=1.14-1.5</w:t>
      </w:r>
      <w:r w:rsidR="004974B3">
        <w:rPr>
          <w:rFonts w:ascii="Times New Roman" w:hAnsi="Times New Roman" w:cs="Times New Roman"/>
        </w:rPr>
        <w:t>1</w:t>
      </w:r>
      <w:r w:rsidR="001B6FE0">
        <w:rPr>
          <w:rFonts w:ascii="Times New Roman" w:hAnsi="Times New Roman" w:cs="Times New Roman"/>
        </w:rPr>
        <w:t xml:space="preserve"> using quintiles</w:t>
      </w:r>
      <w:r w:rsidR="005347E2">
        <w:rPr>
          <w:rFonts w:ascii="Times New Roman" w:hAnsi="Times New Roman" w:cs="Times New Roman"/>
        </w:rPr>
        <w:t>).</w:t>
      </w:r>
      <w:r w:rsidR="00C344A6">
        <w:rPr>
          <w:rFonts w:ascii="Times New Roman" w:hAnsi="Times New Roman" w:cs="Times New Roman"/>
        </w:rPr>
        <w:t xml:space="preserve"> </w:t>
      </w:r>
    </w:p>
    <w:p w14:paraId="4CA69933" w14:textId="77777777" w:rsidR="00EE1788" w:rsidRDefault="00EE178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AB28200" w14:textId="4702ACA9" w:rsidR="00FF1B47" w:rsidRPr="005347E2" w:rsidRDefault="00256223">
      <w:pPr>
        <w:rPr>
          <w:rFonts w:ascii="Times New Roman" w:hAnsi="Times New Roman" w:cs="Times New Roman"/>
        </w:rPr>
      </w:pPr>
      <w:r w:rsidRPr="005347E2">
        <w:rPr>
          <w:rFonts w:ascii="Times New Roman" w:hAnsi="Times New Roman" w:cs="Times New Roman"/>
          <w:b/>
          <w:bCs/>
        </w:rPr>
        <w:lastRenderedPageBreak/>
        <w:t>Supplemental Figure</w:t>
      </w:r>
      <w:r w:rsidRPr="005347E2">
        <w:rPr>
          <w:rFonts w:ascii="Times New Roman" w:hAnsi="Times New Roman" w:cs="Times New Roman"/>
        </w:rPr>
        <w:t>: Overlap of propensity scores for the pre/post-COVID-</w:t>
      </w:r>
      <w:proofErr w:type="gramStart"/>
      <w:r w:rsidRPr="005347E2">
        <w:rPr>
          <w:rFonts w:ascii="Times New Roman" w:hAnsi="Times New Roman" w:cs="Times New Roman"/>
        </w:rPr>
        <w:t>19 time</w:t>
      </w:r>
      <w:proofErr w:type="gramEnd"/>
      <w:r w:rsidRPr="005347E2">
        <w:rPr>
          <w:rFonts w:ascii="Times New Roman" w:hAnsi="Times New Roman" w:cs="Times New Roman"/>
        </w:rPr>
        <w:t xml:space="preserve"> intervals</w:t>
      </w:r>
    </w:p>
    <w:p w14:paraId="3E9BBF9C" w14:textId="7812921E" w:rsidR="00256223" w:rsidRPr="005347E2" w:rsidRDefault="00256223">
      <w:pPr>
        <w:rPr>
          <w:rFonts w:ascii="Times New Roman" w:hAnsi="Times New Roman" w:cs="Times New Roman"/>
        </w:rPr>
      </w:pPr>
    </w:p>
    <w:p w14:paraId="7B7C8FEA" w14:textId="1EF2BB05" w:rsidR="00256223" w:rsidRPr="005347E2" w:rsidRDefault="005B323B">
      <w:pPr>
        <w:rPr>
          <w:rFonts w:ascii="Times New Roman" w:hAnsi="Times New Roman" w:cs="Times New Roman"/>
        </w:rPr>
      </w:pPr>
      <w:r w:rsidRPr="005B323B">
        <w:rPr>
          <w:rFonts w:ascii="Times New Roman" w:hAnsi="Times New Roman" w:cs="Times New Roman"/>
        </w:rPr>
        <w:drawing>
          <wp:inline distT="0" distB="0" distL="0" distR="0" wp14:anchorId="340A07FE" wp14:editId="1757D0D2">
            <wp:extent cx="5943600" cy="41700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585D" w14:textId="173BB9D6" w:rsidR="000F49BB" w:rsidRPr="005347E2" w:rsidRDefault="000F49BB">
      <w:pPr>
        <w:rPr>
          <w:rFonts w:ascii="Times New Roman" w:hAnsi="Times New Roman" w:cs="Times New Roman"/>
          <w:b/>
          <w:bCs/>
        </w:rPr>
      </w:pPr>
    </w:p>
    <w:p w14:paraId="6954F63F" w14:textId="7B797E33" w:rsidR="00256223" w:rsidRPr="005347E2" w:rsidRDefault="00256223">
      <w:pPr>
        <w:rPr>
          <w:rFonts w:ascii="Times New Roman" w:hAnsi="Times New Roman" w:cs="Times New Roman"/>
          <w:b/>
          <w:bCs/>
        </w:rPr>
      </w:pPr>
      <w:r w:rsidRPr="005347E2">
        <w:rPr>
          <w:rFonts w:ascii="Times New Roman" w:hAnsi="Times New Roman" w:cs="Times New Roman"/>
          <w:b/>
          <w:bCs/>
        </w:rPr>
        <w:br w:type="page"/>
      </w:r>
    </w:p>
    <w:p w14:paraId="7EEB73B8" w14:textId="7D55F33A" w:rsidR="000F49BB" w:rsidRPr="005347E2" w:rsidRDefault="00256223">
      <w:pPr>
        <w:rPr>
          <w:rFonts w:ascii="Times New Roman" w:hAnsi="Times New Roman" w:cs="Times New Roman"/>
        </w:rPr>
      </w:pPr>
      <w:r w:rsidRPr="005347E2">
        <w:rPr>
          <w:rFonts w:ascii="Times New Roman" w:hAnsi="Times New Roman" w:cs="Times New Roman"/>
          <w:b/>
          <w:bCs/>
        </w:rPr>
        <w:lastRenderedPageBreak/>
        <w:t>Supplemental Table:</w:t>
      </w:r>
      <w:r w:rsidR="005347E2" w:rsidRPr="005347E2">
        <w:rPr>
          <w:rFonts w:ascii="Times New Roman" w:hAnsi="Times New Roman" w:cs="Times New Roman"/>
          <w:b/>
          <w:bCs/>
        </w:rPr>
        <w:t xml:space="preserve"> </w:t>
      </w:r>
      <w:r w:rsidR="005347E2" w:rsidRPr="005347E2">
        <w:rPr>
          <w:rFonts w:ascii="Times New Roman" w:hAnsi="Times New Roman" w:cs="Times New Roman"/>
        </w:rPr>
        <w:t>Stratum-specific odds ratios</w:t>
      </w:r>
    </w:p>
    <w:p w14:paraId="548F6C12" w14:textId="1D31C589" w:rsidR="00256223" w:rsidRPr="005347E2" w:rsidRDefault="00256223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2568"/>
        <w:gridCol w:w="1890"/>
        <w:gridCol w:w="2250"/>
      </w:tblGrid>
      <w:tr w:rsidR="005347E2" w:rsidRPr="005347E2" w14:paraId="19CEFADB" w14:textId="77777777" w:rsidTr="005347E2">
        <w:tc>
          <w:tcPr>
            <w:tcW w:w="1927" w:type="dxa"/>
          </w:tcPr>
          <w:p w14:paraId="09C5C631" w14:textId="29F8505C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Quintile of Propensity Score</w:t>
            </w:r>
          </w:p>
        </w:tc>
        <w:tc>
          <w:tcPr>
            <w:tcW w:w="2568" w:type="dxa"/>
          </w:tcPr>
          <w:p w14:paraId="035105CB" w14:textId="6B7FFBA3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Odds ratio for outcome of viral non-suppression</w:t>
            </w:r>
          </w:p>
        </w:tc>
        <w:tc>
          <w:tcPr>
            <w:tcW w:w="1890" w:type="dxa"/>
          </w:tcPr>
          <w:p w14:paraId="5657F4DE" w14:textId="20FC7F2E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95% Confidence Interval</w:t>
            </w:r>
          </w:p>
        </w:tc>
        <w:tc>
          <w:tcPr>
            <w:tcW w:w="2250" w:type="dxa"/>
          </w:tcPr>
          <w:p w14:paraId="412F3A29" w14:textId="03F1C2C4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Mantel-</w:t>
            </w:r>
            <w:proofErr w:type="spellStart"/>
            <w:r w:rsidRPr="005347E2">
              <w:rPr>
                <w:rFonts w:ascii="Times New Roman" w:hAnsi="Times New Roman" w:cs="Times New Roman"/>
              </w:rPr>
              <w:t>Haenszel</w:t>
            </w:r>
            <w:proofErr w:type="spellEnd"/>
            <w:r w:rsidRPr="005347E2">
              <w:rPr>
                <w:rFonts w:ascii="Times New Roman" w:hAnsi="Times New Roman" w:cs="Times New Roman"/>
              </w:rPr>
              <w:t xml:space="preserve"> Weight</w:t>
            </w:r>
          </w:p>
        </w:tc>
      </w:tr>
      <w:tr w:rsidR="005347E2" w:rsidRPr="005347E2" w14:paraId="50369697" w14:textId="77777777" w:rsidTr="005347E2">
        <w:tc>
          <w:tcPr>
            <w:tcW w:w="1927" w:type="dxa"/>
          </w:tcPr>
          <w:p w14:paraId="347A5995" w14:textId="6011D445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8" w:type="dxa"/>
          </w:tcPr>
          <w:p w14:paraId="54CB818B" w14:textId="203E86EB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1890" w:type="dxa"/>
          </w:tcPr>
          <w:p w14:paraId="1E35983A" w14:textId="454F53A0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0.89-1.87</w:t>
            </w:r>
          </w:p>
        </w:tc>
        <w:tc>
          <w:tcPr>
            <w:tcW w:w="2250" w:type="dxa"/>
          </w:tcPr>
          <w:p w14:paraId="11BB8FBA" w14:textId="276D5318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25.82</w:t>
            </w:r>
          </w:p>
        </w:tc>
      </w:tr>
      <w:tr w:rsidR="005347E2" w:rsidRPr="005347E2" w14:paraId="39E213FA" w14:textId="77777777" w:rsidTr="005347E2">
        <w:tc>
          <w:tcPr>
            <w:tcW w:w="1927" w:type="dxa"/>
          </w:tcPr>
          <w:p w14:paraId="593C0728" w14:textId="27093A01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68" w:type="dxa"/>
          </w:tcPr>
          <w:p w14:paraId="6EEB5D60" w14:textId="3E02AEDD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1890" w:type="dxa"/>
          </w:tcPr>
          <w:p w14:paraId="566A0F87" w14:textId="026B9631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0.84-2.05</w:t>
            </w:r>
          </w:p>
        </w:tc>
        <w:tc>
          <w:tcPr>
            <w:tcW w:w="2250" w:type="dxa"/>
          </w:tcPr>
          <w:p w14:paraId="1499AA5A" w14:textId="5E78956D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17.71</w:t>
            </w:r>
          </w:p>
        </w:tc>
      </w:tr>
      <w:tr w:rsidR="005347E2" w:rsidRPr="005347E2" w14:paraId="3217FB86" w14:textId="77777777" w:rsidTr="005347E2">
        <w:tc>
          <w:tcPr>
            <w:tcW w:w="1927" w:type="dxa"/>
          </w:tcPr>
          <w:p w14:paraId="31252E85" w14:textId="2802F129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68" w:type="dxa"/>
          </w:tcPr>
          <w:p w14:paraId="7A766FD7" w14:textId="043C0360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890" w:type="dxa"/>
          </w:tcPr>
          <w:p w14:paraId="2CAD8EE8" w14:textId="5FA7474C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0.77-1.55</w:t>
            </w:r>
          </w:p>
        </w:tc>
        <w:tc>
          <w:tcPr>
            <w:tcW w:w="2250" w:type="dxa"/>
          </w:tcPr>
          <w:p w14:paraId="4F464C78" w14:textId="4D3AAACC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32.48</w:t>
            </w:r>
          </w:p>
        </w:tc>
      </w:tr>
      <w:tr w:rsidR="005347E2" w:rsidRPr="005347E2" w14:paraId="6EAF2859" w14:textId="77777777" w:rsidTr="005347E2">
        <w:tc>
          <w:tcPr>
            <w:tcW w:w="1927" w:type="dxa"/>
          </w:tcPr>
          <w:p w14:paraId="5D191FC4" w14:textId="13EA7F99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68" w:type="dxa"/>
          </w:tcPr>
          <w:p w14:paraId="27E4851C" w14:textId="5C5D51FD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890" w:type="dxa"/>
          </w:tcPr>
          <w:p w14:paraId="04D35406" w14:textId="71F75D58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0.89-1.72</w:t>
            </w:r>
          </w:p>
        </w:tc>
        <w:tc>
          <w:tcPr>
            <w:tcW w:w="2250" w:type="dxa"/>
          </w:tcPr>
          <w:p w14:paraId="63C343E5" w14:textId="7866E82C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33.67</w:t>
            </w:r>
          </w:p>
        </w:tc>
      </w:tr>
      <w:tr w:rsidR="005347E2" w:rsidRPr="005347E2" w14:paraId="4621ACE1" w14:textId="77777777" w:rsidTr="005347E2">
        <w:tc>
          <w:tcPr>
            <w:tcW w:w="1927" w:type="dxa"/>
          </w:tcPr>
          <w:p w14:paraId="50ABCC53" w14:textId="262DD1EC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8" w:type="dxa"/>
          </w:tcPr>
          <w:p w14:paraId="69CA7EDE" w14:textId="7A988E7B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890" w:type="dxa"/>
          </w:tcPr>
          <w:p w14:paraId="1871E803" w14:textId="5EA38594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1.21-2.07</w:t>
            </w:r>
          </w:p>
        </w:tc>
        <w:tc>
          <w:tcPr>
            <w:tcW w:w="2250" w:type="dxa"/>
          </w:tcPr>
          <w:p w14:paraId="7A0DA863" w14:textId="6FBEC48D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44.05</w:t>
            </w:r>
          </w:p>
        </w:tc>
      </w:tr>
      <w:tr w:rsidR="005347E2" w:rsidRPr="005347E2" w14:paraId="21513541" w14:textId="77777777" w:rsidTr="005347E2">
        <w:tc>
          <w:tcPr>
            <w:tcW w:w="1927" w:type="dxa"/>
          </w:tcPr>
          <w:p w14:paraId="47C0108D" w14:textId="3BA4DEF2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Combined</w:t>
            </w:r>
          </w:p>
        </w:tc>
        <w:tc>
          <w:tcPr>
            <w:tcW w:w="2568" w:type="dxa"/>
          </w:tcPr>
          <w:p w14:paraId="2E47C67E" w14:textId="7FB5E3B2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1890" w:type="dxa"/>
          </w:tcPr>
          <w:p w14:paraId="12969E60" w14:textId="7FED19F9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1.14-1.51</w:t>
            </w:r>
          </w:p>
        </w:tc>
        <w:tc>
          <w:tcPr>
            <w:tcW w:w="2250" w:type="dxa"/>
          </w:tcPr>
          <w:p w14:paraId="3746911B" w14:textId="460A5E77" w:rsidR="005347E2" w:rsidRPr="005347E2" w:rsidRDefault="005347E2" w:rsidP="009028C4">
            <w:pPr>
              <w:rPr>
                <w:rFonts w:ascii="Times New Roman" w:hAnsi="Times New Roman" w:cs="Times New Roman"/>
              </w:rPr>
            </w:pPr>
            <w:r w:rsidRPr="005347E2">
              <w:rPr>
                <w:rFonts w:ascii="Times New Roman" w:hAnsi="Times New Roman" w:cs="Times New Roman"/>
              </w:rPr>
              <w:t>-</w:t>
            </w:r>
          </w:p>
        </w:tc>
      </w:tr>
    </w:tbl>
    <w:p w14:paraId="1973C7D4" w14:textId="491A5C6B" w:rsidR="00256223" w:rsidRPr="005347E2" w:rsidRDefault="005347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 of interaction (likelihood ratio test): p=0.54</w:t>
      </w:r>
    </w:p>
    <w:sectPr w:rsidR="00256223" w:rsidRPr="005347E2" w:rsidSect="00F655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BB"/>
    <w:rsid w:val="00007D18"/>
    <w:rsid w:val="000607C9"/>
    <w:rsid w:val="000C432F"/>
    <w:rsid w:val="000D7B1F"/>
    <w:rsid w:val="000F49BB"/>
    <w:rsid w:val="000F7608"/>
    <w:rsid w:val="001271D9"/>
    <w:rsid w:val="00182C45"/>
    <w:rsid w:val="001B6FE0"/>
    <w:rsid w:val="001B70E3"/>
    <w:rsid w:val="00256223"/>
    <w:rsid w:val="002764E7"/>
    <w:rsid w:val="00306823"/>
    <w:rsid w:val="0039310D"/>
    <w:rsid w:val="003D34E5"/>
    <w:rsid w:val="004954C1"/>
    <w:rsid w:val="004974B3"/>
    <w:rsid w:val="005003D6"/>
    <w:rsid w:val="005347E2"/>
    <w:rsid w:val="005B323B"/>
    <w:rsid w:val="00636A92"/>
    <w:rsid w:val="00657136"/>
    <w:rsid w:val="00694446"/>
    <w:rsid w:val="00711879"/>
    <w:rsid w:val="00753AAB"/>
    <w:rsid w:val="00765293"/>
    <w:rsid w:val="0078720C"/>
    <w:rsid w:val="008153E8"/>
    <w:rsid w:val="00824DE7"/>
    <w:rsid w:val="009307DE"/>
    <w:rsid w:val="00960CE5"/>
    <w:rsid w:val="009B0D81"/>
    <w:rsid w:val="00A64CC4"/>
    <w:rsid w:val="00AF4298"/>
    <w:rsid w:val="00B37AB1"/>
    <w:rsid w:val="00B63864"/>
    <w:rsid w:val="00B9188A"/>
    <w:rsid w:val="00BD6FE6"/>
    <w:rsid w:val="00C01250"/>
    <w:rsid w:val="00C344A6"/>
    <w:rsid w:val="00CA282C"/>
    <w:rsid w:val="00E2019C"/>
    <w:rsid w:val="00EE1788"/>
    <w:rsid w:val="00F655DF"/>
    <w:rsid w:val="00F74B37"/>
    <w:rsid w:val="00FF1B47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71B4D"/>
  <w15:chartTrackingRefBased/>
  <w15:docId w15:val="{E9AD5039-08D2-B44C-9E94-0451EBF0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9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B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256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Spinelli, Matthew</dc:creator>
  <cp:keywords/>
  <dc:description/>
  <cp:lastModifiedBy>Spinelli, Matthew</cp:lastModifiedBy>
  <cp:revision>5</cp:revision>
  <dcterms:created xsi:type="dcterms:W3CDTF">2020-06-29T23:06:00Z</dcterms:created>
  <dcterms:modified xsi:type="dcterms:W3CDTF">2020-07-02T22:02:00Z</dcterms:modified>
</cp:coreProperties>
</file>