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28A" w:rsidRDefault="003E028A">
      <w:pPr>
        <w:spacing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</w:rPr>
        <w:t xml:space="preserve">Table 1 (supplementary). </w:t>
      </w:r>
      <w:r>
        <w:rPr>
          <w:rFonts w:ascii="Arial" w:hAnsi="Arial" w:cs="Arial"/>
          <w:sz w:val="24"/>
          <w:szCs w:val="24"/>
        </w:rPr>
        <w:t>Incidence of all fractures and osteoporotic fractures by HIV and age categories</w:t>
      </w:r>
    </w:p>
    <w:tbl>
      <w:tblPr>
        <w:tblW w:w="1043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8"/>
        <w:gridCol w:w="1808"/>
        <w:gridCol w:w="1808"/>
        <w:gridCol w:w="1808"/>
        <w:gridCol w:w="1808"/>
        <w:gridCol w:w="699"/>
        <w:gridCol w:w="699"/>
      </w:tblGrid>
      <w:tr w:rsidR="003E028A">
        <w:trPr>
          <w:trHeight w:val="440"/>
        </w:trPr>
        <w:tc>
          <w:tcPr>
            <w:tcW w:w="9040" w:type="dxa"/>
            <w:gridSpan w:val="5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95% CI</w:t>
            </w:r>
          </w:p>
        </w:tc>
      </w:tr>
      <w:tr w:rsidR="003E028A">
        <w:trPr>
          <w:trHeight w:val="1052"/>
        </w:trPr>
        <w:tc>
          <w:tcPr>
            <w:tcW w:w="3616" w:type="dxa"/>
            <w:gridSpan w:val="2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Fractures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(except face,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skull, digits)</w:t>
            </w:r>
          </w:p>
        </w:tc>
        <w:tc>
          <w:tcPr>
            <w:tcW w:w="1808" w:type="dxa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808" w:type="dxa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IR per 1000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PYR</w:t>
            </w:r>
          </w:p>
        </w:tc>
        <w:tc>
          <w:tcPr>
            <w:tcW w:w="699" w:type="dxa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LL</w:t>
            </w:r>
          </w:p>
        </w:tc>
        <w:tc>
          <w:tcPr>
            <w:tcW w:w="699" w:type="dxa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</w:t>
            </w:r>
          </w:p>
        </w:tc>
      </w:tr>
      <w:tr w:rsidR="003E028A">
        <w:trPr>
          <w:cantSplit/>
          <w:trHeight w:val="579"/>
        </w:trPr>
        <w:tc>
          <w:tcPr>
            <w:tcW w:w="1808" w:type="dxa"/>
            <w:vMerge w:val="restart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Age*HIV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40-49 HIV-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8481.9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11.2</w:t>
            </w:r>
          </w:p>
        </w:tc>
      </w:tr>
      <w:tr w:rsidR="003E028A">
        <w:trPr>
          <w:cantSplit/>
          <w:trHeight w:val="592"/>
        </w:trPr>
        <w:tc>
          <w:tcPr>
            <w:tcW w:w="1808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50-59 HIV- 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63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7374.7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8.5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6.7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10.9</w:t>
            </w:r>
          </w:p>
        </w:tc>
      </w:tr>
      <w:tr w:rsidR="003E028A">
        <w:trPr>
          <w:cantSplit/>
          <w:trHeight w:val="592"/>
        </w:trPr>
        <w:tc>
          <w:tcPr>
            <w:tcW w:w="1808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 60 HIV-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3852.8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15.1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11.6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19.5</w:t>
            </w:r>
          </w:p>
        </w:tc>
      </w:tr>
      <w:tr w:rsidR="003E028A">
        <w:trPr>
          <w:cantSplit/>
          <w:trHeight w:val="592"/>
        </w:trPr>
        <w:tc>
          <w:tcPr>
            <w:tcW w:w="1808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40-49 HIV+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7372.1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8.1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10.5</w:t>
            </w:r>
          </w:p>
        </w:tc>
      </w:tr>
      <w:tr w:rsidR="003E028A">
        <w:trPr>
          <w:cantSplit/>
          <w:trHeight w:val="592"/>
        </w:trPr>
        <w:tc>
          <w:tcPr>
            <w:tcW w:w="1808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50-59 HIV+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96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5273.1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18.2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14.9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22.2</w:t>
            </w:r>
          </w:p>
        </w:tc>
      </w:tr>
      <w:tr w:rsidR="003E028A">
        <w:trPr>
          <w:cantSplit/>
          <w:trHeight w:val="592"/>
        </w:trPr>
        <w:tc>
          <w:tcPr>
            <w:tcW w:w="1808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 60 HIV+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1602.4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16.2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11.1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23.8</w:t>
            </w:r>
          </w:p>
        </w:tc>
      </w:tr>
      <w:tr w:rsidR="003E028A">
        <w:trPr>
          <w:trHeight w:val="278"/>
        </w:trPr>
        <w:tc>
          <w:tcPr>
            <w:tcW w:w="9040" w:type="dxa"/>
            <w:gridSpan w:val="5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398" w:type="dxa"/>
            <w:gridSpan w:val="2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95% CI</w:t>
            </w:r>
          </w:p>
        </w:tc>
      </w:tr>
      <w:tr w:rsidR="003E028A">
        <w:trPr>
          <w:trHeight w:val="953"/>
        </w:trPr>
        <w:tc>
          <w:tcPr>
            <w:tcW w:w="1808" w:type="dxa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Osteoporotic fractures</w:t>
            </w:r>
          </w:p>
        </w:tc>
        <w:tc>
          <w:tcPr>
            <w:tcW w:w="1808" w:type="dxa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Person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years</w:t>
            </w:r>
          </w:p>
        </w:tc>
        <w:tc>
          <w:tcPr>
            <w:tcW w:w="1808" w:type="dxa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IR per 1000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PYR</w:t>
            </w:r>
          </w:p>
        </w:tc>
        <w:tc>
          <w:tcPr>
            <w:tcW w:w="699" w:type="dxa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LL</w:t>
            </w:r>
          </w:p>
        </w:tc>
        <w:tc>
          <w:tcPr>
            <w:tcW w:w="699" w:type="dxa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</w:t>
            </w:r>
          </w:p>
        </w:tc>
      </w:tr>
      <w:tr w:rsidR="003E028A">
        <w:trPr>
          <w:cantSplit/>
          <w:trHeight w:val="592"/>
        </w:trPr>
        <w:tc>
          <w:tcPr>
            <w:tcW w:w="1808" w:type="dxa"/>
            <w:vMerge w:val="restart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Age*HIV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40-49 HIV-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8750.1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4.2</w:t>
            </w:r>
          </w:p>
        </w:tc>
      </w:tr>
      <w:tr w:rsidR="003E028A">
        <w:trPr>
          <w:cantSplit/>
          <w:trHeight w:val="592"/>
        </w:trPr>
        <w:tc>
          <w:tcPr>
            <w:tcW w:w="1808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50-59 HIV-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7842.9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2.9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4.4</w:t>
            </w:r>
          </w:p>
        </w:tc>
      </w:tr>
      <w:tr w:rsidR="003E028A">
        <w:trPr>
          <w:cantSplit/>
          <w:trHeight w:val="592"/>
        </w:trPr>
        <w:tc>
          <w:tcPr>
            <w:tcW w:w="1808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 60 HIV-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4302.3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5.1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3.4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7.8</w:t>
            </w:r>
          </w:p>
        </w:tc>
      </w:tr>
      <w:tr w:rsidR="003E028A">
        <w:trPr>
          <w:cantSplit/>
          <w:trHeight w:val="592"/>
        </w:trPr>
        <w:tc>
          <w:tcPr>
            <w:tcW w:w="1808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40-49 HIV+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7609.8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4.1</w:t>
            </w:r>
          </w:p>
        </w:tc>
      </w:tr>
      <w:tr w:rsidR="003E028A">
        <w:trPr>
          <w:cantSplit/>
          <w:trHeight w:val="579"/>
        </w:trPr>
        <w:tc>
          <w:tcPr>
            <w:tcW w:w="1808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50-59 HIV+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36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5708.7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4.6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8.8</w:t>
            </w:r>
          </w:p>
        </w:tc>
      </w:tr>
      <w:tr w:rsidR="003E028A">
        <w:trPr>
          <w:cantSplit/>
          <w:trHeight w:val="592"/>
        </w:trPr>
        <w:tc>
          <w:tcPr>
            <w:tcW w:w="1808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 60 HIV+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1836.2</w:t>
            </w:r>
          </w:p>
        </w:tc>
        <w:tc>
          <w:tcPr>
            <w:tcW w:w="1808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7.6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4.5</w:t>
            </w:r>
          </w:p>
        </w:tc>
        <w:tc>
          <w:tcPr>
            <w:tcW w:w="699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12.9</w:t>
            </w:r>
          </w:p>
        </w:tc>
      </w:tr>
    </w:tbl>
    <w:p w:rsidR="003E028A" w:rsidRDefault="003E028A">
      <w:pPr>
        <w:spacing w:line="480" w:lineRule="auto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 xml:space="preserve">  </w:t>
      </w:r>
    </w:p>
    <w:p w:rsidR="003E028A" w:rsidRDefault="003E028A">
      <w:pPr>
        <w:spacing w:line="240" w:lineRule="auto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t>Incidence rate (IR) per 1000 person year (PYR) of all fractures and osteoporotic fractures stratified by age categories and HIV status.</w:t>
      </w:r>
    </w:p>
    <w:p w:rsidR="003E028A" w:rsidRDefault="003E028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3E028A" w:rsidRDefault="003E028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Table 2 (supplementary).</w:t>
      </w:r>
      <w:r>
        <w:rPr>
          <w:rFonts w:ascii="Arial" w:hAnsi="Arial" w:cs="Arial"/>
          <w:sz w:val="24"/>
          <w:szCs w:val="24"/>
        </w:rPr>
        <w:t xml:space="preserve"> Unadjusted Incidence Rate Ratio of all fractures and osteoporotic fractures </w:t>
      </w:r>
    </w:p>
    <w:tbl>
      <w:tblPr>
        <w:tblpPr w:leftFromText="180" w:rightFromText="180" w:vertAnchor="text" w:horzAnchor="page" w:tblpX="731" w:tblpY="586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5"/>
        <w:gridCol w:w="1890"/>
        <w:gridCol w:w="1260"/>
        <w:gridCol w:w="810"/>
        <w:gridCol w:w="810"/>
        <w:gridCol w:w="1080"/>
        <w:gridCol w:w="1260"/>
        <w:gridCol w:w="810"/>
        <w:gridCol w:w="810"/>
        <w:gridCol w:w="1080"/>
      </w:tblGrid>
      <w:tr w:rsidR="003E028A">
        <w:trPr>
          <w:cantSplit/>
          <w:trHeight w:val="458"/>
        </w:trPr>
        <w:tc>
          <w:tcPr>
            <w:tcW w:w="3325" w:type="dxa"/>
            <w:gridSpan w:val="2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IRR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fractures</w:t>
            </w:r>
          </w:p>
        </w:tc>
        <w:tc>
          <w:tcPr>
            <w:tcW w:w="1620" w:type="dxa"/>
            <w:gridSpan w:val="2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080" w:type="dxa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IRR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Fragility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fractures</w:t>
            </w:r>
          </w:p>
        </w:tc>
        <w:tc>
          <w:tcPr>
            <w:tcW w:w="1620" w:type="dxa"/>
            <w:gridSpan w:val="2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080" w:type="dxa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028A">
        <w:trPr>
          <w:cantSplit/>
          <w:trHeight w:val="710"/>
        </w:trPr>
        <w:tc>
          <w:tcPr>
            <w:tcW w:w="3325" w:type="dxa"/>
            <w:gridSpan w:val="2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LL</w:t>
            </w:r>
          </w:p>
        </w:tc>
        <w:tc>
          <w:tcPr>
            <w:tcW w:w="810" w:type="dxa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1080" w:type="dxa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1260" w:type="dxa"/>
            <w:vMerge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LL</w:t>
            </w:r>
          </w:p>
        </w:tc>
        <w:tc>
          <w:tcPr>
            <w:tcW w:w="810" w:type="dxa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1080" w:type="dxa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</w:tr>
      <w:tr w:rsidR="003E028A">
        <w:trPr>
          <w:cantSplit/>
          <w:trHeight w:val="288"/>
        </w:trPr>
        <w:tc>
          <w:tcPr>
            <w:tcW w:w="1435" w:type="dxa"/>
            <w:vMerge w:val="restart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group</w:t>
            </w:r>
          </w:p>
        </w:tc>
        <w:tc>
          <w:tcPr>
            <w:tcW w:w="1890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40-49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028A">
        <w:trPr>
          <w:cantSplit/>
          <w:trHeight w:val="288"/>
        </w:trPr>
        <w:tc>
          <w:tcPr>
            <w:tcW w:w="1435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50-59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1.84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2.33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0.020</w:t>
            </w:r>
          </w:p>
        </w:tc>
      </w:tr>
      <w:tr w:rsidR="003E028A">
        <w:trPr>
          <w:cantSplit/>
          <w:trHeight w:val="288"/>
        </w:trPr>
        <w:tc>
          <w:tcPr>
            <w:tcW w:w="1435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 60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1.79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2.36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&lt;0.001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2.13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3.3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&lt;0.001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HIV infection 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1.56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0.017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1.92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0.057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Non-Caucasian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0.121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0.79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0.264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BMI ≥25 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0.69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0.216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0.79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0.195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Hypertension 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1.44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0.002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0.99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2.03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0.059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Diabetes 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0.73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1.56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0.723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0.33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0.355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Hepatitis C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1.55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0.899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0.116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eGFR &lt;60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1.79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2.71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0.006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0.76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3.17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0.225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smoking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1.29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0.867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1.77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0.305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Moderate-Heavy/Binge drinking  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0.987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0.499</w:t>
            </w:r>
          </w:p>
        </w:tc>
      </w:tr>
    </w:tbl>
    <w:p w:rsidR="003E028A" w:rsidRDefault="003E028A">
      <w:pPr>
        <w:rPr>
          <w:rFonts w:ascii="Arial" w:hAnsi="Arial" w:cs="Arial"/>
          <w:sz w:val="24"/>
          <w:szCs w:val="24"/>
        </w:rPr>
      </w:pPr>
    </w:p>
    <w:p w:rsidR="003E028A" w:rsidRDefault="003E028A">
      <w:pPr>
        <w:rPr>
          <w:rFonts w:ascii="Arial" w:hAnsi="Arial" w:cs="Arial"/>
          <w:sz w:val="24"/>
          <w:szCs w:val="24"/>
        </w:rPr>
      </w:pPr>
    </w:p>
    <w:p w:rsidR="003E028A" w:rsidRDefault="003E028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Unadjusted Incidence Rate Ratio (IRR) of all fractures and osteoporotic fractures was estimated using univariable Poisson regression models. Multiple imputation was carried out to fill in missing covariates data.</w:t>
      </w:r>
    </w:p>
    <w:p w:rsidR="003E028A" w:rsidRDefault="003E028A">
      <w:pPr>
        <w:spacing w:line="240" w:lineRule="auto"/>
        <w:rPr>
          <w:rFonts w:ascii="Arial" w:hAnsi="Arial" w:cs="Arial"/>
          <w:sz w:val="24"/>
          <w:szCs w:val="24"/>
        </w:rPr>
      </w:pPr>
    </w:p>
    <w:p w:rsidR="003E028A" w:rsidRDefault="003E028A">
      <w:pPr>
        <w:spacing w:line="240" w:lineRule="auto"/>
        <w:rPr>
          <w:rFonts w:ascii="Arial" w:hAnsi="Arial" w:cs="Arial"/>
          <w:sz w:val="24"/>
          <w:szCs w:val="24"/>
        </w:rPr>
      </w:pPr>
    </w:p>
    <w:p w:rsidR="003E028A" w:rsidRDefault="003E028A">
      <w:pPr>
        <w:rPr>
          <w:rFonts w:ascii="Times New Roman" w:hAnsi="Times New Roman" w:cs="Times New Roman"/>
        </w:rPr>
      </w:pPr>
    </w:p>
    <w:p w:rsidR="003E028A" w:rsidRDefault="003E028A">
      <w:pPr>
        <w:rPr>
          <w:rFonts w:ascii="Times New Roman" w:hAnsi="Times New Roman" w:cs="Times New Roman"/>
        </w:rPr>
      </w:pPr>
    </w:p>
    <w:p w:rsidR="003E028A" w:rsidRDefault="003E028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3E028A" w:rsidRDefault="003E028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3E028A" w:rsidRDefault="003E028A">
      <w:pPr>
        <w:spacing w:line="240" w:lineRule="auto"/>
        <w:rPr>
          <w:rFonts w:ascii="Arial" w:hAnsi="Arial" w:cs="Arial"/>
          <w:sz w:val="24"/>
          <w:szCs w:val="24"/>
        </w:rPr>
      </w:pPr>
    </w:p>
    <w:p w:rsidR="003E028A" w:rsidRDefault="003E028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Table 3 (supplementary). </w:t>
      </w:r>
      <w:r>
        <w:rPr>
          <w:rFonts w:ascii="Arial" w:hAnsi="Arial" w:cs="Arial"/>
          <w:sz w:val="24"/>
          <w:szCs w:val="24"/>
        </w:rPr>
        <w:t xml:space="preserve">Adjusted Incidence Rate Ratio of all fractures and osteoporotic fractures </w:t>
      </w:r>
    </w:p>
    <w:tbl>
      <w:tblPr>
        <w:tblpPr w:leftFromText="180" w:rightFromText="180" w:vertAnchor="text" w:horzAnchor="page" w:tblpX="731" w:tblpY="586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5"/>
        <w:gridCol w:w="1890"/>
        <w:gridCol w:w="1260"/>
        <w:gridCol w:w="810"/>
        <w:gridCol w:w="810"/>
        <w:gridCol w:w="1080"/>
        <w:gridCol w:w="1260"/>
        <w:gridCol w:w="810"/>
        <w:gridCol w:w="810"/>
        <w:gridCol w:w="1080"/>
      </w:tblGrid>
      <w:tr w:rsidR="003E028A">
        <w:trPr>
          <w:cantSplit/>
          <w:trHeight w:val="458"/>
        </w:trPr>
        <w:tc>
          <w:tcPr>
            <w:tcW w:w="3325" w:type="dxa"/>
            <w:gridSpan w:val="2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Adjusted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IRR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fractures</w:t>
            </w:r>
          </w:p>
        </w:tc>
        <w:tc>
          <w:tcPr>
            <w:tcW w:w="1620" w:type="dxa"/>
            <w:gridSpan w:val="2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080" w:type="dxa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Adjusted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IRR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Fragility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fractures</w:t>
            </w:r>
          </w:p>
        </w:tc>
        <w:tc>
          <w:tcPr>
            <w:tcW w:w="1620" w:type="dxa"/>
            <w:gridSpan w:val="2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080" w:type="dxa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028A">
        <w:trPr>
          <w:cantSplit/>
          <w:trHeight w:val="710"/>
        </w:trPr>
        <w:tc>
          <w:tcPr>
            <w:tcW w:w="3325" w:type="dxa"/>
            <w:gridSpan w:val="2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LL</w:t>
            </w:r>
          </w:p>
        </w:tc>
        <w:tc>
          <w:tcPr>
            <w:tcW w:w="810" w:type="dxa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1080" w:type="dxa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1260" w:type="dxa"/>
            <w:vMerge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LL</w:t>
            </w:r>
          </w:p>
        </w:tc>
        <w:tc>
          <w:tcPr>
            <w:tcW w:w="810" w:type="dxa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1080" w:type="dxa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</w:tr>
      <w:tr w:rsidR="003E028A">
        <w:trPr>
          <w:cantSplit/>
          <w:trHeight w:val="288"/>
        </w:trPr>
        <w:tc>
          <w:tcPr>
            <w:tcW w:w="1435" w:type="dxa"/>
            <w:vMerge w:val="restart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Age *HIV </w:t>
            </w:r>
          </w:p>
        </w:tc>
        <w:tc>
          <w:tcPr>
            <w:tcW w:w="1890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HIV- 40-49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028A">
        <w:trPr>
          <w:cantSplit/>
          <w:trHeight w:val="288"/>
        </w:trPr>
        <w:tc>
          <w:tcPr>
            <w:tcW w:w="1435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HIV- 50-59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0.675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1.81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0.945</w:t>
            </w:r>
          </w:p>
        </w:tc>
      </w:tr>
      <w:tr w:rsidR="003E028A">
        <w:trPr>
          <w:cantSplit/>
          <w:trHeight w:val="288"/>
        </w:trPr>
        <w:tc>
          <w:tcPr>
            <w:tcW w:w="1435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HIV- ≥ 60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1.06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0.023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3.12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0.074</w:t>
            </w:r>
          </w:p>
        </w:tc>
      </w:tr>
      <w:tr w:rsidR="003E028A">
        <w:trPr>
          <w:cantSplit/>
          <w:trHeight w:val="288"/>
        </w:trPr>
        <w:tc>
          <w:tcPr>
            <w:tcW w:w="1435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HIV+ 40-49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1.29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0.623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1.66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0.781</w:t>
            </w:r>
          </w:p>
        </w:tc>
      </w:tr>
      <w:tr w:rsidR="003E028A">
        <w:trPr>
          <w:cantSplit/>
          <w:trHeight w:val="288"/>
        </w:trPr>
        <w:tc>
          <w:tcPr>
            <w:tcW w:w="1435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HIV+ 50-59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2.61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0.001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1.24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3.55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0.006</w:t>
            </w:r>
          </w:p>
        </w:tc>
      </w:tr>
      <w:tr w:rsidR="003E028A">
        <w:trPr>
          <w:cantSplit/>
          <w:trHeight w:val="288"/>
        </w:trPr>
        <w:tc>
          <w:tcPr>
            <w:tcW w:w="1435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HIV+ ≥ 60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1.56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2.49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0.060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0.009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Non-Caucasian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0.64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0.194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0.202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BMI ≥ 25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1.08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0.174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0.83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1.19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0.314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Hypertension 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1.69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0.025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1.36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2.02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0.135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Diabetes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0.89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1.33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0.549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0.23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1.26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0.150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Hepatitis C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1.51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0.744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1.66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3.29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0.147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eGFR &lt; 60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1.44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2.24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0.105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2.49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0.663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Current smoking 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1.41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0.456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1.93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0.198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Moderate-Heavy/Binge drinking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1.03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1.32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0.807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0.86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0.56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1.31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0.482</w:t>
            </w:r>
          </w:p>
        </w:tc>
      </w:tr>
    </w:tbl>
    <w:p w:rsidR="003E028A" w:rsidRDefault="003E028A">
      <w:pPr>
        <w:numPr>
          <w:ilvl w:val="1"/>
          <w:numId w:val="0"/>
        </w:numPr>
        <w:rPr>
          <w:rFonts w:ascii="Arial" w:hAnsi="Arial" w:cs="Arial"/>
          <w:spacing w:val="15"/>
          <w:sz w:val="24"/>
          <w:szCs w:val="24"/>
        </w:rPr>
      </w:pPr>
    </w:p>
    <w:p w:rsidR="003E028A" w:rsidRDefault="003E028A">
      <w:pPr>
        <w:numPr>
          <w:ilvl w:val="1"/>
          <w:numId w:val="0"/>
        </w:numPr>
        <w:rPr>
          <w:rFonts w:ascii="Arial" w:hAnsi="Arial" w:cs="Arial"/>
          <w:spacing w:val="15"/>
          <w:sz w:val="24"/>
          <w:szCs w:val="24"/>
        </w:rPr>
      </w:pPr>
    </w:p>
    <w:p w:rsidR="003E028A" w:rsidRDefault="003E028A">
      <w:pPr>
        <w:numPr>
          <w:ilvl w:val="1"/>
          <w:numId w:val="0"/>
        </w:numPr>
        <w:rPr>
          <w:rFonts w:ascii="Arial" w:hAnsi="Arial" w:cs="Arial"/>
          <w:spacing w:val="15"/>
          <w:sz w:val="24"/>
          <w:szCs w:val="24"/>
        </w:rPr>
      </w:pPr>
      <w:r>
        <w:rPr>
          <w:rFonts w:ascii="Arial" w:hAnsi="Arial" w:cs="Arial"/>
          <w:spacing w:val="15"/>
          <w:sz w:val="24"/>
          <w:szCs w:val="24"/>
        </w:rPr>
        <w:t>Adjusted Incidence Rate Ratio (aIRR) was estimated using Poisson regression model adjusting for age*HIV status interaction, BMI, race, eGFR, hypertension, diabetes, HCV-infection, tobacco smoking and alcohol use. Multiple imputation was carried out to fill in missing covariates data.</w:t>
      </w:r>
    </w:p>
    <w:p w:rsidR="003E028A" w:rsidRDefault="003E028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3E028A" w:rsidRDefault="003E028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3E028A" w:rsidRDefault="003E028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p w:rsidR="003E028A" w:rsidRDefault="003E028A">
      <w:pPr>
        <w:numPr>
          <w:ilvl w:val="1"/>
          <w:numId w:val="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Table 4 (supplementary): </w:t>
      </w:r>
      <w:r>
        <w:rPr>
          <w:rFonts w:ascii="Arial" w:hAnsi="Arial" w:cs="Arial"/>
          <w:sz w:val="24"/>
          <w:szCs w:val="24"/>
        </w:rPr>
        <w:t>Adjusted Incidence Rate Ratio of all fractures and fragility fractures in the HIV-infected men.</w:t>
      </w:r>
    </w:p>
    <w:tbl>
      <w:tblPr>
        <w:tblpPr w:leftFromText="180" w:rightFromText="180" w:vertAnchor="text" w:horzAnchor="page" w:tblpX="731" w:tblpY="586"/>
        <w:tblW w:w="11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35"/>
        <w:gridCol w:w="1890"/>
        <w:gridCol w:w="1260"/>
        <w:gridCol w:w="810"/>
        <w:gridCol w:w="810"/>
        <w:gridCol w:w="1080"/>
        <w:gridCol w:w="1260"/>
        <w:gridCol w:w="810"/>
        <w:gridCol w:w="810"/>
        <w:gridCol w:w="1080"/>
      </w:tblGrid>
      <w:tr w:rsidR="003E028A">
        <w:trPr>
          <w:cantSplit/>
          <w:trHeight w:val="458"/>
        </w:trPr>
        <w:tc>
          <w:tcPr>
            <w:tcW w:w="3325" w:type="dxa"/>
            <w:gridSpan w:val="2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Adjusted 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IRR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fractures</w:t>
            </w:r>
          </w:p>
        </w:tc>
        <w:tc>
          <w:tcPr>
            <w:tcW w:w="1620" w:type="dxa"/>
            <w:gridSpan w:val="2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080" w:type="dxa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Adjusted 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IRR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Fragility</w:t>
            </w: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fractures</w:t>
            </w:r>
          </w:p>
        </w:tc>
        <w:tc>
          <w:tcPr>
            <w:tcW w:w="1620" w:type="dxa"/>
            <w:gridSpan w:val="2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95% CI</w:t>
            </w:r>
          </w:p>
        </w:tc>
        <w:tc>
          <w:tcPr>
            <w:tcW w:w="1080" w:type="dxa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3E028A">
        <w:trPr>
          <w:cantSplit/>
          <w:trHeight w:val="710"/>
        </w:trPr>
        <w:tc>
          <w:tcPr>
            <w:tcW w:w="3325" w:type="dxa"/>
            <w:gridSpan w:val="2"/>
            <w:shd w:val="clear" w:color="auto" w:fill="D0CECE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1260" w:type="dxa"/>
            <w:vMerge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LL</w:t>
            </w:r>
          </w:p>
        </w:tc>
        <w:tc>
          <w:tcPr>
            <w:tcW w:w="810" w:type="dxa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1080" w:type="dxa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  <w:tc>
          <w:tcPr>
            <w:tcW w:w="1260" w:type="dxa"/>
            <w:vMerge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810" w:type="dxa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LL</w:t>
            </w:r>
          </w:p>
        </w:tc>
        <w:tc>
          <w:tcPr>
            <w:tcW w:w="810" w:type="dxa"/>
            <w:shd w:val="clear" w:color="auto" w:fill="D0CECE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UL</w:t>
            </w:r>
          </w:p>
        </w:tc>
        <w:tc>
          <w:tcPr>
            <w:tcW w:w="1080" w:type="dxa"/>
            <w:shd w:val="clear" w:color="auto" w:fill="D0CECE"/>
          </w:tcPr>
          <w:p w:rsidR="003E028A" w:rsidRDefault="003E028A">
            <w:pPr>
              <w:spacing w:after="0" w:line="276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3E028A" w:rsidRDefault="003E028A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P-value</w:t>
            </w:r>
          </w:p>
        </w:tc>
      </w:tr>
      <w:tr w:rsidR="003E028A">
        <w:trPr>
          <w:cantSplit/>
          <w:trHeight w:val="288"/>
        </w:trPr>
        <w:tc>
          <w:tcPr>
            <w:tcW w:w="1435" w:type="dxa"/>
            <w:vMerge w:val="restart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Age group</w:t>
            </w:r>
          </w:p>
        </w:tc>
        <w:tc>
          <w:tcPr>
            <w:tcW w:w="1890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40-49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3E028A">
        <w:trPr>
          <w:cantSplit/>
          <w:trHeight w:val="288"/>
        </w:trPr>
        <w:tc>
          <w:tcPr>
            <w:tcW w:w="1435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50-59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1.09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2.2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0.015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1.69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0.93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3.05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0.083</w:t>
            </w:r>
          </w:p>
        </w:tc>
      </w:tr>
      <w:tr w:rsidR="003E028A">
        <w:trPr>
          <w:cantSplit/>
          <w:trHeight w:val="288"/>
        </w:trPr>
        <w:tc>
          <w:tcPr>
            <w:tcW w:w="1435" w:type="dxa"/>
            <w:vMerge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90" w:type="dxa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≥ 60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1.78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0.847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0.84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4.07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0.124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Non-Caucasian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0.54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1.12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0.173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1.51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0.577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BMI ≥ 25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0.048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0.73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0.262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Hypertension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1.88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0.075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1.83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0.947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Diabetes 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0.74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1.33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0.312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1.76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0.339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Hepatitis C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1.53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0.495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3.54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0.412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eGFR &lt; 60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2.52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0.145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0.79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2.19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0.646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smoking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1.37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0.85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1.04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0.59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1.83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0.883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Moderate-Heavy/Binge drinking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1.71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0.379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1.37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0.265</w:t>
            </w:r>
          </w:p>
        </w:tc>
      </w:tr>
      <w:tr w:rsidR="003E028A">
        <w:trPr>
          <w:trHeight w:val="602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276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CD4+ &lt; 500 cells/uL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1.52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0.549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0.49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1.49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0.573</w:t>
            </w:r>
          </w:p>
        </w:tc>
      </w:tr>
      <w:tr w:rsidR="003E028A">
        <w:trPr>
          <w:trHeight w:val="800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Viremia copy-years/log 10 increase in copy-years/ml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1.14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1.01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0.042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1.44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0.143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History of AIDS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1.44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0.905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0.66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2.16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0.552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Cumulative TDF/5 years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1.13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0.87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1.47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0.37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0.94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0.62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1.45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0.792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Cumulative PI/5 years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1.15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1.39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0.145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0.95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1.7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0.11</w:t>
            </w:r>
          </w:p>
        </w:tc>
      </w:tr>
      <w:tr w:rsidR="003E028A">
        <w:trPr>
          <w:trHeight w:val="288"/>
        </w:trPr>
        <w:tc>
          <w:tcPr>
            <w:tcW w:w="3325" w:type="dxa"/>
            <w:gridSpan w:val="2"/>
          </w:tcPr>
          <w:p w:rsidR="003E028A" w:rsidRDefault="003E028A">
            <w:pPr>
              <w:spacing w:after="0" w:line="48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 ART use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2.61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1.58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4.3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&lt;0.001</w:t>
            </w:r>
          </w:p>
        </w:tc>
        <w:tc>
          <w:tcPr>
            <w:tcW w:w="126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3.07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1.27</w:t>
            </w:r>
          </w:p>
        </w:tc>
        <w:tc>
          <w:tcPr>
            <w:tcW w:w="81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7.42</w:t>
            </w:r>
          </w:p>
        </w:tc>
        <w:tc>
          <w:tcPr>
            <w:tcW w:w="1080" w:type="dxa"/>
          </w:tcPr>
          <w:p w:rsidR="003E028A" w:rsidRDefault="003E028A">
            <w:pPr>
              <w:spacing w:after="0" w:line="48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0.013</w:t>
            </w:r>
          </w:p>
        </w:tc>
      </w:tr>
    </w:tbl>
    <w:p w:rsidR="003E028A" w:rsidRDefault="003E028A">
      <w:pPr>
        <w:spacing w:line="480" w:lineRule="auto"/>
        <w:rPr>
          <w:rFonts w:ascii="Arial" w:hAnsi="Arial" w:cs="Arial"/>
          <w:b/>
          <w:bCs/>
          <w:sz w:val="24"/>
          <w:szCs w:val="24"/>
        </w:rPr>
      </w:pPr>
    </w:p>
    <w:p w:rsidR="003E028A" w:rsidRDefault="003E028A">
      <w:pPr>
        <w:numPr>
          <w:ilvl w:val="1"/>
          <w:numId w:val="0"/>
        </w:numPr>
        <w:rPr>
          <w:rFonts w:ascii="Arial" w:hAnsi="Arial" w:cs="Arial"/>
          <w:spacing w:val="15"/>
          <w:sz w:val="24"/>
          <w:szCs w:val="24"/>
        </w:rPr>
      </w:pPr>
    </w:p>
    <w:p w:rsidR="003E028A" w:rsidRDefault="003E028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Adjusted Incidence Rate Ratio of all fractures and osteoporotic fractures in the HIV-infected cohort was estimated using multivariable Poisson regression models with 10 multiply imputed datasets</w:t>
      </w:r>
    </w:p>
    <w:p w:rsidR="003E028A" w:rsidRDefault="003E028A">
      <w:pPr>
        <w:rPr>
          <w:rFonts w:ascii="Times New Roman" w:hAnsi="Times New Roman" w:cs="Times New Roman"/>
        </w:rPr>
      </w:pPr>
    </w:p>
    <w:p w:rsidR="003E028A" w:rsidRDefault="003E028A">
      <w:pPr>
        <w:rPr>
          <w:rFonts w:ascii="Times New Roman" w:hAnsi="Times New Roman" w:cs="Times New Roman"/>
        </w:rPr>
      </w:pPr>
    </w:p>
    <w:p w:rsidR="003E028A" w:rsidRDefault="003E028A">
      <w:pPr>
        <w:spacing w:line="240" w:lineRule="auto"/>
        <w:rPr>
          <w:rFonts w:ascii="Arial" w:hAnsi="Arial" w:cs="Arial"/>
          <w:noProof/>
          <w:sz w:val="24"/>
          <w:szCs w:val="24"/>
        </w:rPr>
      </w:pPr>
    </w:p>
    <w:sectPr w:rsidR="003E028A" w:rsidSect="003E028A">
      <w:headerReference w:type="default" r:id="rId6"/>
      <w:pgSz w:w="12240" w:h="15840"/>
      <w:pgMar w:top="1440" w:right="1440" w:bottom="1440" w:left="1440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028A" w:rsidRDefault="003E02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3E028A" w:rsidRDefault="003E02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028A" w:rsidRDefault="003E02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3E028A" w:rsidRDefault="003E028A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28A" w:rsidRDefault="003E028A">
    <w:pPr>
      <w:pStyle w:val="Header"/>
      <w:jc w:val="right"/>
      <w:rPr>
        <w:rFonts w:ascii="Times New Roman" w:hAnsi="Times New Roman" w:cs="Times New Roman"/>
      </w:rPr>
    </w:pPr>
    <w:fldSimple w:instr=" PAGE   \* MERGEFORMAT ">
      <w:r>
        <w:rPr>
          <w:noProof/>
        </w:rPr>
        <w:t>6</w:t>
      </w:r>
    </w:fldSimple>
  </w:p>
  <w:p w:rsidR="003E028A" w:rsidRDefault="003E028A">
    <w:pPr>
      <w:pStyle w:val="Head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028A"/>
    <w:rsid w:val="003E0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lin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Calibri" w:eastAsia="Times New Roman" w:hAnsi="Calibri" w:cs="Calibri"/>
    </w:rPr>
  </w:style>
  <w:style w:type="character" w:styleId="LineNumber">
    <w:name w:val="line number"/>
    <w:basedOn w:val="DefaultParagraphFont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6</Pages>
  <Words>649</Words>
  <Characters>3832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MD2</dc:creator>
  <cp:keywords/>
  <dc:description/>
  <cp:lastModifiedBy>TEESLWW</cp:lastModifiedBy>
  <cp:revision>4</cp:revision>
  <dcterms:created xsi:type="dcterms:W3CDTF">2017-03-10T23:24:00Z</dcterms:created>
  <dcterms:modified xsi:type="dcterms:W3CDTF">2017-03-29T11:20:00Z</dcterms:modified>
</cp:coreProperties>
</file>