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DBF20" w14:textId="77777777" w:rsidR="00D950D2" w:rsidRDefault="00D950D2" w:rsidP="00553F31">
      <w:pPr>
        <w:adjustRightInd w:val="0"/>
        <w:spacing w:before="100" w:beforeAutospacing="1" w:after="240" w:line="240" w:lineRule="auto"/>
        <w:rPr>
          <w:rFonts w:ascii="Arial" w:hAnsi="Arial" w:cs="Arial"/>
          <w:b/>
          <w:color w:val="000000"/>
          <w:sz w:val="20"/>
          <w:szCs w:val="20"/>
        </w:rPr>
      </w:pPr>
    </w:p>
    <w:p w14:paraId="75C14EC4" w14:textId="17D26FF5" w:rsidR="00553F31" w:rsidRPr="004602E1" w:rsidRDefault="00553F31" w:rsidP="00553F31">
      <w:pPr>
        <w:adjustRightInd w:val="0"/>
        <w:spacing w:before="100" w:beforeAutospacing="1" w:after="240" w:line="240" w:lineRule="auto"/>
        <w:rPr>
          <w:rFonts w:ascii="Arial" w:hAnsi="Arial" w:cs="Arial"/>
          <w:b/>
          <w:color w:val="000000"/>
          <w:sz w:val="20"/>
          <w:szCs w:val="20"/>
        </w:rPr>
      </w:pPr>
      <w:r w:rsidRPr="004602E1">
        <w:rPr>
          <w:rFonts w:ascii="Arial" w:hAnsi="Arial" w:cs="Arial"/>
          <w:b/>
          <w:color w:val="000000"/>
          <w:sz w:val="20"/>
          <w:szCs w:val="20"/>
        </w:rPr>
        <w:t>Estimated Proportion of Participants with New Use of Lipid-Lowering Medication through Week 96 (Adjusted for Age and Baseline Weight)</w:t>
      </w:r>
    </w:p>
    <w:tbl>
      <w:tblPr>
        <w:tblW w:w="0" w:type="auto"/>
        <w:jc w:val="center"/>
        <w:tblLayout w:type="fixed"/>
        <w:tblCellMar>
          <w:left w:w="0" w:type="dxa"/>
          <w:right w:w="0" w:type="dxa"/>
        </w:tblCellMar>
        <w:tblLook w:val="0000" w:firstRow="0" w:lastRow="0" w:firstColumn="0" w:lastColumn="0" w:noHBand="0" w:noVBand="0"/>
      </w:tblPr>
      <w:tblGrid>
        <w:gridCol w:w="1502"/>
        <w:gridCol w:w="899"/>
        <w:gridCol w:w="1890"/>
        <w:gridCol w:w="810"/>
        <w:gridCol w:w="1890"/>
        <w:gridCol w:w="2130"/>
      </w:tblGrid>
      <w:tr w:rsidR="00553F31" w:rsidRPr="006506CA" w14:paraId="156788D2" w14:textId="77777777" w:rsidTr="00BF4BFD">
        <w:trPr>
          <w:cantSplit/>
          <w:tblHeader/>
          <w:jc w:val="center"/>
        </w:trPr>
        <w:tc>
          <w:tcPr>
            <w:tcW w:w="1502" w:type="dxa"/>
            <w:tcBorders>
              <w:top w:val="single" w:sz="8" w:space="0" w:color="000000"/>
              <w:left w:val="single" w:sz="8" w:space="0" w:color="000000"/>
              <w:bottom w:val="single" w:sz="8" w:space="0" w:color="000000"/>
              <w:right w:val="nil"/>
            </w:tcBorders>
            <w:shd w:val="clear" w:color="auto" w:fill="FFFFFF"/>
            <w:tcMar>
              <w:left w:w="48" w:type="dxa"/>
              <w:right w:w="48" w:type="dxa"/>
            </w:tcMar>
            <w:vAlign w:val="bottom"/>
          </w:tcPr>
          <w:p w14:paraId="13F7B290" w14:textId="77777777" w:rsidR="00553F31" w:rsidRPr="000A1407" w:rsidRDefault="00553F31" w:rsidP="00BF4BFD">
            <w:pPr>
              <w:adjustRightInd w:val="0"/>
              <w:spacing w:before="48" w:after="48"/>
              <w:jc w:val="center"/>
              <w:rPr>
                <w:rFonts w:ascii="Times" w:hAnsi="Times" w:cs="Times"/>
                <w:color w:val="000000"/>
                <w:sz w:val="18"/>
                <w:szCs w:val="18"/>
              </w:rPr>
            </w:pPr>
          </w:p>
        </w:tc>
        <w:tc>
          <w:tcPr>
            <w:tcW w:w="5489" w:type="dxa"/>
            <w:gridSpan w:val="4"/>
            <w:tcBorders>
              <w:top w:val="single" w:sz="8" w:space="0" w:color="000000"/>
              <w:left w:val="single" w:sz="8" w:space="0" w:color="000000"/>
              <w:bottom w:val="single" w:sz="8" w:space="0" w:color="000000"/>
              <w:right w:val="nil"/>
            </w:tcBorders>
            <w:shd w:val="clear" w:color="auto" w:fill="FFFFFF"/>
            <w:tcMar>
              <w:left w:w="48" w:type="dxa"/>
              <w:right w:w="48" w:type="dxa"/>
            </w:tcMar>
            <w:vAlign w:val="bottom"/>
          </w:tcPr>
          <w:p w14:paraId="2089ED72"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Weight Gain Group</w:t>
            </w:r>
          </w:p>
        </w:tc>
        <w:tc>
          <w:tcPr>
            <w:tcW w:w="2130" w:type="dxa"/>
            <w:tcBorders>
              <w:top w:val="single" w:sz="8" w:space="0" w:color="000000"/>
              <w:left w:val="single" w:sz="8" w:space="0" w:color="000000"/>
              <w:bottom w:val="single" w:sz="8" w:space="0" w:color="000000"/>
              <w:right w:val="single" w:sz="8" w:space="0" w:color="000000"/>
            </w:tcBorders>
            <w:shd w:val="clear" w:color="auto" w:fill="FFFFFF"/>
            <w:tcMar>
              <w:left w:w="48" w:type="dxa"/>
              <w:right w:w="48" w:type="dxa"/>
            </w:tcMar>
            <w:vAlign w:val="bottom"/>
          </w:tcPr>
          <w:p w14:paraId="6666EB8E" w14:textId="77777777" w:rsidR="00553F31" w:rsidRPr="000A1407" w:rsidRDefault="00553F31" w:rsidP="00BF4BFD">
            <w:pPr>
              <w:adjustRightInd w:val="0"/>
              <w:spacing w:before="48" w:after="48"/>
              <w:jc w:val="center"/>
              <w:rPr>
                <w:rFonts w:ascii="Times" w:hAnsi="Times" w:cs="Times"/>
                <w:color w:val="000000"/>
                <w:sz w:val="18"/>
                <w:szCs w:val="18"/>
              </w:rPr>
            </w:pPr>
          </w:p>
        </w:tc>
      </w:tr>
      <w:tr w:rsidR="00553F31" w:rsidRPr="006506CA" w14:paraId="54512B6F" w14:textId="77777777" w:rsidTr="00BF4BFD">
        <w:trPr>
          <w:cantSplit/>
          <w:tblHeader/>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vAlign w:val="bottom"/>
          </w:tcPr>
          <w:p w14:paraId="3FF898C9" w14:textId="77777777" w:rsidR="00553F31" w:rsidRPr="000A1407" w:rsidRDefault="00553F31" w:rsidP="00BF4BFD">
            <w:pPr>
              <w:adjustRightInd w:val="0"/>
              <w:spacing w:before="48" w:after="48"/>
              <w:jc w:val="center"/>
              <w:rPr>
                <w:rFonts w:ascii="Times" w:hAnsi="Times" w:cs="Times"/>
                <w:color w:val="000000"/>
                <w:sz w:val="18"/>
                <w:szCs w:val="18"/>
              </w:rPr>
            </w:pPr>
          </w:p>
        </w:tc>
        <w:tc>
          <w:tcPr>
            <w:tcW w:w="2789" w:type="dxa"/>
            <w:gridSpan w:val="2"/>
            <w:tcBorders>
              <w:top w:val="nil"/>
              <w:left w:val="single" w:sz="8" w:space="0" w:color="000000"/>
              <w:bottom w:val="single" w:sz="8" w:space="0" w:color="000000"/>
              <w:right w:val="nil"/>
            </w:tcBorders>
            <w:shd w:val="clear" w:color="auto" w:fill="FFFFFF"/>
            <w:tcMar>
              <w:left w:w="48" w:type="dxa"/>
              <w:right w:w="48" w:type="dxa"/>
            </w:tcMar>
            <w:vAlign w:val="bottom"/>
          </w:tcPr>
          <w:p w14:paraId="3F0A2F36"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Low: &lt;10%</w:t>
            </w:r>
          </w:p>
        </w:tc>
        <w:tc>
          <w:tcPr>
            <w:tcW w:w="2700" w:type="dxa"/>
            <w:gridSpan w:val="2"/>
            <w:tcBorders>
              <w:top w:val="nil"/>
              <w:left w:val="single" w:sz="8" w:space="0" w:color="000000"/>
              <w:bottom w:val="single" w:sz="8" w:space="0" w:color="000000"/>
              <w:right w:val="nil"/>
            </w:tcBorders>
            <w:shd w:val="clear" w:color="auto" w:fill="FFFFFF"/>
            <w:tcMar>
              <w:left w:w="48" w:type="dxa"/>
              <w:right w:w="48" w:type="dxa"/>
            </w:tcMar>
            <w:vAlign w:val="bottom"/>
          </w:tcPr>
          <w:p w14:paraId="04C1FC71"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High: ≥10%</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vAlign w:val="bottom"/>
          </w:tcPr>
          <w:p w14:paraId="20FE3C04" w14:textId="77777777" w:rsidR="00553F31" w:rsidRPr="000A1407" w:rsidRDefault="00553F31" w:rsidP="00BF4BFD">
            <w:pPr>
              <w:adjustRightInd w:val="0"/>
              <w:spacing w:before="48" w:after="48"/>
              <w:jc w:val="center"/>
              <w:rPr>
                <w:rFonts w:ascii="Times" w:hAnsi="Times" w:cs="Times"/>
                <w:color w:val="000000"/>
                <w:sz w:val="18"/>
                <w:szCs w:val="18"/>
              </w:rPr>
            </w:pPr>
          </w:p>
        </w:tc>
      </w:tr>
      <w:tr w:rsidR="00553F31" w:rsidRPr="006506CA" w14:paraId="6073FA2A" w14:textId="77777777" w:rsidTr="00BF4BFD">
        <w:trPr>
          <w:cantSplit/>
          <w:tblHeader/>
          <w:jc w:val="center"/>
        </w:trPr>
        <w:tc>
          <w:tcPr>
            <w:tcW w:w="1502" w:type="dxa"/>
            <w:tcBorders>
              <w:top w:val="single" w:sz="8" w:space="0" w:color="FFFFFF"/>
              <w:left w:val="single" w:sz="8" w:space="0" w:color="000000"/>
              <w:bottom w:val="single" w:sz="8" w:space="0" w:color="000000"/>
              <w:right w:val="nil"/>
            </w:tcBorders>
            <w:shd w:val="clear" w:color="auto" w:fill="FFFFFF"/>
            <w:tcMar>
              <w:left w:w="48" w:type="dxa"/>
              <w:right w:w="48" w:type="dxa"/>
            </w:tcMar>
            <w:vAlign w:val="bottom"/>
          </w:tcPr>
          <w:p w14:paraId="48FC3430"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Treatment</w:t>
            </w:r>
            <w:r w:rsidRPr="000A1407">
              <w:rPr>
                <w:rFonts w:ascii="Times" w:hAnsi="Times" w:cs="Times"/>
                <w:color w:val="000000"/>
                <w:sz w:val="18"/>
                <w:szCs w:val="18"/>
              </w:rPr>
              <w:br/>
              <w:t>Group</w:t>
            </w:r>
          </w:p>
        </w:tc>
        <w:tc>
          <w:tcPr>
            <w:tcW w:w="899" w:type="dxa"/>
            <w:tcBorders>
              <w:top w:val="nil"/>
              <w:left w:val="single" w:sz="8" w:space="0" w:color="000000"/>
              <w:bottom w:val="single" w:sz="8" w:space="0" w:color="000000"/>
              <w:right w:val="nil"/>
            </w:tcBorders>
            <w:shd w:val="clear" w:color="auto" w:fill="FFFFFF"/>
            <w:tcMar>
              <w:left w:w="48" w:type="dxa"/>
              <w:right w:w="48" w:type="dxa"/>
            </w:tcMar>
            <w:vAlign w:val="bottom"/>
          </w:tcPr>
          <w:p w14:paraId="0E6B00BD"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1890" w:type="dxa"/>
            <w:tcBorders>
              <w:top w:val="nil"/>
              <w:left w:val="single" w:sz="8" w:space="0" w:color="000000"/>
              <w:bottom w:val="single" w:sz="8" w:space="0" w:color="000000"/>
              <w:right w:val="nil"/>
            </w:tcBorders>
            <w:shd w:val="clear" w:color="auto" w:fill="FFFFFF"/>
            <w:tcMar>
              <w:left w:w="48" w:type="dxa"/>
              <w:right w:w="48" w:type="dxa"/>
            </w:tcMar>
            <w:vAlign w:val="bottom"/>
          </w:tcPr>
          <w:p w14:paraId="3A080A55"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Estimated Percent</w:t>
            </w:r>
            <w:r w:rsidRPr="000A1407">
              <w:rPr>
                <w:rFonts w:ascii="Times" w:hAnsi="Times" w:cs="Times"/>
                <w:color w:val="000000"/>
                <w:sz w:val="18"/>
                <w:szCs w:val="18"/>
              </w:rPr>
              <w:br/>
              <w:t>(95% CI)</w:t>
            </w:r>
          </w:p>
        </w:tc>
        <w:tc>
          <w:tcPr>
            <w:tcW w:w="810" w:type="dxa"/>
            <w:tcBorders>
              <w:top w:val="nil"/>
              <w:left w:val="single" w:sz="8" w:space="0" w:color="000000"/>
              <w:bottom w:val="single" w:sz="8" w:space="0" w:color="000000"/>
              <w:right w:val="nil"/>
            </w:tcBorders>
            <w:shd w:val="clear" w:color="auto" w:fill="FFFFFF"/>
            <w:tcMar>
              <w:left w:w="48" w:type="dxa"/>
              <w:right w:w="48" w:type="dxa"/>
            </w:tcMar>
            <w:vAlign w:val="bottom"/>
          </w:tcPr>
          <w:p w14:paraId="61813725"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n</w:t>
            </w:r>
          </w:p>
        </w:tc>
        <w:tc>
          <w:tcPr>
            <w:tcW w:w="1890" w:type="dxa"/>
            <w:tcBorders>
              <w:top w:val="nil"/>
              <w:left w:val="single" w:sz="8" w:space="0" w:color="000000"/>
              <w:bottom w:val="single" w:sz="8" w:space="0" w:color="000000"/>
              <w:right w:val="nil"/>
            </w:tcBorders>
            <w:shd w:val="clear" w:color="auto" w:fill="FFFFFF"/>
            <w:tcMar>
              <w:left w:w="48" w:type="dxa"/>
              <w:right w:w="48" w:type="dxa"/>
            </w:tcMar>
            <w:vAlign w:val="bottom"/>
          </w:tcPr>
          <w:p w14:paraId="352D5F3B"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Estimated Percent</w:t>
            </w:r>
            <w:r w:rsidRPr="000A1407">
              <w:rPr>
                <w:rFonts w:ascii="Times" w:hAnsi="Times" w:cs="Times"/>
                <w:color w:val="000000"/>
                <w:sz w:val="18"/>
                <w:szCs w:val="18"/>
              </w:rPr>
              <w:br/>
              <w:t>(95% CI)</w:t>
            </w:r>
          </w:p>
        </w:tc>
        <w:tc>
          <w:tcPr>
            <w:tcW w:w="2130" w:type="dxa"/>
            <w:tcBorders>
              <w:top w:val="single" w:sz="8" w:space="0" w:color="FFFFFF"/>
              <w:left w:val="single" w:sz="8" w:space="0" w:color="000000"/>
              <w:bottom w:val="single" w:sz="8" w:space="0" w:color="000000"/>
              <w:right w:val="single" w:sz="8" w:space="0" w:color="000000"/>
            </w:tcBorders>
            <w:shd w:val="clear" w:color="auto" w:fill="FFFFFF"/>
            <w:tcMar>
              <w:left w:w="48" w:type="dxa"/>
              <w:right w:w="48" w:type="dxa"/>
            </w:tcMar>
            <w:vAlign w:val="bottom"/>
          </w:tcPr>
          <w:p w14:paraId="28AB3DA4"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 xml:space="preserve">Difference </w:t>
            </w:r>
          </w:p>
          <w:p w14:paraId="4C6882EF"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(Low - High)</w:t>
            </w:r>
          </w:p>
        </w:tc>
      </w:tr>
      <w:tr w:rsidR="00553F31" w:rsidRPr="006506CA" w14:paraId="3C954248"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5C511A50" w14:textId="0B71DF86"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D</w:t>
            </w:r>
            <w:r w:rsidR="00F22E84">
              <w:rPr>
                <w:rFonts w:ascii="Times" w:hAnsi="Times" w:cs="Times"/>
                <w:color w:val="000000"/>
                <w:sz w:val="18"/>
                <w:szCs w:val="18"/>
              </w:rPr>
              <w:t>oravirine</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2E6B4EF9"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556</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65C16D1D"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2.9 (1.4, 4.3)</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4883D663"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89</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04C4808A"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0.8 (0.0, 7.7)</w:t>
            </w:r>
            <w:r w:rsidRPr="00C506C3">
              <w:rPr>
                <w:rFonts w:ascii="Times" w:hAnsi="Times" w:cs="Times"/>
                <w:color w:val="000000"/>
                <w:sz w:val="18"/>
                <w:szCs w:val="18"/>
                <w:vertAlign w:val="superscript"/>
              </w:rPr>
              <w:t xml:space="preserve"> †</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0183E92E"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2.0 (-5.5, 9.5)</w:t>
            </w:r>
          </w:p>
        </w:tc>
      </w:tr>
      <w:tr w:rsidR="00553F31" w:rsidRPr="006506CA" w14:paraId="60A43E00"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451CA351" w14:textId="63FACFBE"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D</w:t>
            </w:r>
            <w:r w:rsidR="00F22E84">
              <w:rPr>
                <w:rFonts w:ascii="Times" w:hAnsi="Times" w:cs="Times"/>
                <w:color w:val="000000"/>
                <w:sz w:val="18"/>
                <w:szCs w:val="18"/>
              </w:rPr>
              <w:t>arunavir</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76B23396"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216</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2D72078A"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1.4 (0.0, 4.2)</w:t>
            </w:r>
            <w:r w:rsidRPr="00C506C3">
              <w:rPr>
                <w:rFonts w:ascii="Times" w:hAnsi="Times" w:cs="Times"/>
                <w:color w:val="000000"/>
                <w:sz w:val="18"/>
                <w:szCs w:val="18"/>
                <w:vertAlign w:val="superscript"/>
              </w:rPr>
              <w:t xml:space="preserve"> </w:t>
            </w:r>
            <w:r w:rsidRPr="000A1407">
              <w:rPr>
                <w:rFonts w:ascii="Times" w:hAnsi="Times" w:cs="Times"/>
                <w:color w:val="000000"/>
                <w:sz w:val="18"/>
                <w:szCs w:val="18"/>
                <w:vertAlign w:val="superscript"/>
              </w:rPr>
              <w:t>†</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0A981154"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42</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06DD6EFA"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4.6 (0.0, 13.2)</w:t>
            </w:r>
            <w:r w:rsidRPr="00C506C3">
              <w:rPr>
                <w:rFonts w:ascii="Times" w:hAnsi="Times" w:cs="Times"/>
                <w:color w:val="000000"/>
                <w:sz w:val="18"/>
                <w:szCs w:val="18"/>
                <w:vertAlign w:val="superscript"/>
              </w:rPr>
              <w:t xml:space="preserve"> †</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77F72DC8"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-3.3 (-12.2, 5.7)</w:t>
            </w:r>
          </w:p>
        </w:tc>
      </w:tr>
      <w:tr w:rsidR="00553F31" w:rsidRPr="006506CA" w14:paraId="699D4823" w14:textId="77777777" w:rsidTr="00BF4BFD">
        <w:trPr>
          <w:cantSplit/>
          <w:jc w:val="center"/>
        </w:trPr>
        <w:tc>
          <w:tcPr>
            <w:tcW w:w="1502" w:type="dxa"/>
            <w:tcBorders>
              <w:top w:val="nil"/>
              <w:left w:val="single" w:sz="8" w:space="0" w:color="000000"/>
              <w:bottom w:val="single" w:sz="8" w:space="0" w:color="000000"/>
              <w:right w:val="nil"/>
            </w:tcBorders>
            <w:shd w:val="clear" w:color="auto" w:fill="FFFFFF"/>
            <w:tcMar>
              <w:left w:w="48" w:type="dxa"/>
              <w:right w:w="48" w:type="dxa"/>
            </w:tcMar>
          </w:tcPr>
          <w:p w14:paraId="17EB7905" w14:textId="56113424"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E</w:t>
            </w:r>
            <w:r w:rsidR="00F22E84">
              <w:rPr>
                <w:rFonts w:ascii="Times" w:hAnsi="Times" w:cs="Times"/>
                <w:color w:val="000000"/>
                <w:sz w:val="18"/>
                <w:szCs w:val="18"/>
              </w:rPr>
              <w:t>favirenz</w:t>
            </w:r>
          </w:p>
        </w:tc>
        <w:tc>
          <w:tcPr>
            <w:tcW w:w="899" w:type="dxa"/>
            <w:tcBorders>
              <w:top w:val="nil"/>
              <w:left w:val="single" w:sz="8" w:space="0" w:color="000000"/>
              <w:bottom w:val="single" w:sz="8" w:space="0" w:color="000000"/>
              <w:right w:val="nil"/>
            </w:tcBorders>
            <w:shd w:val="clear" w:color="auto" w:fill="FFFFFF"/>
            <w:tcMar>
              <w:left w:w="48" w:type="dxa"/>
              <w:right w:w="48" w:type="dxa"/>
            </w:tcMar>
          </w:tcPr>
          <w:p w14:paraId="3F8E6153"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302</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543882F2"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6.8 (4.0, 9.5)</w:t>
            </w:r>
          </w:p>
        </w:tc>
        <w:tc>
          <w:tcPr>
            <w:tcW w:w="810" w:type="dxa"/>
            <w:tcBorders>
              <w:top w:val="nil"/>
              <w:left w:val="single" w:sz="8" w:space="0" w:color="000000"/>
              <w:bottom w:val="single" w:sz="8" w:space="0" w:color="000000"/>
              <w:right w:val="nil"/>
            </w:tcBorders>
            <w:shd w:val="clear" w:color="auto" w:fill="FFFFFF"/>
            <w:tcMar>
              <w:left w:w="48" w:type="dxa"/>
              <w:right w:w="48" w:type="dxa"/>
            </w:tcMar>
          </w:tcPr>
          <w:p w14:paraId="170456EF"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50</w:t>
            </w:r>
          </w:p>
        </w:tc>
        <w:tc>
          <w:tcPr>
            <w:tcW w:w="1890" w:type="dxa"/>
            <w:tcBorders>
              <w:top w:val="nil"/>
              <w:left w:val="single" w:sz="8" w:space="0" w:color="000000"/>
              <w:bottom w:val="single" w:sz="8" w:space="0" w:color="000000"/>
              <w:right w:val="nil"/>
            </w:tcBorders>
            <w:shd w:val="clear" w:color="auto" w:fill="FFFFFF"/>
            <w:tcMar>
              <w:left w:w="48" w:type="dxa"/>
              <w:right w:w="48" w:type="dxa"/>
            </w:tcMar>
          </w:tcPr>
          <w:p w14:paraId="1C87BA36"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0.0 (0.0, 94.5)</w:t>
            </w:r>
            <w:r w:rsidRPr="00C506C3">
              <w:rPr>
                <w:rFonts w:ascii="Times" w:hAnsi="Times" w:cs="Times"/>
                <w:color w:val="000000"/>
                <w:sz w:val="18"/>
                <w:szCs w:val="18"/>
                <w:vertAlign w:val="superscript"/>
              </w:rPr>
              <w:t xml:space="preserve"> †</w:t>
            </w:r>
          </w:p>
        </w:tc>
        <w:tc>
          <w:tcPr>
            <w:tcW w:w="2130" w:type="dxa"/>
            <w:tcBorders>
              <w:top w:val="nil"/>
              <w:left w:val="single" w:sz="8" w:space="0" w:color="000000"/>
              <w:bottom w:val="single" w:sz="8" w:space="0" w:color="000000"/>
              <w:right w:val="single" w:sz="8" w:space="0" w:color="000000"/>
            </w:tcBorders>
            <w:shd w:val="clear" w:color="auto" w:fill="FFFFFF"/>
            <w:tcMar>
              <w:left w:w="48" w:type="dxa"/>
              <w:right w:w="48" w:type="dxa"/>
            </w:tcMar>
          </w:tcPr>
          <w:p w14:paraId="1DFF639D" w14:textId="77777777" w:rsidR="00553F31" w:rsidRPr="000A1407" w:rsidRDefault="00553F31" w:rsidP="00BF4BFD">
            <w:pPr>
              <w:adjustRightInd w:val="0"/>
              <w:spacing w:before="48" w:after="48"/>
              <w:jc w:val="center"/>
              <w:rPr>
                <w:rFonts w:ascii="Times" w:hAnsi="Times" w:cs="Times"/>
                <w:color w:val="000000"/>
                <w:sz w:val="18"/>
                <w:szCs w:val="18"/>
              </w:rPr>
            </w:pPr>
            <w:r w:rsidRPr="000A1407">
              <w:rPr>
                <w:rFonts w:ascii="Times" w:hAnsi="Times" w:cs="Times"/>
                <w:color w:val="000000"/>
                <w:sz w:val="18"/>
                <w:szCs w:val="18"/>
              </w:rPr>
              <w:t>9.9 (-87.8, 100.0)</w:t>
            </w:r>
            <w:r w:rsidRPr="00C506C3">
              <w:rPr>
                <w:rFonts w:ascii="Times" w:hAnsi="Times" w:cs="Times"/>
                <w:color w:val="000000"/>
                <w:sz w:val="18"/>
                <w:szCs w:val="18"/>
                <w:vertAlign w:val="superscript"/>
              </w:rPr>
              <w:t xml:space="preserve"> †</w:t>
            </w:r>
          </w:p>
        </w:tc>
      </w:tr>
      <w:tr w:rsidR="00553F31" w14:paraId="24338116" w14:textId="77777777" w:rsidTr="00BF4BFD">
        <w:trPr>
          <w:cantSplit/>
          <w:jc w:val="center"/>
        </w:trPr>
        <w:tc>
          <w:tcPr>
            <w:tcW w:w="9121" w:type="dxa"/>
            <w:gridSpan w:val="6"/>
            <w:tcBorders>
              <w:top w:val="nil"/>
              <w:left w:val="single" w:sz="8" w:space="0" w:color="000000"/>
              <w:bottom w:val="single" w:sz="8" w:space="0" w:color="000000"/>
              <w:right w:val="single" w:sz="8" w:space="0" w:color="000000"/>
            </w:tcBorders>
            <w:shd w:val="clear" w:color="auto" w:fill="FFFFFF"/>
            <w:tcMar>
              <w:left w:w="48" w:type="dxa"/>
              <w:right w:w="48" w:type="dxa"/>
            </w:tcMar>
          </w:tcPr>
          <w:p w14:paraId="51E55934" w14:textId="77777777" w:rsidR="00553F31" w:rsidRPr="000A1407" w:rsidRDefault="00553F31" w:rsidP="00BF4BFD">
            <w:pPr>
              <w:adjustRightInd w:val="0"/>
              <w:spacing w:before="48" w:after="48"/>
              <w:rPr>
                <w:rFonts w:ascii="Times" w:hAnsi="Times" w:cs="Times"/>
                <w:color w:val="000000"/>
                <w:sz w:val="16"/>
                <w:szCs w:val="16"/>
              </w:rPr>
            </w:pPr>
            <w:r w:rsidRPr="000A1407">
              <w:rPr>
                <w:rFonts w:ascii="Times" w:hAnsi="Times" w:cs="Times"/>
                <w:color w:val="000000"/>
                <w:sz w:val="16"/>
                <w:szCs w:val="16"/>
              </w:rPr>
              <w:t>† For proportions, the estimate and lower bound are truncated at 0 and upper bound at 100. For differences, the estimate and lower bound are truncated at -100 and upper bound at 100.</w:t>
            </w:r>
          </w:p>
          <w:p w14:paraId="669C0EB5" w14:textId="77777777" w:rsidR="00553F31" w:rsidRDefault="00553F31" w:rsidP="00BF4BFD">
            <w:pPr>
              <w:adjustRightInd w:val="0"/>
              <w:spacing w:before="48" w:after="48"/>
              <w:rPr>
                <w:rFonts w:ascii="Times" w:hAnsi="Times" w:cs="Times"/>
                <w:color w:val="000000"/>
                <w:sz w:val="16"/>
                <w:szCs w:val="16"/>
              </w:rPr>
            </w:pPr>
            <w:r>
              <w:rPr>
                <w:rFonts w:ascii="Times" w:hAnsi="Times" w:cs="Times"/>
                <w:color w:val="000000"/>
                <w:sz w:val="16"/>
                <w:szCs w:val="16"/>
              </w:rPr>
              <w:t>Subjects with missing weight change are not included in the analysis.</w:t>
            </w:r>
          </w:p>
          <w:p w14:paraId="0BED2866" w14:textId="77777777" w:rsidR="00553F31" w:rsidRDefault="00553F31" w:rsidP="00BF4BFD">
            <w:pPr>
              <w:adjustRightInd w:val="0"/>
              <w:spacing w:before="48" w:after="48"/>
              <w:rPr>
                <w:rFonts w:ascii="Times" w:hAnsi="Times" w:cs="Times"/>
                <w:color w:val="000000"/>
                <w:sz w:val="16"/>
                <w:szCs w:val="16"/>
              </w:rPr>
            </w:pPr>
            <w:r w:rsidRPr="000A1407">
              <w:rPr>
                <w:rFonts w:ascii="Times" w:hAnsi="Times" w:cs="Times"/>
                <w:color w:val="000000"/>
                <w:sz w:val="16"/>
                <w:szCs w:val="16"/>
              </w:rPr>
              <w:t>Use of medication of interest is based on subject’s concomitant medication data post baseline. Subjects are considered as having used the medication of interest in a visit if they did not use the medication at baseline but used the medication post baseline and the interval of use, from first use to last use, falls into the visit. Subjects who used the medications of interest before the study were excluded.</w:t>
            </w:r>
          </w:p>
        </w:tc>
      </w:tr>
    </w:tbl>
    <w:p w14:paraId="66EBED06" w14:textId="77777777" w:rsidR="00553F31" w:rsidRDefault="00553F31" w:rsidP="00553F31">
      <w:pPr>
        <w:adjustRightInd w:val="0"/>
        <w:spacing w:before="100" w:beforeAutospacing="1" w:after="240" w:line="240" w:lineRule="auto"/>
        <w:ind w:left="1008" w:hanging="1008"/>
        <w:rPr>
          <w:rFonts w:ascii="Times" w:hAnsi="Times" w:cs="Times"/>
          <w:color w:val="000000"/>
          <w:szCs w:val="24"/>
        </w:rPr>
      </w:pPr>
    </w:p>
    <w:p w14:paraId="508CF2EB" w14:textId="77777777" w:rsidR="00821845" w:rsidRDefault="00821845"/>
    <w:sectPr w:rsidR="0082184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3884" w14:textId="77777777" w:rsidR="00553F31" w:rsidRDefault="00553F31" w:rsidP="00553F31">
      <w:pPr>
        <w:spacing w:after="0" w:line="240" w:lineRule="auto"/>
      </w:pPr>
      <w:r>
        <w:separator/>
      </w:r>
    </w:p>
  </w:endnote>
  <w:endnote w:type="continuationSeparator" w:id="0">
    <w:p w14:paraId="760BC103" w14:textId="77777777" w:rsidR="00553F31" w:rsidRDefault="00553F31" w:rsidP="0055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B908" w14:textId="77777777" w:rsidR="00FC4804" w:rsidRDefault="00FC4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A9A9" w14:textId="77777777" w:rsidR="00FC4804" w:rsidRDefault="00FC4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A1D0" w14:textId="77777777" w:rsidR="00FC4804" w:rsidRDefault="00FC4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FF37E" w14:textId="77777777" w:rsidR="00553F31" w:rsidRDefault="00553F31" w:rsidP="00553F31">
      <w:pPr>
        <w:spacing w:after="0" w:line="240" w:lineRule="auto"/>
      </w:pPr>
      <w:r>
        <w:separator/>
      </w:r>
    </w:p>
  </w:footnote>
  <w:footnote w:type="continuationSeparator" w:id="0">
    <w:p w14:paraId="580D0D88" w14:textId="77777777" w:rsidR="00553F31" w:rsidRDefault="00553F31" w:rsidP="00553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39BD" w14:textId="77777777" w:rsidR="00FC4804" w:rsidRDefault="00FC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9E12" w14:textId="092728FE" w:rsidR="00D950D2" w:rsidRDefault="00FC4804">
    <w:pPr>
      <w:pStyle w:val="Header"/>
    </w:pPr>
    <w:bookmarkStart w:id="0" w:name="_GoBack"/>
    <w:bookmarkEnd w:id="0"/>
    <w:r>
      <w:rPr>
        <w:rFonts w:ascii="Times New Roman" w:hAnsi="Times New Roman" w:cs="Times New Roman"/>
      </w:rPr>
      <w:t xml:space="preserve">Supplemental Digital Content </w:t>
    </w:r>
    <w:r>
      <w:rPr>
        <w:rFonts w:ascii="Times New Roman" w:hAnsi="Times New Roman" w:cs="Times New Roman"/>
      </w:rPr>
      <w:t xml:space="preserve">5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7F66" w14:textId="77777777" w:rsidR="00FC4804" w:rsidRDefault="00FC48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31"/>
    <w:rsid w:val="00553F31"/>
    <w:rsid w:val="00821845"/>
    <w:rsid w:val="00D950D2"/>
    <w:rsid w:val="00F22E84"/>
    <w:rsid w:val="00FC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B28A17"/>
  <w15:chartTrackingRefBased/>
  <w15:docId w15:val="{064C377F-2374-4E3F-9E9D-6952C849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F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F31"/>
  </w:style>
  <w:style w:type="paragraph" w:styleId="Footer">
    <w:name w:val="footer"/>
    <w:basedOn w:val="Normal"/>
    <w:link w:val="FooterChar"/>
    <w:uiPriority w:val="99"/>
    <w:unhideWhenUsed/>
    <w:rsid w:val="00553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E5985EC878B44B3CD6A87E472038C" ma:contentTypeVersion="13" ma:contentTypeDescription="Create a new document." ma:contentTypeScope="" ma:versionID="4979c2a2313c4bbd34a5e7f0beccc126">
  <xsd:schema xmlns:xsd="http://www.w3.org/2001/XMLSchema" xmlns:xs="http://www.w3.org/2001/XMLSchema" xmlns:p="http://schemas.microsoft.com/office/2006/metadata/properties" xmlns:ns3="ce9466a3-6c78-4e10-8a08-2ab20d2dc2f8" xmlns:ns4="fdc05c47-9433-42be-b1a7-e2db2fb04842" targetNamespace="http://schemas.microsoft.com/office/2006/metadata/properties" ma:root="true" ma:fieldsID="cea7ed982180a7135867e0df23793fdb" ns3:_="" ns4:_="">
    <xsd:import namespace="ce9466a3-6c78-4e10-8a08-2ab20d2dc2f8"/>
    <xsd:import namespace="fdc05c47-9433-42be-b1a7-e2db2fb048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66a3-6c78-4e10-8a08-2ab20d2dc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05c47-9433-42be-b1a7-e2db2fb048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Props1.xml><?xml version="1.0" encoding="utf-8"?>
<ds:datastoreItem xmlns:ds="http://schemas.openxmlformats.org/officeDocument/2006/customXml" ds:itemID="{3DC001B7-15D0-46B9-9DDB-3FFD392542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13AA5A-D897-4CED-AAB5-EF7DAF312807}">
  <ds:schemaRefs>
    <ds:schemaRef ds:uri="http://schemas.microsoft.com/sharepoint/v3/contenttype/forms"/>
  </ds:schemaRefs>
</ds:datastoreItem>
</file>

<file path=customXml/itemProps3.xml><?xml version="1.0" encoding="utf-8"?>
<ds:datastoreItem xmlns:ds="http://schemas.openxmlformats.org/officeDocument/2006/customXml" ds:itemID="{3ADE0DD9-8FFE-4E40-BCC8-C6E685AEC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66a3-6c78-4e10-8a08-2ab20d2dc2f8"/>
    <ds:schemaRef ds:uri="fdc05c47-9433-42be-b1a7-e2db2fb04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4177F-3DE3-40DA-8DD0-CA91754A65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Strohmaier, Kim M.</dc:creator>
  <cp:keywords/>
  <dc:description/>
  <cp:lastModifiedBy>Zecca, Carol (Carmella)</cp:lastModifiedBy>
  <cp:revision>4</cp:revision>
  <dcterms:created xsi:type="dcterms:W3CDTF">2020-09-22T22:07:00Z</dcterms:created>
  <dcterms:modified xsi:type="dcterms:W3CDTF">2020-09-23T11:07:00Z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34d0047f-1344-4cf5-ba34-468c5f7bc5db</vt:lpwstr>
  </property>
  <property fmtid="{D5CDD505-2E9C-101B-9397-08002B2CF9AE}" pid="3" name="bjSaver">
    <vt:lpwstr>gPD/eLc4Xox0zxHGtosAOjDvvptxi2g0</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ContentTypeId">
    <vt:lpwstr>0x010100DD9E5985EC878B44B3CD6A87E472038C</vt:lpwstr>
  </property>
  <property fmtid="{D5CDD505-2E9C-101B-9397-08002B2CF9AE}" pid="8" name="_AdHocReviewCycleID">
    <vt:i4>1348881790</vt:i4>
  </property>
  <property fmtid="{D5CDD505-2E9C-101B-9397-08002B2CF9AE}" pid="9" name="_NewReviewCycle">
    <vt:lpwstr/>
  </property>
  <property fmtid="{D5CDD505-2E9C-101B-9397-08002B2CF9AE}" pid="10" name="_EmailSubject">
    <vt:lpwstr>Figures and SDC files for DOR Wt MS</vt:lpwstr>
  </property>
  <property fmtid="{D5CDD505-2E9C-101B-9397-08002B2CF9AE}" pid="11" name="_AuthorEmail">
    <vt:lpwstr>kim_strohmaier@merck.com</vt:lpwstr>
  </property>
  <property fmtid="{D5CDD505-2E9C-101B-9397-08002B2CF9AE}" pid="12" name="_AuthorEmailDisplayName">
    <vt:lpwstr>Strohmaier, Kim M.</vt:lpwstr>
  </property>
  <property fmtid="{D5CDD505-2E9C-101B-9397-08002B2CF9AE}" pid="13" name="_ReviewingToolsShownOnce">
    <vt:lpwstr/>
  </property>
</Properties>
</file>