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931" w:rsidRDefault="00B10931">
      <w:pPr>
        <w:pStyle w:val="NormalWeb"/>
        <w:spacing w:line="480" w:lineRule="auto"/>
        <w:rPr>
          <w:rFonts w:cs="Times New Roman"/>
          <w:b/>
          <w:bCs/>
        </w:rPr>
      </w:pPr>
      <w:bookmarkStart w:id="0" w:name="_GoBack"/>
      <w:bookmarkEnd w:id="0"/>
      <w:r>
        <w:rPr>
          <w:rFonts w:cs="Times New Roman"/>
          <w:b/>
          <w:bCs/>
        </w:rPr>
        <w:t>Appendix I</w:t>
      </w:r>
    </w:p>
    <w:p w:rsidR="00B10931" w:rsidRDefault="00B10931">
      <w:pPr>
        <w:pStyle w:val="NormalWeb"/>
        <w:spacing w:line="480" w:lineRule="auto"/>
        <w:jc w:val="both"/>
        <w:rPr>
          <w:rFonts w:cs="Times New Roman"/>
          <w:b/>
          <w:bCs/>
        </w:rPr>
      </w:pPr>
      <w:r>
        <w:rPr>
          <w:rFonts w:cs="Times New Roman"/>
          <w:b/>
          <w:bCs/>
        </w:rPr>
        <w:t>MACARTI Motivational Interview Component</w:t>
      </w:r>
    </w:p>
    <w:p w:rsidR="00B10931" w:rsidRDefault="00B10931">
      <w:pPr>
        <w:pStyle w:val="NormalWeb"/>
        <w:spacing w:line="480" w:lineRule="auto"/>
        <w:jc w:val="both"/>
        <w:rPr>
          <w:rFonts w:cs="Times New Roman"/>
        </w:rPr>
      </w:pPr>
      <w:r>
        <w:rPr>
          <w:rFonts w:cs="Times New Roman"/>
        </w:rPr>
        <w:t xml:space="preserve">Metropolitan Atlanta Community Adolescent Rapid Testing Initiative (MACARTI) is a multi-component intervention that utilizes an ecological approach that encourages timely identification of HIV-positive youth and emphasizes their prompt linkage and retention in medical care. Key components of the intervention include the identification of youth-informed testing sites, testing and identification of HIV positive youth via these sites, participant tracking and support linking them to care, psychological support grounded in motivational aspects of health behavior change, and case management services that address barriers to timely linkage and retention in medical care. </w:t>
      </w:r>
    </w:p>
    <w:p w:rsidR="00B10931" w:rsidRDefault="00B10931">
      <w:pPr>
        <w:spacing w:line="480" w:lineRule="auto"/>
        <w:jc w:val="both"/>
        <w:rPr>
          <w:rFonts w:ascii="Times New Roman" w:hAnsi="Times New Roman" w:cs="Times New Roman"/>
          <w:sz w:val="24"/>
          <w:szCs w:val="24"/>
        </w:rPr>
      </w:pPr>
      <w:r>
        <w:rPr>
          <w:rFonts w:ascii="Times New Roman" w:hAnsi="Times New Roman" w:cs="Times New Roman"/>
          <w:sz w:val="24"/>
          <w:szCs w:val="24"/>
        </w:rPr>
        <w:t>Participants in the MACARTI arm of the study received psychological interventions that were informed by motivational aspects of health behavior change.  Motivational Interviewing (MI) is an evidenced-based, person-centered counseling method aimed at strengthening one’s motivation and commitment to change. MI techniques center on resolving ambivalence toward change by eliciting and exploring participants own arguments for change. The practice of MI involves the expert use of techniques that adhere to the “spirit” of MI: Collaboration (partnership that provides atmosphere conducive of change), Evocation (draw out participant’s own thoughts and ideas about change), and Autonomy (empowering the participant to make changes and take responsibility for their change). Four distinct principles are used to guide the practice of MI and include Expressing empathy, Supporting self-efficacy, Rolling with resistance (de-escalating negative interactions; avoiding power struggle between client and clinician), and Developing the discrepancy (clearly defining the difference between where the client is and where they would like to be). Emphasis is placed on facilitating “change talk”, which is defined by any statement that expresses the disadvantages of status quo, advantages of change, intention to change, and/or optimism about change. During MI sessions, the clinician seeks to facilitate the expression of change talk as a pathway toward change. Research supports a significant, positive correlation between change talk and client outcomes.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&lt;EndNote&gt;&lt;Cite&gt;&lt;Author&gt;Amrhein&lt;/Author&gt;&lt;Year&gt;2003&lt;/Year&gt;&lt;RecNum&gt;180&lt;/RecNum&gt;&lt;DisplayText&gt;&lt;style face="superscript"&gt;[1]&lt;/style&gt;&lt;/DisplayText&gt;&lt;record&gt;&lt;rec-number&gt;180&lt;/rec-number&gt;&lt;foreign-keys&gt;&lt;key app="EN" db-id="zxrr9x50a0w5ege2vxzp5ezgr95arfxrfsrt" timestamp="1489513614"&gt;180&lt;/key&gt;&lt;/foreign-keys&gt;&lt;ref-type name="Journal Article"&gt;17&lt;/ref-type&gt;&lt;contributors&gt;&lt;authors&gt;&lt;author&gt;Amrhein, P. C.&lt;/author&gt;&lt;author&gt;Miller, W. R.&lt;/author&gt;&lt;author&gt;Yahne, C. E.&lt;/author&gt;&lt;author&gt;Palmer, M.&lt;/author&gt;&lt;author&gt;Fulcher, L.&lt;/author&gt;&lt;/authors&gt;&lt;/contributors&gt;&lt;auth-address&gt;Center on Alcoholism, Substance Abuse, and Addictions, University of New Mexico, USA. amrhein@unm.edu&lt;/auth-address&gt;&lt;titles&gt;&lt;title&gt;Client commitment language during motivational interviewing predicts drug use outcomes&lt;/title&gt;&lt;secondary-title&gt;J Consult Clin Psychol&lt;/secondary-title&gt;&lt;/titles&gt;&lt;periodical&gt;&lt;full-title&gt;J Consult Clin Psychol&lt;/full-title&gt;&lt;/periodical&gt;&lt;pages&gt;862-78&lt;/pages&gt;&lt;volume&gt;71&lt;/volume&gt;&lt;number&gt;5&lt;/number&gt;&lt;keywords&gt;&lt;keyword&gt;Adult&lt;/keyword&gt;&lt;keyword&gt;Cluster Analysis&lt;/keyword&gt;&lt;keyword&gt;Female&lt;/keyword&gt;&lt;keyword&gt;Follow-Up Studies&lt;/keyword&gt;&lt;keyword&gt;Humans&lt;/keyword&gt;&lt;keyword&gt;*Interview, Psychological&lt;/keyword&gt;&lt;keyword&gt;*Language&lt;/keyword&gt;&lt;keyword&gt;Male&lt;/keyword&gt;&lt;keyword&gt;*Motivation&lt;/keyword&gt;&lt;keyword&gt;*Patient Compliance&lt;/keyword&gt;&lt;keyword&gt;Prevalence&lt;/keyword&gt;&lt;keyword&gt;Prospective Studies&lt;/keyword&gt;&lt;keyword&gt;Substance-Related Disorders/epidemiology/*therapy&lt;/keyword&gt;&lt;keyword&gt;Videotape Recording&lt;/keyword&gt;&lt;/keywords&gt;&lt;dates&gt;&lt;year&gt;2003&lt;/year&gt;&lt;pub-dates&gt;&lt;date&gt;Oct&lt;/date&gt;&lt;/pub-dates&gt;&lt;/dates&gt;&lt;isbn&gt;0022-006X (Print)&amp;#xD;0022-006X (Linking)&lt;/isbn&gt;&lt;accession-num&gt;14516235&lt;/accession-num&gt;&lt;urls&gt;&lt;related-urls&gt;&lt;url&gt;https://www.ncbi.nlm.nih.gov/pubmed/14516235&lt;/url&gt;&lt;/related-urls&gt;&lt;/urls&gt;&lt;electronic-resource-num&gt;10.1037/0022-006X.71.5.862&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xml:space="preserve">  Micro-counseling skills (OARS) are often used to encourage  change talk and are key elements in facilitating the spirit and principles of MI. OARS often include asking </w:t>
      </w:r>
      <w:r>
        <w:rPr>
          <w:rFonts w:ascii="Times New Roman" w:hAnsi="Times New Roman" w:cs="Times New Roman"/>
          <w:b/>
          <w:bCs/>
          <w:sz w:val="24"/>
          <w:szCs w:val="24"/>
        </w:rPr>
        <w:t>O</w:t>
      </w:r>
      <w:r>
        <w:rPr>
          <w:rFonts w:ascii="Times New Roman" w:hAnsi="Times New Roman" w:cs="Times New Roman"/>
          <w:sz w:val="24"/>
          <w:szCs w:val="24"/>
        </w:rPr>
        <w:t xml:space="preserve">pen-Ended questions, making </w:t>
      </w:r>
      <w:r>
        <w:rPr>
          <w:rFonts w:ascii="Times New Roman" w:hAnsi="Times New Roman" w:cs="Times New Roman"/>
          <w:b/>
          <w:bCs/>
          <w:sz w:val="24"/>
          <w:szCs w:val="24"/>
        </w:rPr>
        <w:t>A</w:t>
      </w:r>
      <w:r>
        <w:rPr>
          <w:rFonts w:ascii="Times New Roman" w:hAnsi="Times New Roman" w:cs="Times New Roman"/>
          <w:sz w:val="24"/>
          <w:szCs w:val="24"/>
        </w:rPr>
        <w:t xml:space="preserve">ffirmations (statements of client’s strengths), and </w:t>
      </w:r>
      <w:r>
        <w:rPr>
          <w:rFonts w:ascii="Times New Roman" w:hAnsi="Times New Roman" w:cs="Times New Roman"/>
          <w:b/>
          <w:bCs/>
          <w:sz w:val="24"/>
          <w:szCs w:val="24"/>
        </w:rPr>
        <w:t>R</w:t>
      </w:r>
      <w:r>
        <w:rPr>
          <w:rFonts w:ascii="Times New Roman" w:hAnsi="Times New Roman" w:cs="Times New Roman"/>
          <w:sz w:val="24"/>
          <w:szCs w:val="24"/>
        </w:rPr>
        <w:t xml:space="preserve">eflecting  and </w:t>
      </w:r>
      <w:r>
        <w:rPr>
          <w:rFonts w:ascii="Times New Roman" w:hAnsi="Times New Roman" w:cs="Times New Roman"/>
          <w:b/>
          <w:bCs/>
          <w:sz w:val="24"/>
          <w:szCs w:val="24"/>
        </w:rPr>
        <w:t>S</w:t>
      </w:r>
      <w:r>
        <w:rPr>
          <w:rFonts w:ascii="Times New Roman" w:hAnsi="Times New Roman" w:cs="Times New Roman"/>
          <w:sz w:val="24"/>
          <w:szCs w:val="24"/>
        </w:rPr>
        <w:t>ummarizing key elements in the session.</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&lt;EndNote&gt;&lt;Cite&gt;&lt;Author&gt;Miller&lt;/Author&gt;&lt;Year&gt;2013&lt;/Year&gt;&lt;RecNum&gt;122&lt;/RecNum&gt;&lt;DisplayText&gt;&lt;style face="superscript"&gt;[2, 3]&lt;/style&gt;&lt;/DisplayText&gt;&lt;record&gt;&lt;rec-number&gt;122&lt;/rec-number&gt;&lt;foreign-keys&gt;&lt;key app="EN" db-id="zxrr9x50a0w5ege2vxzp5ezgr95arfxrfsrt" timestamp="1452783893"&gt;122&lt;/key&gt;&lt;/foreign-keys&gt;&lt;ref-type name="Book"&gt;6&lt;/ref-type&gt;&lt;contributors&gt;&lt;authors&gt;&lt;author&gt;Miller, William; Rollnick, Stephen&lt;/author&gt;&lt;/authors&gt;&lt;/contributors&gt;&lt;titles&gt;&lt;title&gt;Motivational Interviewing- Helping People Change. Third Edition&lt;/title&gt;&lt;/titles&gt;&lt;dates&gt;&lt;year&gt;2013&lt;/year&gt;&lt;/dates&gt;&lt;pub-location&gt;United States of America&lt;/pub-location&gt;&lt;publisher&gt;The Guilford Press&lt;/publisher&gt;&lt;isbn&gt;978-160918-227-4&lt;/isbn&gt;&lt;urls&gt;&lt;/urls&gt;&lt;/record&gt;&lt;/Cite&gt;&lt;Cite&gt;&lt;Author&gt;Naar-King&lt;/Author&gt;&lt;Year&gt;2010&lt;/Year&gt;&lt;RecNum&gt;190&lt;/RecNum&gt;&lt;record&gt;&lt;rec-number&gt;190&lt;/rec-number&gt;&lt;foreign-keys&gt;&lt;key app="EN" db-id="zxrr9x50a0w5ege2vxzp5ezgr95arfxrfsrt" timestamp="1489691393"&gt;190&lt;/key&gt;&lt;/foreign-keys&gt;&lt;ref-type name="Book"&gt;6&lt;/ref-type&gt;&lt;contributors&gt;&lt;authors&gt;&lt;author&gt;Naar-King, S. &amp;amp; Suarez, M&lt;/author&gt;&lt;/authors&gt;&lt;/contributors&gt;&lt;titles&gt;&lt;title&gt;Motivational Interviewing with Adolescents and Young Adults&lt;/title&gt;&lt;/titles&gt;&lt;dates&gt;&lt;year&gt;2010&lt;/year&gt;&lt;/dates&gt;&lt;publisher&gt;New York: Guilford Press&lt;/publisher&gt;&lt;isbn&gt;1609180623&lt;/isbn&gt;&lt;urls&gt;&lt;/urls&gt;&lt;/record&gt;&lt;/Cite&gt;&lt;/EndNote&gt;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[2, 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10931" w:rsidRDefault="00B109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Motivational strategies for change differ from other methods in that they focus on identifying, exploring, and resolving ambivalence toward change and fostering the motivational processes </w:t>
      </w:r>
      <w:r>
        <w:rPr>
          <w:rFonts w:ascii="Times New Roman" w:hAnsi="Times New Roman" w:cs="Times New Roman"/>
          <w:i/>
          <w:iCs/>
          <w:sz w:val="24"/>
          <w:szCs w:val="24"/>
        </w:rPr>
        <w:t xml:space="preserve">within </w:t>
      </w:r>
      <w:r>
        <w:rPr>
          <w:rFonts w:ascii="Times New Roman" w:hAnsi="Times New Roman" w:cs="Times New Roman"/>
          <w:sz w:val="24"/>
          <w:szCs w:val="24"/>
        </w:rPr>
        <w:t>the individual that fosters change.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&lt;EndNote&gt;&lt;Cite&gt;&lt;Author&gt;Miller&lt;/Author&gt;&lt;Year&gt;2013&lt;/Year&gt;&lt;RecNum&gt;122&lt;/RecNum&gt;&lt;DisplayText&gt;&lt;style face="superscript"&gt;[2, 4]&lt;/style&gt;&lt;/DisplayText&gt;&lt;record&gt;&lt;rec-number&gt;122&lt;/rec-number&gt;&lt;foreign-keys&gt;&lt;key app="EN" db-id="zxrr9x50a0w5ege2vxzp5ezgr95arfxrfsrt" timestamp="1452783893"&gt;122&lt;/key&gt;&lt;/foreign-keys&gt;&lt;ref-type name="Book"&gt;6&lt;/ref-type&gt;&lt;contributors&gt;&lt;authors&gt;&lt;author&gt;Miller, William; Rollnick, Stephen&lt;/author&gt;&lt;/authors&gt;&lt;/contributors&gt;&lt;titles&gt;&lt;title&gt;Motivational Interviewing- Helping People Change. Third Edition&lt;/title&gt;&lt;/titles&gt;&lt;dates&gt;&lt;year&gt;2013&lt;/year&gt;&lt;/dates&gt;&lt;pub-location&gt;United States of America&lt;/pub-location&gt;&lt;publisher&gt;The Guilford Press&lt;/publisher&gt;&lt;isbn&gt;978-160918-227-4&lt;/isbn&gt;&lt;urls&gt;&lt;/urls&gt;&lt;/record&gt;&lt;/Cite&gt;&lt;Cite&gt;&lt;Author&gt;Hohman&lt;/Author&gt;&lt;RecNum&gt;191&lt;/RecNum&gt;&lt;record&gt;&lt;rec-number&gt;191&lt;/rec-number&gt;&lt;foreign-keys&gt;&lt;key app="EN" db-id="zxrr9x50a0w5ege2vxzp5ezgr95arfxrfsrt" timestamp="1489691652"&gt;191&lt;/key&gt;&lt;/foreign-keys&gt;&lt;ref-type name="Book"&gt;6&lt;/ref-type&gt;&lt;contributors&gt;&lt;authors&gt;&lt;author&gt;Hohman, M&lt;/author&gt;&lt;/authors&gt;&lt;/contributors&gt;&lt;titles&gt;&lt;title&gt;Motivational Interviewing in Social Work Practice&lt;/title&gt;&lt;/titles&gt;&lt;dates&gt;&lt;/dates&gt;&lt;publisher&gt;New York: Guilford Press&lt;/publisher&gt;&lt;isbn&gt;1462523692&lt;/isbn&gt;&lt;urls&gt;&lt;/urls&gt;&lt;/record&gt;&lt;/Cite&gt;&lt;/EndNote&gt;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[2, 4]</w:t>
      </w:r>
      <w:r>
        <w:rPr>
          <w:rFonts w:ascii="Times New Roman" w:hAnsi="Times New Roman" w:cs="Times New Roman"/>
          <w:sz w:val="24"/>
          <w:szCs w:val="24"/>
        </w:rPr>
        <w:fldChar w:fldCharType="end"/>
      </w:r>
      <w:r>
        <w:rPr>
          <w:rFonts w:ascii="Times New Roman" w:hAnsi="Times New Roman" w:cs="Times New Roman"/>
          <w:sz w:val="24"/>
          <w:szCs w:val="24"/>
        </w:rPr>
        <w:t xml:space="preserve"> MI is an evidence-based intervention,</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&lt;EndNote&gt;&lt;Cite&gt;&lt;Author&gt;Arkowitz&lt;/Author&gt;&lt;Year&gt;2007&lt;/Year&gt;&lt;RecNum&gt;181&lt;/RecNum&gt;&lt;DisplayText&gt;&lt;style face="superscript"&gt;[5]&lt;/style&gt;&lt;/DisplayText&gt;&lt;record&gt;&lt;rec-number&gt;181&lt;/rec-number&gt;&lt;foreign-keys&gt;&lt;key app="EN" db-id="zxrr9x50a0w5ege2vxzp5ezgr95arfxrfsrt" timestamp="1489514107"&gt;181&lt;/key&gt;&lt;/foreign-keys&gt;&lt;ref-type name="Book"&gt;6&lt;/ref-type&gt;&lt;contributors&gt;&lt;authors&gt;&lt;author&gt;Arkowitz, H., Westra, H.A., Miller, W.R. &amp;amp; Rollnick, S. &lt;/author&gt;&lt;/authors&gt;&lt;/contributors&gt;&lt;titles&gt;&lt;title&gt;Motivational Interviewing in the Treatment of Psychological Problems.&lt;/title&gt;&lt;/titles&gt;&lt;dates&gt;&lt;year&gt;2007&lt;/year&gt;&lt;/dates&gt;&lt;publisher&gt;New York: Guilford Press&lt;/publisher&gt;&lt;isbn&gt; 9781462521036&lt;/isbn&gt;&lt;urls&gt;&lt;/urls&gt;&lt;/record&gt;&lt;/Cite&gt;&lt;/EndNote&gt;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[5]</w:t>
      </w:r>
      <w:r>
        <w:rPr>
          <w:rFonts w:ascii="Times New Roman" w:hAnsi="Times New Roman" w:cs="Times New Roman"/>
          <w:sz w:val="24"/>
          <w:szCs w:val="24"/>
        </w:rPr>
        <w:fldChar w:fldCharType="end"/>
      </w:r>
      <w:r>
        <w:rPr>
          <w:rFonts w:ascii="Times New Roman" w:hAnsi="Times New Roman" w:cs="Times New Roman"/>
          <w:sz w:val="24"/>
          <w:szCs w:val="24"/>
        </w:rPr>
        <w:t xml:space="preserve"> and is known as the gold standard for resolving ambivalence toward change and facilitating health behavior changes.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&lt;EndNote&gt;&lt;Cite&gt;&lt;Author&gt;Sciences&lt;/Author&gt;&lt;RecNum&gt;192&lt;/RecNum&gt;&lt;DisplayText&gt;&lt;style face="superscript"&gt;[6]&lt;/style&gt;&lt;/DisplayText&gt;&lt;record&gt;&lt;rec-number&gt;192&lt;/rec-number&gt;&lt;foreign-keys&gt;&lt;key app="EN" db-id="zxrr9x50a0w5ege2vxzp5ezgr95arfxrfsrt" timestamp="1489696400"&gt;192&lt;/key&gt;&lt;/foreign-keys&gt;&lt;ref-type name="Web Page"&gt;12&lt;/ref-type&gt;&lt;contributors&gt;&lt;authors&gt;&lt;author&gt;Health Sciences &lt;/author&gt;&lt;/authors&gt;&lt;/contributors&gt;&lt;titles&gt;&lt;title&gt;Developing A Motivational Interviewing (MI) Trainer In Your Organization&lt;/title&gt;&lt;/titles&gt;&lt;dates&gt;&lt;/dates&gt;&lt;urls&gt;&lt;related-urls&gt;&lt;url&gt;https://healthsciences.org//Case-Study-Developing-A-Motivational-Interviewing-Trainer-Organization&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[6]</w:t>
      </w:r>
      <w:r>
        <w:rPr>
          <w:rFonts w:ascii="Times New Roman" w:hAnsi="Times New Roman" w:cs="Times New Roman"/>
          <w:sz w:val="24"/>
          <w:szCs w:val="24"/>
        </w:rPr>
        <w:fldChar w:fldCharType="end"/>
      </w:r>
      <w:r>
        <w:rPr>
          <w:rFonts w:ascii="Times New Roman" w:hAnsi="Times New Roman" w:cs="Times New Roman"/>
          <w:sz w:val="24"/>
          <w:szCs w:val="24"/>
        </w:rPr>
        <w:t xml:space="preserve"> Adaptations to the pediatric medical environment have been shown to be beneficial and have increased the likelihood of health behavior changes in youth.</w:t>
      </w:r>
      <w:r>
        <w:rPr>
          <w:rFonts w:ascii="Times New Roman" w:hAnsi="Times New Roman" w:cs="Times New Roman"/>
          <w:sz w:val="24"/>
          <w:szCs w:val="24"/>
        </w:rPr>
        <w:fldChar w:fldCharType="begin">
          <w:fldData xml:space="preserve">PEVuZE5vdGU+PENpdGU+PEF1dGhvcj5CYXJuZXM8L0F1dGhvcj48WWVhcj4yMDEyPC9ZZWFyPjxS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PEVuZE5vdGU+PENpdGU+PEF1dGhvcj5CYXJuZXM8L0F1dGhvcj48WWVhcj4yMDEyPC9ZZWFyPjxS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[7-9]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10931" w:rsidRDefault="00B10931">
      <w:pPr>
        <w:pStyle w:val="NoSpacing"/>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The MACARTI intervention group received a minimum of six 30-minute counseling sessions utilizing the motivational interviewing approach. Sessions focused on addressing ambivalence towards making positive health behavior changes, adapting psychologically to new HIV diagnosis, developing a feasible approach to medically manage HIV according to best practices, and implementing strategies to maintain long-term healthy behaviors. Although the entire team incorporated a motivational understanding of behavior change in their work with the MACARTI patients, the HIV testing team and the psychology fellow conducted the formal MI intervention during their counseling sessions. Study participants received MI prior to testing in the venue in an effort to ameliorate barriers to making positive health behaviors changes given their “at-risk” status. Since the setting of this initial session was different from the follow-up visits, we used less directive conversation and more reflections and summaries, discussions of values and potential goals for treatment. Participants who tested negative were provided with supportive information to maintain their negative status and HIV positive participants were supported emotionally and linked to appropriate medical and psychological intervention. HIV-positive participants discussed their psychological adaptation to their new HIV diagnosis and potential concerns for physical and emotional wellbeing as well as their psychosocial needs. The psychology fellow provided a scheduled MI session during their enrollment, 30 and 90 days, 6 and 12-month visits. Participants could participate in as many MI sessions as needed depending on their goals for change established via their partnership with the psychology fellow, but received a minimum of the scheduled six sessions. During the enrollment and follow-up sessions the participants were asked to set the agenda based on current concerns. At each of these visits, we addressed a specific topics related to the participant’s health related goals. Emphasis was given to issues related to adherence to medical care and initiation/continuation of treatment. More specifically, sessions focused on </w:t>
      </w:r>
      <w:r>
        <w:rPr>
          <w:rFonts w:ascii="Times New Roman" w:hAnsi="Times New Roman" w:cs="Times New Roman"/>
          <w:b/>
          <w:bCs/>
          <w:sz w:val="24"/>
          <w:szCs w:val="24"/>
        </w:rPr>
        <w:t>1. Exploring goals</w:t>
      </w:r>
      <w:r>
        <w:rPr>
          <w:rFonts w:ascii="Times New Roman" w:hAnsi="Times New Roman" w:cs="Times New Roman"/>
          <w:sz w:val="24"/>
          <w:szCs w:val="24"/>
        </w:rPr>
        <w:t xml:space="preserve">: developing hope for the future; exploring central values and relevance of combined antiretroviral therapy (cART) to these values, developing a plan to incorporate medical care and cART into their lives. </w:t>
      </w:r>
      <w:r>
        <w:rPr>
          <w:rFonts w:ascii="Times New Roman" w:hAnsi="Times New Roman" w:cs="Times New Roman"/>
          <w:b/>
          <w:bCs/>
          <w:sz w:val="24"/>
          <w:szCs w:val="24"/>
        </w:rPr>
        <w:t>2. Exploration of life on cART</w:t>
      </w:r>
      <w:r>
        <w:rPr>
          <w:rFonts w:ascii="Times New Roman" w:hAnsi="Times New Roman" w:cs="Times New Roman"/>
          <w:sz w:val="24"/>
          <w:szCs w:val="24"/>
        </w:rPr>
        <w:t xml:space="preserve">: the benefits and problems associated with cART and exploring ambivalence about life on cART. </w:t>
      </w:r>
      <w:r>
        <w:rPr>
          <w:rFonts w:ascii="Times New Roman" w:hAnsi="Times New Roman" w:cs="Times New Roman"/>
          <w:b/>
          <w:bCs/>
          <w:sz w:val="24"/>
          <w:szCs w:val="24"/>
        </w:rPr>
        <w:t>3. Strategies to meet goals</w:t>
      </w:r>
      <w:r>
        <w:rPr>
          <w:rFonts w:ascii="Times New Roman" w:hAnsi="Times New Roman" w:cs="Times New Roman"/>
          <w:sz w:val="24"/>
          <w:szCs w:val="24"/>
        </w:rPr>
        <w:t xml:space="preserve">: sharing and developing strategies, motivation for taking cART. </w:t>
      </w:r>
      <w:r>
        <w:rPr>
          <w:rFonts w:ascii="Times New Roman" w:hAnsi="Times New Roman" w:cs="Times New Roman"/>
          <w:b/>
          <w:bCs/>
          <w:sz w:val="24"/>
          <w:szCs w:val="24"/>
        </w:rPr>
        <w:t>4. Supporting self-efficacy</w:t>
      </w:r>
      <w:r>
        <w:rPr>
          <w:rFonts w:ascii="Times New Roman" w:hAnsi="Times New Roman" w:cs="Times New Roman"/>
          <w:sz w:val="24"/>
          <w:szCs w:val="24"/>
        </w:rPr>
        <w:t xml:space="preserve">: discussing successful strategies, positive effects (weight, CD4, VL), and positive relationships. </w:t>
      </w:r>
      <w:r>
        <w:rPr>
          <w:rFonts w:ascii="Times New Roman" w:hAnsi="Times New Roman" w:cs="Times New Roman"/>
          <w:b/>
          <w:bCs/>
          <w:sz w:val="24"/>
          <w:szCs w:val="24"/>
        </w:rPr>
        <w:t>5. Communication and empowerment skills</w:t>
      </w:r>
      <w:r>
        <w:rPr>
          <w:rFonts w:ascii="Times New Roman" w:hAnsi="Times New Roman" w:cs="Times New Roman"/>
          <w:sz w:val="24"/>
          <w:szCs w:val="24"/>
        </w:rPr>
        <w:t xml:space="preserve"> in relation to health care providers, partners, and disclosure. In each session the counselor elicited the participant’s goals for recovery and the perceived barriers to achieving these goals. The counselor and the participants often discussed their progress in meeting their goals and/or the development of new goals if previous goals were met. </w:t>
      </w:r>
    </w:p>
    <w:p w:rsidR="00B10931" w:rsidRDefault="00B10931">
      <w:pPr>
        <w:spacing w:line="480" w:lineRule="auto"/>
        <w:rPr>
          <w:rFonts w:ascii="Times New Roman" w:hAnsi="Times New Roman" w:cs="Times New Roman"/>
          <w:b/>
          <w:bCs/>
          <w:sz w:val="24"/>
          <w:szCs w:val="24"/>
        </w:rPr>
      </w:pPr>
      <w:r>
        <w:rPr>
          <w:rFonts w:ascii="Times New Roman" w:hAnsi="Times New Roman" w:cs="Times New Roman"/>
          <w:b/>
          <w:bCs/>
          <w:sz w:val="24"/>
          <w:szCs w:val="24"/>
        </w:rPr>
        <w:t>References</w:t>
      </w:r>
    </w:p>
    <w:p w:rsidR="00B10931" w:rsidRDefault="00B10931">
      <w:pPr>
        <w:pStyle w:val="EndNoteBibliography"/>
        <w:spacing w:after="0" w:line="48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1. Amrhein PC, Miller WR, Yahne CE, Palmer M, Fulcher L. </w:t>
      </w:r>
      <w:r>
        <w:rPr>
          <w:rFonts w:ascii="Times New Roman" w:hAnsi="Times New Roman" w:cs="Times New Roman"/>
          <w:b/>
          <w:bCs/>
          <w:sz w:val="24"/>
          <w:szCs w:val="24"/>
        </w:rPr>
        <w:t>Client commitment language during motivational interviewing predicts drug use outcomes</w:t>
      </w:r>
      <w:r>
        <w:rPr>
          <w:rFonts w:ascii="Times New Roman" w:hAnsi="Times New Roman" w:cs="Times New Roman"/>
          <w:sz w:val="24"/>
          <w:szCs w:val="24"/>
        </w:rPr>
        <w:t xml:space="preserve">. </w:t>
      </w:r>
      <w:r>
        <w:rPr>
          <w:rFonts w:ascii="Times New Roman" w:hAnsi="Times New Roman" w:cs="Times New Roman"/>
          <w:i/>
          <w:iCs/>
          <w:sz w:val="24"/>
          <w:szCs w:val="24"/>
        </w:rPr>
        <w:t xml:space="preserve">J Consult Clin Psychol </w:t>
      </w:r>
      <w:r>
        <w:rPr>
          <w:rFonts w:ascii="Times New Roman" w:hAnsi="Times New Roman" w:cs="Times New Roman"/>
          <w:sz w:val="24"/>
          <w:szCs w:val="24"/>
        </w:rPr>
        <w:t>2003; 71(5):862-878.</w:t>
      </w:r>
    </w:p>
    <w:p w:rsidR="00B10931" w:rsidRDefault="00B10931">
      <w:pPr>
        <w:pStyle w:val="EndNoteBibliography"/>
        <w:spacing w:after="0" w:line="480" w:lineRule="auto"/>
        <w:rPr>
          <w:rFonts w:ascii="Times New Roman" w:hAnsi="Times New Roman" w:cs="Times New Roman"/>
          <w:sz w:val="24"/>
          <w:szCs w:val="24"/>
        </w:rPr>
      </w:pPr>
      <w:r>
        <w:rPr>
          <w:rFonts w:ascii="Times New Roman" w:hAnsi="Times New Roman" w:cs="Times New Roman"/>
          <w:sz w:val="24"/>
          <w:szCs w:val="24"/>
        </w:rPr>
        <w:t xml:space="preserve">2. Miller WR, Stephen. </w:t>
      </w:r>
      <w:r>
        <w:rPr>
          <w:rFonts w:ascii="Times New Roman" w:hAnsi="Times New Roman" w:cs="Times New Roman"/>
          <w:b/>
          <w:bCs/>
          <w:sz w:val="24"/>
          <w:szCs w:val="24"/>
        </w:rPr>
        <w:t>Motivational Interviewing- Helping People Change. Third Edition</w:t>
      </w:r>
      <w:r>
        <w:rPr>
          <w:rFonts w:ascii="Times New Roman" w:hAnsi="Times New Roman" w:cs="Times New Roman"/>
          <w:i/>
          <w:iCs/>
          <w:sz w:val="24"/>
          <w:szCs w:val="24"/>
        </w:rPr>
        <w:t>.</w:t>
      </w:r>
      <w:r>
        <w:rPr>
          <w:rFonts w:ascii="Times New Roman" w:hAnsi="Times New Roman" w:cs="Times New Roman"/>
          <w:sz w:val="24"/>
          <w:szCs w:val="24"/>
        </w:rPr>
        <w:t xml:space="preserve"> United States of America: The Guilford Press; 2013.</w:t>
      </w:r>
    </w:p>
    <w:p w:rsidR="00B10931" w:rsidRDefault="00B10931">
      <w:pPr>
        <w:pStyle w:val="EndNoteBibliography"/>
        <w:spacing w:after="0" w:line="480" w:lineRule="auto"/>
        <w:rPr>
          <w:rFonts w:ascii="Times New Roman" w:hAnsi="Times New Roman" w:cs="Times New Roman"/>
          <w:sz w:val="24"/>
          <w:szCs w:val="24"/>
        </w:rPr>
      </w:pPr>
      <w:r>
        <w:rPr>
          <w:rFonts w:ascii="Times New Roman" w:hAnsi="Times New Roman" w:cs="Times New Roman"/>
          <w:sz w:val="24"/>
          <w:szCs w:val="24"/>
        </w:rPr>
        <w:t xml:space="preserve">3. Naar-King SS, M. </w:t>
      </w:r>
      <w:r>
        <w:rPr>
          <w:rFonts w:ascii="Times New Roman" w:hAnsi="Times New Roman" w:cs="Times New Roman"/>
          <w:b/>
          <w:bCs/>
          <w:sz w:val="24"/>
          <w:szCs w:val="24"/>
        </w:rPr>
        <w:t>Motivational Interviewing with Adolescents and Young Adults</w:t>
      </w:r>
      <w:r>
        <w:rPr>
          <w:rFonts w:ascii="Times New Roman" w:hAnsi="Times New Roman" w:cs="Times New Roman"/>
          <w:i/>
          <w:iCs/>
          <w:sz w:val="24"/>
          <w:szCs w:val="24"/>
        </w:rPr>
        <w:t>.</w:t>
      </w:r>
      <w:r>
        <w:rPr>
          <w:rFonts w:ascii="Times New Roman" w:hAnsi="Times New Roman" w:cs="Times New Roman"/>
          <w:sz w:val="24"/>
          <w:szCs w:val="24"/>
        </w:rPr>
        <w:t xml:space="preserve"> New York: Guilford Press; 2010.</w:t>
      </w:r>
    </w:p>
    <w:p w:rsidR="00B10931" w:rsidRDefault="00B10931">
      <w:pPr>
        <w:pStyle w:val="EndNoteBibliography"/>
        <w:spacing w:after="0" w:line="480" w:lineRule="auto"/>
        <w:rPr>
          <w:rFonts w:ascii="Times New Roman" w:hAnsi="Times New Roman" w:cs="Times New Roman"/>
          <w:sz w:val="24"/>
          <w:szCs w:val="24"/>
        </w:rPr>
      </w:pPr>
      <w:r>
        <w:rPr>
          <w:rFonts w:ascii="Times New Roman" w:hAnsi="Times New Roman" w:cs="Times New Roman"/>
          <w:sz w:val="24"/>
          <w:szCs w:val="24"/>
        </w:rPr>
        <w:t xml:space="preserve">4. Hohman M. </w:t>
      </w:r>
      <w:r>
        <w:rPr>
          <w:rFonts w:ascii="Times New Roman" w:hAnsi="Times New Roman" w:cs="Times New Roman"/>
          <w:b/>
          <w:bCs/>
          <w:sz w:val="24"/>
          <w:szCs w:val="24"/>
        </w:rPr>
        <w:t>Motivational Interviewing in Social Work Practice</w:t>
      </w:r>
      <w:r>
        <w:rPr>
          <w:rFonts w:ascii="Times New Roman" w:hAnsi="Times New Roman" w:cs="Times New Roman"/>
          <w:i/>
          <w:iCs/>
          <w:sz w:val="24"/>
          <w:szCs w:val="24"/>
        </w:rPr>
        <w:t>.</w:t>
      </w:r>
      <w:r>
        <w:rPr>
          <w:rFonts w:ascii="Times New Roman" w:hAnsi="Times New Roman" w:cs="Times New Roman"/>
          <w:sz w:val="24"/>
          <w:szCs w:val="24"/>
        </w:rPr>
        <w:t xml:space="preserve"> New York: Guilford Press.</w:t>
      </w:r>
    </w:p>
    <w:p w:rsidR="00B10931" w:rsidRDefault="00B10931">
      <w:pPr>
        <w:pStyle w:val="EndNoteBibliography"/>
        <w:spacing w:after="0" w:line="480" w:lineRule="auto"/>
        <w:rPr>
          <w:rFonts w:ascii="Times New Roman" w:hAnsi="Times New Roman" w:cs="Times New Roman"/>
          <w:sz w:val="24"/>
          <w:szCs w:val="24"/>
        </w:rPr>
      </w:pPr>
      <w:r>
        <w:rPr>
          <w:rFonts w:ascii="Times New Roman" w:hAnsi="Times New Roman" w:cs="Times New Roman"/>
          <w:sz w:val="24"/>
          <w:szCs w:val="24"/>
        </w:rPr>
        <w:t xml:space="preserve">5. Arkowitz H, Westra, H.A., Miller, W.R. &amp; Rollnick, S. . </w:t>
      </w:r>
      <w:r>
        <w:rPr>
          <w:rFonts w:ascii="Times New Roman" w:hAnsi="Times New Roman" w:cs="Times New Roman"/>
          <w:b/>
          <w:bCs/>
          <w:sz w:val="24"/>
          <w:szCs w:val="24"/>
        </w:rPr>
        <w:t>Motivational Interviewing in the Treatment of Psychological Problems.</w:t>
      </w:r>
      <w:r>
        <w:rPr>
          <w:rFonts w:ascii="Times New Roman" w:hAnsi="Times New Roman" w:cs="Times New Roman"/>
          <w:sz w:val="24"/>
          <w:szCs w:val="24"/>
        </w:rPr>
        <w:t>: New York: Guilford Press; 2007.</w:t>
      </w:r>
    </w:p>
    <w:p w:rsidR="00B10931" w:rsidRDefault="00B10931">
      <w:pPr>
        <w:pStyle w:val="EndNoteBibliography"/>
        <w:spacing w:after="0" w:line="480" w:lineRule="auto"/>
        <w:rPr>
          <w:rFonts w:ascii="Times New Roman" w:hAnsi="Times New Roman" w:cs="Times New Roman"/>
          <w:sz w:val="24"/>
          <w:szCs w:val="24"/>
        </w:rPr>
      </w:pPr>
      <w:r>
        <w:rPr>
          <w:rFonts w:ascii="Times New Roman" w:hAnsi="Times New Roman" w:cs="Times New Roman"/>
          <w:sz w:val="24"/>
          <w:szCs w:val="24"/>
        </w:rPr>
        <w:t xml:space="preserve">6. Sciences H. </w:t>
      </w:r>
      <w:r>
        <w:rPr>
          <w:rFonts w:ascii="Times New Roman" w:hAnsi="Times New Roman" w:cs="Times New Roman"/>
          <w:b/>
          <w:bCs/>
          <w:sz w:val="24"/>
          <w:szCs w:val="24"/>
        </w:rPr>
        <w:t>Developing A Motivational Interviewing (MI) Trainer In Your Organization</w:t>
      </w:r>
      <w:r>
        <w:rPr>
          <w:rFonts w:ascii="Times New Roman" w:hAnsi="Times New Roman" w:cs="Times New Roman"/>
          <w:sz w:val="24"/>
          <w:szCs w:val="24"/>
        </w:rPr>
        <w:t>. In.</w:t>
      </w:r>
    </w:p>
    <w:p w:rsidR="00B10931" w:rsidRDefault="00B10931">
      <w:pPr>
        <w:pStyle w:val="EndNoteBibliography"/>
        <w:spacing w:after="0" w:line="480" w:lineRule="auto"/>
        <w:rPr>
          <w:rFonts w:ascii="Times New Roman" w:hAnsi="Times New Roman" w:cs="Times New Roman"/>
          <w:sz w:val="24"/>
          <w:szCs w:val="24"/>
        </w:rPr>
      </w:pPr>
      <w:r>
        <w:rPr>
          <w:rFonts w:ascii="Times New Roman" w:hAnsi="Times New Roman" w:cs="Times New Roman"/>
          <w:sz w:val="24"/>
          <w:szCs w:val="24"/>
        </w:rPr>
        <w:t xml:space="preserve">7. Barnes AJ, Gold MA. </w:t>
      </w:r>
      <w:r>
        <w:rPr>
          <w:rFonts w:ascii="Times New Roman" w:hAnsi="Times New Roman" w:cs="Times New Roman"/>
          <w:b/>
          <w:bCs/>
          <w:sz w:val="24"/>
          <w:szCs w:val="24"/>
        </w:rPr>
        <w:t>Promoting healthy behaviors in pediatrics: motivational interviewing</w:t>
      </w:r>
      <w:r>
        <w:rPr>
          <w:rFonts w:ascii="Times New Roman" w:hAnsi="Times New Roman" w:cs="Times New Roman"/>
          <w:sz w:val="24"/>
          <w:szCs w:val="24"/>
        </w:rPr>
        <w:t xml:space="preserve">. </w:t>
      </w:r>
      <w:r>
        <w:rPr>
          <w:rFonts w:ascii="Times New Roman" w:hAnsi="Times New Roman" w:cs="Times New Roman"/>
          <w:i/>
          <w:iCs/>
          <w:sz w:val="24"/>
          <w:szCs w:val="24"/>
        </w:rPr>
        <w:t xml:space="preserve">Pediatr Rev </w:t>
      </w:r>
      <w:r>
        <w:rPr>
          <w:rFonts w:ascii="Times New Roman" w:hAnsi="Times New Roman" w:cs="Times New Roman"/>
          <w:sz w:val="24"/>
          <w:szCs w:val="24"/>
        </w:rPr>
        <w:t>2012; 33(9):e57-68.</w:t>
      </w:r>
    </w:p>
    <w:p w:rsidR="00B10931" w:rsidRDefault="00B10931">
      <w:pPr>
        <w:pStyle w:val="EndNoteBibliography"/>
        <w:spacing w:after="0" w:line="480" w:lineRule="auto"/>
        <w:rPr>
          <w:rFonts w:ascii="Times New Roman" w:hAnsi="Times New Roman" w:cs="Times New Roman"/>
          <w:sz w:val="24"/>
          <w:szCs w:val="24"/>
        </w:rPr>
      </w:pPr>
      <w:r>
        <w:rPr>
          <w:rFonts w:ascii="Times New Roman" w:hAnsi="Times New Roman" w:cs="Times New Roman"/>
          <w:sz w:val="24"/>
          <w:szCs w:val="24"/>
        </w:rPr>
        <w:t xml:space="preserve">8. Erickson SJ, Gerstle M, Feldstein SW. </w:t>
      </w:r>
      <w:r>
        <w:rPr>
          <w:rFonts w:ascii="Times New Roman" w:hAnsi="Times New Roman" w:cs="Times New Roman"/>
          <w:b/>
          <w:bCs/>
          <w:sz w:val="24"/>
          <w:szCs w:val="24"/>
        </w:rPr>
        <w:t>Brief interventions and motivational interviewing with children, adolescents, and their parents in pediatric health care settings: a review</w:t>
      </w:r>
      <w:r>
        <w:rPr>
          <w:rFonts w:ascii="Times New Roman" w:hAnsi="Times New Roman" w:cs="Times New Roman"/>
          <w:sz w:val="24"/>
          <w:szCs w:val="24"/>
        </w:rPr>
        <w:t xml:space="preserve">. </w:t>
      </w:r>
      <w:r>
        <w:rPr>
          <w:rFonts w:ascii="Times New Roman" w:hAnsi="Times New Roman" w:cs="Times New Roman"/>
          <w:i/>
          <w:iCs/>
          <w:sz w:val="24"/>
          <w:szCs w:val="24"/>
        </w:rPr>
        <w:t xml:space="preserve">Arch Pediatr Adolesc Med </w:t>
      </w:r>
      <w:r>
        <w:rPr>
          <w:rFonts w:ascii="Times New Roman" w:hAnsi="Times New Roman" w:cs="Times New Roman"/>
          <w:sz w:val="24"/>
          <w:szCs w:val="24"/>
        </w:rPr>
        <w:t>2005; 159(12):1173-1180.</w:t>
      </w:r>
    </w:p>
    <w:p w:rsidR="00B10931" w:rsidRDefault="00B10931">
      <w:pPr>
        <w:pStyle w:val="EndNoteBibliography"/>
        <w:spacing w:line="480" w:lineRule="auto"/>
        <w:rPr>
          <w:rFonts w:ascii="Times New Roman" w:hAnsi="Times New Roman" w:cs="Times New Roman"/>
          <w:sz w:val="24"/>
          <w:szCs w:val="24"/>
        </w:rPr>
      </w:pPr>
      <w:r>
        <w:rPr>
          <w:rFonts w:ascii="Times New Roman" w:hAnsi="Times New Roman" w:cs="Times New Roman"/>
          <w:sz w:val="24"/>
          <w:szCs w:val="24"/>
        </w:rPr>
        <w:t xml:space="preserve">9. Rollnick S, Miller, W.R., Butler, C.C. . </w:t>
      </w:r>
      <w:r>
        <w:rPr>
          <w:rFonts w:ascii="Times New Roman" w:hAnsi="Times New Roman" w:cs="Times New Roman"/>
          <w:b/>
          <w:bCs/>
          <w:sz w:val="24"/>
          <w:szCs w:val="24"/>
        </w:rPr>
        <w:t>Motivational Interviewing in Health Care: Helping Patients Change Behavior</w:t>
      </w:r>
      <w:r>
        <w:rPr>
          <w:rFonts w:ascii="Times New Roman" w:hAnsi="Times New Roman" w:cs="Times New Roman"/>
          <w:i/>
          <w:iCs/>
          <w:sz w:val="24"/>
          <w:szCs w:val="24"/>
        </w:rPr>
        <w:t>.</w:t>
      </w:r>
      <w:r>
        <w:rPr>
          <w:rFonts w:ascii="Times New Roman" w:hAnsi="Times New Roman" w:cs="Times New Roman"/>
          <w:sz w:val="24"/>
          <w:szCs w:val="24"/>
        </w:rPr>
        <w:t xml:space="preserve"> New York: Guilford Press; 2008.</w:t>
      </w:r>
    </w:p>
    <w:p w:rsidR="00B10931" w:rsidRDefault="00B1093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p w:rsidR="00B10931" w:rsidRDefault="00B10931">
      <w:pPr>
        <w:rPr>
          <w:rFonts w:ascii="Times New Roman" w:hAnsi="Times New Roman" w:cs="Times New Roman"/>
          <w:b/>
          <w:bCs/>
        </w:rPr>
      </w:pPr>
      <w:r>
        <w:rPr>
          <w:rFonts w:ascii="Times New Roman" w:hAnsi="Times New Roman" w:cs="Times New Roman"/>
          <w:sz w:val="24"/>
          <w:szCs w:val="24"/>
        </w:rPr>
        <w:br w:type="page"/>
      </w:r>
      <w:r>
        <w:rPr>
          <w:rFonts w:ascii="Times New Roman" w:hAnsi="Times New Roman" w:cs="Times New Roman"/>
          <w:b/>
          <w:bCs/>
        </w:rPr>
        <w:t>Appendix II Statistical Supplement</w:t>
      </w:r>
    </w:p>
    <w:p w:rsidR="00B10931" w:rsidRDefault="00B10931">
      <w:pPr>
        <w:jc w:val="both"/>
        <w:rPr>
          <w:rFonts w:ascii="Times New Roman" w:hAnsi="Times New Roman" w:cs="Times New Roman"/>
          <w:i/>
          <w:iCs/>
        </w:rPr>
      </w:pPr>
      <w:r>
        <w:rPr>
          <w:rFonts w:ascii="Times New Roman" w:hAnsi="Times New Roman" w:cs="Times New Roman"/>
          <w:i/>
          <w:iCs/>
        </w:rPr>
        <w:t>IPTW diagnostics</w:t>
      </w:r>
    </w:p>
    <w:p w:rsidR="00B10931" w:rsidRDefault="00B10931">
      <w:pPr>
        <w:jc w:val="both"/>
        <w:rPr>
          <w:rFonts w:ascii="Times New Roman" w:eastAsia="???" w:hAnsi="Times New Roman" w:cs="Times New Roman"/>
        </w:rPr>
      </w:pPr>
      <w:r>
        <w:rPr>
          <w:noProof/>
        </w:rPr>
        <w:pict>
          <v:shapetype id="_x0000_t32" coordsize="21600,21600" o:spt="32" o:oned="t" path="m,l21600,21600e" filled="f">
            <v:path arrowok="t" fillok="f" o:connecttype="none"/>
            <o:lock v:ext="edit" shapetype="t"/>
          </v:shapetype>
          <v:shape id="Straight Arrow Connector 4" o:spid="_x0000_s1026" type="#_x0000_t32" style="position:absolute;left:0;text-align:left;margin-left:295.95pt;margin-top:368.35pt;width:11.65pt;height:0;z-index:251658240;visibility:visible" strokeweight=".5pt">
            <v:stroke endarrow="block" joinstyle="miter"/>
          </v:shape>
        </w:pict>
      </w:r>
      <w:r>
        <w:rPr>
          <w:noProof/>
        </w:rPr>
        <w:pict>
          <v:shape id="Straight Arrow Connector 3" o:spid="_x0000_s1027" type="#_x0000_t32" style="position:absolute;left:0;text-align:left;margin-left:224.55pt;margin-top:368.05pt;width:11.65pt;height:0;z-index:251657216;visibility:visible" strokeweight=".5pt">
            <v:stroke endarrow="block" joinstyle="miter"/>
          </v:shape>
        </w:pict>
      </w:r>
      <w:r>
        <w:rPr>
          <w:rFonts w:ascii="Times New Roman" w:hAnsi="Times New Roman" w:cs="Times New Roman"/>
        </w:rPr>
        <w:t xml:space="preserve">The propensity score was estimated using binary logistic regression where treatment assignment (MACARTI vs. SOC) was regressed on the 12 covariates (11 nominal and 1 continuous) presented in </w:t>
      </w:r>
      <w:r>
        <w:rPr>
          <w:rFonts w:ascii="Times New Roman" w:hAnsi="Times New Roman" w:cs="Times New Roman"/>
          <w:b/>
          <w:bCs/>
        </w:rPr>
        <w:t>Supplemental Table 1</w:t>
      </w:r>
      <w:r>
        <w:rPr>
          <w:rFonts w:ascii="Times New Roman" w:hAnsi="Times New Roman" w:cs="Times New Roman"/>
        </w:rPr>
        <w:t>. Multiple specifications of the propensity model were considered, as suggested by Austin &amp; Stuart,</w:t>
      </w:r>
      <w:r>
        <w:rPr>
          <w:rFonts w:ascii="Times New Roman" w:hAnsi="Times New Roman" w:cs="Times New Roman"/>
        </w:rPr>
        <w:fldChar w:fldCharType="begin">
          <w:fldData xml:space="preserve">PEVuZE5vdGU+PENpdGU+PEF1dGhvcj5BdXN0aW48L0F1dGhvcj48WWVhcj4yMDE1PC9ZZWFyPjxS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=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PEVuZE5vdGU+PENpdGU+PEF1dGhvcj5BdXN0aW48L0F1dGhvcj48WWVhcj4yMDE1PC9ZZWFyPjxS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=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vertAlign w:val="superscript"/>
        </w:rPr>
        <w:t>[1]</w:t>
      </w:r>
      <w:r>
        <w:rPr>
          <w:rFonts w:ascii="Times New Roman" w:hAnsi="Times New Roman" w:cs="Times New Roman"/>
        </w:rPr>
        <w:fldChar w:fldCharType="end"/>
      </w:r>
      <w:r>
        <w:rPr>
          <w:rFonts w:ascii="Times New Roman" w:hAnsi="Times New Roman" w:cs="Times New Roman"/>
        </w:rPr>
        <w:t xml:space="preserve"> and included a main effects-only model (simple model), as well as a complex model that utilized restricted cubic splines, with 4 knots, for the continuous age covariate. For the simple model, it was assumed that the age covariate was linearly related to the log-odds of receiving MACARTI treatment; likewise, the complex model considered the relationship between the spline-age covariate and the log-odds of treatment, adjusted for the 11 other nominal covariates. Average treatment effect (ATE) weights were calculated from the fitted values of each of the simple and complex models using the established formula: </w:t>
      </w:r>
      <w:r>
        <w:rPr>
          <w:rFonts w:ascii="Times New Roman" w:eastAsia="???" w:hAnsi="Times New Roman" w:cs="Times New Roman"/>
        </w:rPr>
        <w:fldChar w:fldCharType="begin"/>
      </w:r>
      <w:r>
        <w:rPr>
          <w:rFonts w:ascii="Times New Roman" w:eastAsia="???" w:hAnsi="Times New Roman" w:cs="Times New Roman"/>
        </w:rPr>
        <w:instrText xml:space="preserve"> QUOTE </w:instrText>
      </w: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23.25pt">
            <v:imagedata r:id="rId5" o:title="" chromakey="white"/>
          </v:shape>
        </w:pict>
      </w:r>
      <w:r>
        <w:rPr>
          <w:rFonts w:ascii="Times New Roman" w:eastAsia="???" w:hAnsi="Times New Roman" w:cs="Times New Roman"/>
        </w:rPr>
        <w:instrText xml:space="preserve"> </w:instrText>
      </w:r>
      <w:r>
        <w:rPr>
          <w:rFonts w:ascii="Times New Roman" w:eastAsia="???" w:hAnsi="Times New Roman" w:cs="Times New Roman"/>
        </w:rPr>
        <w:fldChar w:fldCharType="separate"/>
      </w:r>
      <w:r>
        <w:rPr>
          <w:rFonts w:ascii="Times New Roman" w:hAnsi="Times New Roman" w:cs="Times New Roman"/>
        </w:rPr>
        <w:pict>
          <v:shape id="_x0000_i1026" type="#_x0000_t75" style="width:49.5pt;height:23.25pt">
            <v:imagedata r:id="rId5" o:title="" chromakey="white"/>
          </v:shape>
        </w:pict>
      </w:r>
      <w:r>
        <w:rPr>
          <w:rFonts w:ascii="Times New Roman" w:eastAsia="???" w:hAnsi="Times New Roman" w:cs="Times New Roman"/>
        </w:rPr>
        <w:fldChar w:fldCharType="end"/>
      </w:r>
      <w:r>
        <w:rPr>
          <w:rFonts w:ascii="Times New Roman" w:eastAsia="???" w:hAnsi="Times New Roman" w:cs="Times New Roman"/>
        </w:rPr>
        <w:t xml:space="preserve">, where Z are participant-level treatment allocations (characterized as 1 (MACARTI) and 0 (SOC)), and </w:t>
      </w:r>
      <w:r>
        <w:rPr>
          <w:rFonts w:ascii="Times New Roman" w:eastAsia="???" w:hAnsi="Times New Roman" w:cs="Times New Roman"/>
          <w:i/>
          <w:iCs/>
        </w:rPr>
        <w:t xml:space="preserve">e </w:t>
      </w:r>
      <w:r>
        <w:rPr>
          <w:rFonts w:ascii="Times New Roman" w:eastAsia="???" w:hAnsi="Times New Roman" w:cs="Times New Roman"/>
        </w:rPr>
        <w:t>are the participant-level fitted values from the binary logistic regression models.</w:t>
      </w:r>
      <w:r>
        <w:rPr>
          <w:rFonts w:ascii="Times New Roman" w:eastAsia="???" w:hAnsi="Times New Roman" w:cs="Times New Roman"/>
        </w:rPr>
        <w:fldChar w:fldCharType="begin"/>
      </w:r>
      <w:r>
        <w:rPr>
          <w:rFonts w:ascii="Times New Roman" w:eastAsia="???" w:hAnsi="Times New Roman" w:cs="Times New Roman"/>
        </w:rPr>
        <w:instrText xml:space="preserve"> ADDIN EN.CITE &lt;EndNote&gt;&lt;Cite&gt;&lt;Author&gt;PR.&lt;/Author&gt;&lt;Year&gt;1987&lt;/Year&gt;&lt;RecNum&gt;198&lt;/RecNum&gt;&lt;DisplayText&gt;&lt;style face="superscript"&gt;[2]&lt;/style&gt;&lt;/DisplayText&gt;&lt;record&gt;&lt;rec-number&gt;198&lt;/rec-number&gt;&lt;foreign-keys&gt;&lt;key app="EN" db-id="zxrr9x50a0w5ege2vxzp5ezgr95arfxrfsrt" timestamp="1490154521"&gt;198&lt;/key&gt;&lt;/foreign-keys&gt;&lt;ref-type name="Journal Article"&gt;17&lt;/ref-type&gt;&lt;contributors&gt;&lt;authors&gt;&lt;author&gt;Rosenbaum PR.&lt;/author&gt;&lt;/authors&gt;&lt;/contributors&gt;&lt;titles&gt;&lt;title&gt;Model-based direct adjustment.&lt;/title&gt;&lt;secondary-title&gt;Journal of the American Statistical Association&lt;/secondary-title&gt;&lt;/titles&gt;&lt;periodical&gt;&lt;full-title&gt;Journal of the American Statistical Association&lt;/full-title&gt;&lt;/periodical&gt;&lt;pages&gt;387–394&lt;/pages&gt;&lt;volume&gt;82&lt;/volume&gt;&lt;dates&gt;&lt;year&gt;1987&lt;/year&gt;&lt;/dates&gt;&lt;urls&gt;&lt;/urls&gt;&lt;/record&gt;&lt;/Cite&gt;&lt;/EndNote&gt;</w:instrText>
      </w:r>
      <w:r>
        <w:rPr>
          <w:rFonts w:ascii="Times New Roman" w:eastAsia="???" w:hAnsi="Times New Roman" w:cs="Times New Roman"/>
        </w:rPr>
        <w:fldChar w:fldCharType="separate"/>
      </w:r>
      <w:r>
        <w:rPr>
          <w:rFonts w:ascii="Times New Roman" w:eastAsia="???" w:hAnsi="Times New Roman" w:cs="Times New Roman"/>
          <w:noProof/>
          <w:vertAlign w:val="superscript"/>
        </w:rPr>
        <w:t>[2]</w:t>
      </w:r>
      <w:r>
        <w:rPr>
          <w:rFonts w:ascii="Times New Roman" w:eastAsia="???" w:hAnsi="Times New Roman" w:cs="Times New Roman"/>
        </w:rPr>
        <w:fldChar w:fldCharType="end"/>
      </w:r>
      <w:r>
        <w:rPr>
          <w:rFonts w:ascii="Times New Roman" w:eastAsia="???" w:hAnsi="Times New Roman" w:cs="Times New Roman"/>
        </w:rPr>
        <w:t xml:space="preserve"> Weights were stabilized using the </w:t>
      </w:r>
      <w:r>
        <w:rPr>
          <w:rFonts w:ascii="Times New Roman" w:eastAsia="???" w:hAnsi="Times New Roman" w:cs="Times New Roman"/>
          <w:i/>
          <w:iCs/>
        </w:rPr>
        <w:t>ipw</w:t>
      </w:r>
      <w:r>
        <w:rPr>
          <w:rFonts w:ascii="Times New Roman" w:eastAsia="???" w:hAnsi="Times New Roman" w:cs="Times New Roman"/>
        </w:rPr>
        <w:t xml:space="preserve"> package in CRAN R; moreover, due to small sample size and noted disparities in the treatment and control groups, stabilized weights were considered both untrimmed and trimmed at the 1% and 99%.</w:t>
      </w:r>
      <w:r>
        <w:rPr>
          <w:rFonts w:ascii="Times New Roman" w:eastAsia="???" w:hAnsi="Times New Roman" w:cs="Times New Roman"/>
        </w:rPr>
        <w:fldChar w:fldCharType="begin"/>
      </w:r>
      <w:r>
        <w:rPr>
          <w:rFonts w:ascii="Times New Roman" w:eastAsia="???" w:hAnsi="Times New Roman" w:cs="Times New Roman"/>
        </w:rPr>
        <w:instrText xml:space="preserve"> ADDIN EN.CITE &lt;EndNote&gt;&lt;Cite&gt;&lt;Author&gt;Lee&lt;/Author&gt;&lt;Year&gt;2011&lt;/Year&gt;&lt;RecNum&gt;197&lt;/RecNum&gt;&lt;DisplayText&gt;&lt;style face="superscript"&gt;[3]&lt;/style&gt;&lt;/DisplayText&gt;&lt;record&gt;&lt;rec-number&gt;197&lt;/rec-number&gt;&lt;foreign-keys&gt;&lt;key app="EN" db-id="zxrr9x50a0w5ege2vxzp5ezgr95arfxrfsrt" timestamp="1490153779"&gt;197&lt;/key&gt;&lt;/foreign-keys&gt;&lt;ref-type name="Journal Article"&gt;17&lt;/ref-type&gt;&lt;contributors&gt;&lt;authors&gt;&lt;author&gt;Lee, B. K.&lt;/author&gt;&lt;author&gt;Lessler, J.&lt;/author&gt;&lt;author&gt;Stuart, E. A.&lt;/author&gt;&lt;/authors&gt;&lt;/contributors&gt;&lt;auth-address&gt;Department of Epidemiology and Biostatistics, Drexel University School of Public Health, Philadelphia, Pennsylvania, United States of America. bklee@drexel.edu&lt;/auth-address&gt;&lt;titles&gt;&lt;title&gt;Weight trimming and propensity score weighting&lt;/title&gt;&lt;secondary-title&gt;PLoS One&lt;/secondary-title&gt;&lt;/titles&gt;&lt;periodical&gt;&lt;full-title&gt;PLoS One&lt;/full-title&gt;&lt;/periodical&gt;&lt;pages&gt;e18174&lt;/pages&gt;&lt;volume&gt;6&lt;/volume&gt;&lt;number&gt;3&lt;/number&gt;&lt;keywords&gt;&lt;keyword&gt;Logistic Models&lt;/keyword&gt;&lt;keyword&gt;Models, Statistical&lt;/keyword&gt;&lt;keyword&gt;*Propensity Score&lt;/keyword&gt;&lt;/keywords&gt;&lt;dates&gt;&lt;year&gt;2011&lt;/year&gt;&lt;pub-dates&gt;&lt;date&gt;Mar 31&lt;/date&gt;&lt;/pub-dates&gt;&lt;/dates&gt;&lt;isbn&gt;1932-6203 (Electronic)&amp;#xD;1932-6203 (Linking)&lt;/isbn&gt;&lt;accession-num&gt;21483818&lt;/accession-num&gt;&lt;urls&gt;&lt;related-urls&gt;&lt;url&gt;http://www.ncbi.nlm.nih.gov/pubmed/21483818&lt;/url&gt;&lt;/related-urls&gt;&lt;/urls&gt;&lt;custom2&gt;PMC3069059&lt;/custom2&gt;&lt;electronic-resource-num&gt;10.1371/journal.pone.0018174&lt;/electronic-resource-num&gt;&lt;/record&gt;&lt;/Cite&gt;&lt;/EndNote&gt;</w:instrText>
      </w:r>
      <w:r>
        <w:rPr>
          <w:rFonts w:ascii="Times New Roman" w:eastAsia="???" w:hAnsi="Times New Roman" w:cs="Times New Roman"/>
        </w:rPr>
        <w:fldChar w:fldCharType="separate"/>
      </w:r>
      <w:r>
        <w:rPr>
          <w:rFonts w:ascii="Times New Roman" w:eastAsia="???" w:hAnsi="Times New Roman" w:cs="Times New Roman"/>
          <w:noProof/>
          <w:vertAlign w:val="superscript"/>
        </w:rPr>
        <w:t>[3]</w:t>
      </w:r>
      <w:r>
        <w:rPr>
          <w:rFonts w:ascii="Times New Roman" w:eastAsia="???" w:hAnsi="Times New Roman" w:cs="Times New Roman"/>
        </w:rPr>
        <w:fldChar w:fldCharType="end"/>
      </w:r>
      <w:r>
        <w:rPr>
          <w:rFonts w:ascii="Times New Roman" w:eastAsia="???" w:hAnsi="Times New Roman" w:cs="Times New Roman"/>
        </w:rPr>
        <w:t xml:space="preserve"> Unweighted standardized differences (effect sizes) are presented in </w:t>
      </w:r>
      <w:r>
        <w:rPr>
          <w:rFonts w:ascii="Times New Roman" w:eastAsia="???" w:hAnsi="Times New Roman" w:cs="Times New Roman"/>
          <w:b/>
          <w:bCs/>
        </w:rPr>
        <w:t>Supplemental Table 1</w:t>
      </w:r>
      <w:r>
        <w:rPr>
          <w:rFonts w:ascii="Times New Roman" w:eastAsia="???" w:hAnsi="Times New Roman" w:cs="Times New Roman"/>
        </w:rPr>
        <w:t xml:space="preserve"> and calculated using the formulas presented by Austin &amp; Stuart.</w:t>
      </w:r>
      <w:r>
        <w:rPr>
          <w:rFonts w:ascii="Times New Roman" w:eastAsia="???" w:hAnsi="Times New Roman" w:cs="Times New Roman"/>
        </w:rPr>
        <w:fldChar w:fldCharType="begin">
          <w:fldData xml:space="preserve">PEVuZE5vdGU+PENpdGU+PEF1dGhvcj5BdXN0aW48L0F1dGhvcj48WWVhcj4yMDE1PC9ZZWFyPjxS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=
</w:fldData>
        </w:fldChar>
      </w:r>
      <w:r>
        <w:rPr>
          <w:rFonts w:ascii="Times New Roman" w:eastAsia="???" w:hAnsi="Times New Roman" w:cs="Times New Roman"/>
        </w:rPr>
        <w:instrText xml:space="preserve"> ADDIN EN.CITE </w:instrText>
      </w:r>
      <w:r>
        <w:rPr>
          <w:rFonts w:ascii="Times New Roman" w:eastAsia="???" w:hAnsi="Times New Roman" w:cs="Times New Roman"/>
        </w:rPr>
        <w:fldChar w:fldCharType="begin">
          <w:fldData xml:space="preserve">PEVuZE5vdGU+PENpdGU+PEF1dGhvcj5BdXN0aW48L0F1dGhvcj48WWVhcj4yMDE1PC9ZZWFyPjxS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=
</w:fldData>
        </w:fldChar>
      </w:r>
      <w:r>
        <w:rPr>
          <w:rFonts w:ascii="Times New Roman" w:eastAsia="???" w:hAnsi="Times New Roman" w:cs="Times New Roman"/>
        </w:rPr>
        <w:instrText xml:space="preserve"> ADDIN EN.CITE.DATA </w:instrText>
      </w:r>
      <w:r>
        <w:rPr>
          <w:rFonts w:ascii="Times New Roman" w:eastAsia="???" w:hAnsi="Times New Roman"/>
        </w:rPr>
      </w:r>
      <w:r>
        <w:rPr>
          <w:rFonts w:ascii="Times New Roman" w:eastAsia="???" w:hAnsi="Times New Roman" w:cs="Times New Roman"/>
        </w:rPr>
        <w:fldChar w:fldCharType="end"/>
      </w:r>
      <w:r>
        <w:rPr>
          <w:rFonts w:ascii="Times New Roman" w:eastAsia="???" w:hAnsi="Times New Roman"/>
        </w:rPr>
      </w:r>
      <w:r>
        <w:rPr>
          <w:rFonts w:ascii="Times New Roman" w:eastAsia="???" w:hAnsi="Times New Roman" w:cs="Times New Roman"/>
        </w:rPr>
        <w:fldChar w:fldCharType="separate"/>
      </w:r>
      <w:r>
        <w:rPr>
          <w:rFonts w:ascii="Times New Roman" w:eastAsia="???" w:hAnsi="Times New Roman" w:cs="Times New Roman"/>
          <w:noProof/>
          <w:vertAlign w:val="superscript"/>
        </w:rPr>
        <w:t>[1]</w:t>
      </w:r>
      <w:r>
        <w:rPr>
          <w:rFonts w:ascii="Times New Roman" w:eastAsia="???" w:hAnsi="Times New Roman" w:cs="Times New Roman"/>
        </w:rPr>
        <w:fldChar w:fldCharType="end"/>
      </w:r>
      <w:r>
        <w:rPr>
          <w:rFonts w:ascii="Times New Roman" w:eastAsia="???" w:hAnsi="Times New Roman" w:cs="Times New Roman"/>
        </w:rPr>
        <w:t xml:space="preserve"> Weighted standardized mean differences, using both untrimmed and trimmed stabilized weights, are presented in </w:t>
      </w:r>
      <w:r>
        <w:rPr>
          <w:rFonts w:ascii="Times New Roman" w:eastAsia="???" w:hAnsi="Times New Roman" w:cs="Times New Roman"/>
          <w:b/>
          <w:bCs/>
        </w:rPr>
        <w:t>Supplemental Table 2</w:t>
      </w:r>
      <w:r>
        <w:rPr>
          <w:rFonts w:ascii="Times New Roman" w:eastAsia="???" w:hAnsi="Times New Roman" w:cs="Times New Roman"/>
        </w:rPr>
        <w:t xml:space="preserve"> for each of the simple and complex logistic propensity models and were calculated using the </w:t>
      </w:r>
      <w:r>
        <w:rPr>
          <w:rFonts w:ascii="Times New Roman" w:eastAsia="???" w:hAnsi="Times New Roman" w:cs="Times New Roman"/>
          <w:i/>
          <w:iCs/>
        </w:rPr>
        <w:t>tableone</w:t>
      </w:r>
      <w:r>
        <w:rPr>
          <w:rFonts w:ascii="Times New Roman" w:eastAsia="???" w:hAnsi="Times New Roman" w:cs="Times New Roman"/>
        </w:rPr>
        <w:t xml:space="preserve"> package in CRAN R. These values aid in the determination of study cohort balance, with regards to the 12 noted covariates, in the weighted samples. At present, there is no universal cutoff for establishing imbalance between cohorts. A number of authors have cited 10% as being reasonable;</w:t>
      </w:r>
      <w:r>
        <w:rPr>
          <w:rFonts w:ascii="Times New Roman" w:eastAsia="???" w:hAnsi="Times New Roman" w:cs="Times New Roman"/>
        </w:rPr>
        <w:fldChar w:fldCharType="begin">
          <w:fldData xml:space="preserve">PEVuZE5vdGU+PENpdGU+PEF1dGhvcj5BdXN0aW48L0F1dGhvcj48WWVhcj4yMDA5PC9ZZWFyPjxS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</w:fldData>
        </w:fldChar>
      </w:r>
      <w:r>
        <w:rPr>
          <w:rFonts w:ascii="Times New Roman" w:eastAsia="???" w:hAnsi="Times New Roman" w:cs="Times New Roman"/>
        </w:rPr>
        <w:instrText xml:space="preserve"> ADDIN EN.CITE </w:instrText>
      </w:r>
      <w:r>
        <w:rPr>
          <w:rFonts w:ascii="Times New Roman" w:eastAsia="???" w:hAnsi="Times New Roman" w:cs="Times New Roman"/>
        </w:rPr>
        <w:fldChar w:fldCharType="begin">
          <w:fldData xml:space="preserve">PEVuZE5vdGU+PENpdGU+PEF1dGhvcj5BdXN0aW48L0F1dGhvcj48WWVhcj4yMDA5PC9ZZWFyPjxS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</w:fldData>
        </w:fldChar>
      </w:r>
      <w:r>
        <w:rPr>
          <w:rFonts w:ascii="Times New Roman" w:eastAsia="???" w:hAnsi="Times New Roman" w:cs="Times New Roman"/>
        </w:rPr>
        <w:instrText xml:space="preserve"> ADDIN EN.CITE.DATA </w:instrText>
      </w:r>
      <w:r>
        <w:rPr>
          <w:rFonts w:ascii="Times New Roman" w:eastAsia="???" w:hAnsi="Times New Roman"/>
        </w:rPr>
      </w:r>
      <w:r>
        <w:rPr>
          <w:rFonts w:ascii="Times New Roman" w:eastAsia="???" w:hAnsi="Times New Roman" w:cs="Times New Roman"/>
        </w:rPr>
        <w:fldChar w:fldCharType="end"/>
      </w:r>
      <w:r>
        <w:rPr>
          <w:rFonts w:ascii="Times New Roman" w:eastAsia="???" w:hAnsi="Times New Roman"/>
        </w:rPr>
      </w:r>
      <w:r>
        <w:rPr>
          <w:rFonts w:ascii="Times New Roman" w:eastAsia="???" w:hAnsi="Times New Roman" w:cs="Times New Roman"/>
        </w:rPr>
        <w:fldChar w:fldCharType="separate"/>
      </w:r>
      <w:r>
        <w:rPr>
          <w:rFonts w:ascii="Times New Roman" w:eastAsia="???" w:hAnsi="Times New Roman" w:cs="Times New Roman"/>
          <w:noProof/>
          <w:vertAlign w:val="superscript"/>
        </w:rPr>
        <w:t>[4, 5]</w:t>
      </w:r>
      <w:r>
        <w:rPr>
          <w:rFonts w:ascii="Times New Roman" w:eastAsia="???" w:hAnsi="Times New Roman" w:cs="Times New Roman"/>
        </w:rPr>
        <w:fldChar w:fldCharType="end"/>
      </w:r>
      <w:r>
        <w:rPr>
          <w:rFonts w:ascii="Times New Roman" w:eastAsia="???" w:hAnsi="Times New Roman" w:cs="Times New Roman"/>
        </w:rPr>
        <w:t xml:space="preserve"> whereas, others have utilized cutoffs as high as 20% and 25%.</w:t>
      </w:r>
      <w:r>
        <w:rPr>
          <w:rFonts w:ascii="Times New Roman" w:eastAsia="???" w:hAnsi="Times New Roman" w:cs="Times New Roman"/>
        </w:rPr>
        <w:fldChar w:fldCharType="begin"/>
      </w:r>
      <w:r>
        <w:rPr>
          <w:rFonts w:ascii="Times New Roman" w:eastAsia="???" w:hAnsi="Times New Roman" w:cs="Times New Roman"/>
        </w:rPr>
        <w:instrText xml:space="preserve"> ADDIN EN.CITE &lt;EndNote&gt;&lt;Cite&gt;&lt;Author&gt;McCaffrey&lt;/Author&gt;&lt;Year&gt;2013&lt;/Year&gt;&lt;RecNum&gt;201&lt;/RecNum&gt;&lt;DisplayText&gt;&lt;style face="superscript"&gt;[6]&lt;/style&gt;&lt;/DisplayText&gt;&lt;record&gt;&lt;rec-number&gt;201&lt;/rec-number&gt;&lt;foreign-keys&gt;&lt;key app="EN" db-id="zxrr9x50a0w5ege2vxzp5ezgr95arfxrfsrt" timestamp="1490155088"&gt;201&lt;/key&gt;&lt;/foreign-keys&gt;&lt;ref-type name="Journal Article"&gt;17&lt;/ref-type&gt;&lt;contributors&gt;&lt;authors&gt;&lt;author&gt;McCaffrey, D. F.&lt;/author&gt;&lt;author&gt;Griffin, B. A.&lt;/author&gt;&lt;author&gt;Almirall, D.&lt;/author&gt;&lt;author&gt;Slaughter, M. E.&lt;/author&gt;&lt;author&gt;Ramchand, R.&lt;/author&gt;&lt;author&gt;Burgette, L. F.&lt;/author&gt;&lt;/authors&gt;&lt;/contributors&gt;&lt;auth-address&gt;The RAND Corporation, 4570 Fifth Avenue, Pittsburgh, PA 15213, USA. danielm@rand.org&lt;/auth-address&gt;&lt;titles&gt;&lt;title&gt;A tutorial on propensity score estimation for multiple treatments using generalized boosted models&lt;/title&gt;&lt;secondary-title&gt;Stat Med&lt;/secondary-title&gt;&lt;/titles&gt;&lt;periodical&gt;&lt;full-title&gt;Stat Med&lt;/full-title&gt;&lt;/periodical&gt;&lt;pages&gt;3388-414&lt;/pages&gt;&lt;volume&gt;32&lt;/volume&gt;&lt;number&gt;19&lt;/number&gt;&lt;keywords&gt;&lt;keyword&gt;Adolescent&lt;/keyword&gt;&lt;keyword&gt;Clinical Trials as Topic/*methods&lt;/keyword&gt;&lt;keyword&gt;Humans&lt;/keyword&gt;&lt;keyword&gt;*Models, Statistical&lt;/keyword&gt;&lt;keyword&gt;*Propensity Score&lt;/keyword&gt;&lt;keyword&gt;Substance-Related Disorders/therapy&lt;/keyword&gt;&lt;keyword&gt;*Treatment Outcome&lt;/keyword&gt;&lt;keyword&gt;Gbm&lt;/keyword&gt;&lt;keyword&gt;causal effects&lt;/keyword&gt;&lt;keyword&gt;causal modeling&lt;/keyword&gt;&lt;keyword&gt;inverse probability of treatment weighting&lt;/keyword&gt;&lt;keyword&gt;twang&lt;/keyword&gt;&lt;/keywords&gt;&lt;dates&gt;&lt;year&gt;2013&lt;/year&gt;&lt;pub-dates&gt;&lt;date&gt;Aug 30&lt;/date&gt;&lt;/pub-dates&gt;&lt;/dates&gt;&lt;isbn&gt;1097-0258 (Electronic)&amp;#xD;0277-6715 (Linking)&lt;/isbn&gt;&lt;accession-num&gt;23508673&lt;/accession-num&gt;&lt;urls&gt;&lt;related-urls&gt;&lt;url&gt;http://www.ncbi.nlm.nih.gov/pubmed/23508673&lt;/url&gt;&lt;/related-urls&gt;&lt;/urls&gt;&lt;custom2&gt;PMC3710547&lt;/custom2&gt;&lt;electronic-resource-num&gt;10.1002/sim.5753&lt;/electronic-resource-num&gt;&lt;/record&gt;&lt;/Cite&gt;&lt;/EndNote&gt;</w:instrText>
      </w:r>
      <w:r>
        <w:rPr>
          <w:rFonts w:ascii="Times New Roman" w:eastAsia="???" w:hAnsi="Times New Roman" w:cs="Times New Roman"/>
        </w:rPr>
        <w:fldChar w:fldCharType="separate"/>
      </w:r>
      <w:r>
        <w:rPr>
          <w:rFonts w:ascii="Times New Roman" w:eastAsia="???" w:hAnsi="Times New Roman" w:cs="Times New Roman"/>
          <w:noProof/>
          <w:vertAlign w:val="superscript"/>
        </w:rPr>
        <w:t>[6]</w:t>
      </w:r>
      <w:r>
        <w:rPr>
          <w:rFonts w:ascii="Times New Roman" w:eastAsia="???" w:hAnsi="Times New Roman" w:cs="Times New Roman"/>
        </w:rPr>
        <w:fldChar w:fldCharType="end"/>
      </w:r>
      <w:r>
        <w:rPr>
          <w:rFonts w:ascii="Times New Roman" w:eastAsia="???" w:hAnsi="Times New Roman" w:cs="Times New Roman"/>
        </w:rPr>
        <w:t xml:space="preserve"> Cohen defined standardized differences (or effect sizes) loosely using the following criteria: 20% as small, 40% as moderate, and 60% as large.</w:t>
      </w:r>
      <w:r>
        <w:rPr>
          <w:rFonts w:ascii="Times New Roman" w:eastAsia="???" w:hAnsi="Times New Roman" w:cs="Times New Roman"/>
        </w:rPr>
        <w:fldChar w:fldCharType="begin"/>
      </w:r>
      <w:r>
        <w:rPr>
          <w:rFonts w:ascii="Times New Roman" w:eastAsia="???" w:hAnsi="Times New Roman" w:cs="Times New Roman"/>
        </w:rPr>
        <w:instrText xml:space="preserve"> ADDIN EN.CITE &lt;EndNote&gt;&lt;Cite&gt;&lt;Author&gt;Cohen&lt;/Author&gt;&lt;Year&gt;1988&lt;/Year&gt;&lt;RecNum&gt;202&lt;/RecNum&gt;&lt;DisplayText&gt;&lt;style face="superscript"&gt;[7]&lt;/style&gt;&lt;/DisplayText&gt;&lt;record&gt;&lt;rec-number&gt;202&lt;/rec-number&gt;&lt;foreign-keys&gt;&lt;key app="EN" db-id="zxrr9x50a0w5ege2vxzp5ezgr95arfxrfsrt" timestamp="1490156420"&gt;202&lt;/key&gt;&lt;/foreign-keys&gt;&lt;ref-type name="Book"&gt;6&lt;/ref-type&gt;&lt;contributors&gt;&lt;authors&gt;&lt;author&gt;Cohen, J. &lt;/author&gt;&lt;/authors&gt;&lt;/contributors&gt;&lt;titles&gt;&lt;title&gt;Statistical power analysis for the behavioral sciences (2nd ed.)&lt;/title&gt;&lt;/titles&gt;&lt;dates&gt;&lt;year&gt;1988&lt;/year&gt;&lt;/dates&gt;&lt;publisher&gt;Lawrence Earlbaum Associates.&lt;/publisher&gt;&lt;isbn&gt;0805802835&lt;/isbn&gt;&lt;urls&gt;&lt;/urls&gt;&lt;/record&gt;&lt;/Cite&gt;&lt;/EndNote&gt;</w:instrText>
      </w:r>
      <w:r>
        <w:rPr>
          <w:rFonts w:ascii="Times New Roman" w:eastAsia="???" w:hAnsi="Times New Roman" w:cs="Times New Roman"/>
        </w:rPr>
        <w:fldChar w:fldCharType="separate"/>
      </w:r>
      <w:r>
        <w:rPr>
          <w:rFonts w:ascii="Times New Roman" w:eastAsia="???" w:hAnsi="Times New Roman" w:cs="Times New Roman"/>
          <w:noProof/>
          <w:vertAlign w:val="superscript"/>
        </w:rPr>
        <w:t>[7]</w:t>
      </w:r>
      <w:r>
        <w:rPr>
          <w:rFonts w:ascii="Times New Roman" w:eastAsia="???" w:hAnsi="Times New Roman" w:cs="Times New Roman"/>
        </w:rPr>
        <w:fldChar w:fldCharType="end"/>
      </w:r>
      <w:r>
        <w:rPr>
          <w:rFonts w:ascii="Times New Roman" w:eastAsia="???" w:hAnsi="Times New Roman" w:cs="Times New Roman"/>
        </w:rPr>
        <w:t xml:space="preserve"> Considering these values, and given our small size and level of cohort disparity, we utilized 25% as our weighted standardized difference cutoff for indication of covariate imbalance between the MACARTI and SOC groups. Finally, in an effort to create as much homogeneity between cohorts as possible, multiple forms of the simple model were considered using perceived, increasingly uniform sub-samples (i.e. men only      black only      black men), to determine if better covariate balance could be achieved within a subset of the sampled population (</w:t>
      </w:r>
      <w:r>
        <w:rPr>
          <w:rFonts w:ascii="Times New Roman" w:eastAsia="???" w:hAnsi="Times New Roman" w:cs="Times New Roman"/>
          <w:b/>
          <w:bCs/>
        </w:rPr>
        <w:t>Supplemental Table 2</w:t>
      </w:r>
      <w:r>
        <w:rPr>
          <w:rFonts w:ascii="Times New Roman" w:eastAsia="???" w:hAnsi="Times New Roman" w:cs="Times New Roman"/>
        </w:rPr>
        <w:t xml:space="preserve">). </w:t>
      </w:r>
    </w:p>
    <w:p w:rsidR="00B10931" w:rsidRDefault="00B10931">
      <w:pPr>
        <w:jc w:val="both"/>
        <w:rPr>
          <w:rFonts w:ascii="Times New Roman" w:eastAsia="???" w:hAnsi="Times New Roman" w:cs="Times New Roman"/>
          <w:i/>
          <w:iCs/>
        </w:rPr>
      </w:pPr>
      <w:r>
        <w:rPr>
          <w:rFonts w:ascii="Times New Roman" w:eastAsia="???" w:hAnsi="Times New Roman" w:cs="Times New Roman"/>
          <w:i/>
          <w:iCs/>
        </w:rPr>
        <w:t xml:space="preserve">Stabilized Weight Diagnostics </w:t>
      </w:r>
    </w:p>
    <w:p w:rsidR="00B10931" w:rsidRDefault="00B10931">
      <w:pPr>
        <w:jc w:val="both"/>
        <w:rPr>
          <w:rFonts w:ascii="Times New Roman" w:eastAsia="???" w:hAnsi="Times New Roman" w:cs="Times New Roman"/>
        </w:rPr>
      </w:pPr>
      <w:r>
        <w:rPr>
          <w:rFonts w:ascii="Times New Roman" w:eastAsia="???" w:hAnsi="Times New Roman" w:cs="Times New Roman"/>
        </w:rPr>
        <w:t xml:space="preserve">First considering each of the simple models (four options: all sampled participants and the three sub-samples, men only; black only; black men), means and standard deviations for the untrimmed, stabilized weights were all found to be close to 1, with similar standard deviations (All participants, Mean: 0.984 (SD: 1.101); Men Only, 0.994 (0.951); Black Only, 0.990 (1.000); Black Men, 1.008 (0.952)). In each case, means and standard deviations for the trimmed weights did not substantially differ from the untrimmed weights. After careful consideration of each of the four candidate simple models, the simple model containing all participants with untrimmed weights was selected, as it did not perform notably worse than any of the other candidate simple models, indicated by mean stabilized weight summaries and covariate standardized mean differences in </w:t>
      </w:r>
      <w:r>
        <w:rPr>
          <w:rFonts w:ascii="Times New Roman" w:eastAsia="???" w:hAnsi="Times New Roman" w:cs="Times New Roman"/>
          <w:b/>
          <w:bCs/>
        </w:rPr>
        <w:t>Supplemental Table 2</w:t>
      </w:r>
      <w:r>
        <w:rPr>
          <w:rFonts w:ascii="Times New Roman" w:eastAsia="???" w:hAnsi="Times New Roman" w:cs="Times New Roman"/>
        </w:rPr>
        <w:t>; moreover, this model permitted the use of all participant data, providing better inference (and coverage) for the target population, newly diagnosed HIV patients in MSA-Atlanta. The minimum and maximum for the selected simple model were 0.482 and 9.362, respectively. The complex model, also utilizing all participants and untrimmed stabilized weights, had a mean and standard deviation of 1.020 (1.399), as well as a minimum and maximum of 0.481 and 10.530, respectively. Given these values, non-positivity and misspecification of the propensity models did not appear to be of serious concern.</w:t>
      </w:r>
    </w:p>
    <w:p w:rsidR="00B10931" w:rsidRDefault="00B10931">
      <w:pPr>
        <w:jc w:val="both"/>
        <w:rPr>
          <w:rFonts w:ascii="Times New Roman" w:eastAsia="???" w:hAnsi="Times New Roman" w:cs="Times New Roman"/>
          <w:i/>
          <w:iCs/>
        </w:rPr>
      </w:pPr>
      <w:r>
        <w:rPr>
          <w:rFonts w:ascii="Times New Roman" w:eastAsia="???" w:hAnsi="Times New Roman" w:cs="Times New Roman"/>
          <w:i/>
          <w:iCs/>
        </w:rPr>
        <w:t>Weighted Sample Mean Comparisons and Higher Order Terms</w:t>
      </w:r>
    </w:p>
    <w:p w:rsidR="00B10931" w:rsidRDefault="00B10931">
      <w:pPr>
        <w:jc w:val="both"/>
        <w:rPr>
          <w:rFonts w:ascii="Times New Roman" w:eastAsia="???" w:hAnsi="Times New Roman" w:cs="Times New Roman"/>
        </w:rPr>
      </w:pPr>
      <w:r>
        <w:rPr>
          <w:rFonts w:ascii="Times New Roman" w:eastAsia="???" w:hAnsi="Times New Roman" w:cs="Times New Roman"/>
        </w:rPr>
        <w:t xml:space="preserve">The largest absolute weighted standardized differences for the simple model specification were for race (0.230) and condom usage (0.249), with the remaining standardized differences being under 0.20 (or 20%). For the complex model specification, the largest absolute weighted standardized differences were for race (0.267), education (0.230), sexual orientation (0.221), and condom usage (0.241), with the remaining standardized differences being under 0.20. In the simple model, all 12 covariates were below the weighted standardized difference cutoff of 25%; concurrently, 11 of 12 covariates met this criterion in the complex model. In contrast, unweighted standardized differences were large, reaching as high as 0.85, with the majority of other covariates differing between 0.25 and 0.70. Only three covariates met the cutoff threshold of 25%, unweighted (currently using drugs, abuse type, condom usage). </w:t>
      </w:r>
      <w:r>
        <w:rPr>
          <w:rFonts w:ascii="Times New Roman" w:eastAsia="???" w:hAnsi="Times New Roman" w:cs="Times New Roman"/>
          <w:b/>
          <w:bCs/>
        </w:rPr>
        <w:t>Supplemental Figure 1</w:t>
      </w:r>
      <w:r>
        <w:rPr>
          <w:rFonts w:ascii="Times New Roman" w:eastAsia="???" w:hAnsi="Times New Roman" w:cs="Times New Roman"/>
        </w:rPr>
        <w:t xml:space="preserve"> presents absolute standardized mean differences for the unweighted sample and weighted samples, using the simple and complex model specifications. A dashed line is included at 25% to indicate the tolerance level for covariate imbalance between the MACARTI and SOC cohorts. </w:t>
      </w:r>
    </w:p>
    <w:p w:rsidR="00B10931" w:rsidRDefault="00B10931">
      <w:pPr>
        <w:jc w:val="both"/>
        <w:rPr>
          <w:rFonts w:ascii="Times New Roman" w:eastAsia="???" w:hAnsi="Times New Roman" w:cs="Times New Roman"/>
        </w:rPr>
      </w:pPr>
      <w:r>
        <w:rPr>
          <w:rFonts w:ascii="Times New Roman" w:eastAsia="???" w:hAnsi="Times New Roman" w:cs="Times New Roman"/>
        </w:rPr>
        <w:t>Having only one continuous covariate, continuous interactions were not considered in the simple model specification; however, higher order terms for age were further included as main effects (i.e. square and cube). In the unweighted sample, the standardized mean difference for the square and cube of age were 0.273 and 0.270, respectively. In separate simple model specifications, including each of Age</w:t>
      </w:r>
      <w:r>
        <w:rPr>
          <w:rFonts w:ascii="Times New Roman" w:eastAsia="???" w:hAnsi="Times New Roman" w:cs="Times New Roman"/>
          <w:vertAlign w:val="superscript"/>
        </w:rPr>
        <w:t>2</w:t>
      </w:r>
      <w:r>
        <w:rPr>
          <w:rFonts w:ascii="Times New Roman" w:eastAsia="???" w:hAnsi="Times New Roman" w:cs="Times New Roman"/>
        </w:rPr>
        <w:t xml:space="preserve"> and Age</w:t>
      </w:r>
      <w:r>
        <w:rPr>
          <w:rFonts w:ascii="Times New Roman" w:eastAsia="???" w:hAnsi="Times New Roman" w:cs="Times New Roman"/>
          <w:vertAlign w:val="superscript"/>
        </w:rPr>
        <w:t xml:space="preserve">3 </w:t>
      </w:r>
      <w:r>
        <w:rPr>
          <w:rFonts w:ascii="Times New Roman" w:eastAsia="???" w:hAnsi="Times New Roman" w:cs="Times New Roman"/>
        </w:rPr>
        <w:t xml:space="preserve">as main effects, the weighted mean standard differences were 0.103 and 0.100, respectively. These results suggest that balance has been achieved between MACARTI and SOC participants with regards to the higher order terms of age. Together, with the results presented in </w:t>
      </w:r>
      <w:r>
        <w:rPr>
          <w:rFonts w:ascii="Times New Roman" w:eastAsia="???" w:hAnsi="Times New Roman" w:cs="Times New Roman"/>
          <w:b/>
          <w:bCs/>
        </w:rPr>
        <w:t>Supplemental Figure 1</w:t>
      </w:r>
      <w:r>
        <w:rPr>
          <w:rFonts w:ascii="Times New Roman" w:eastAsia="???" w:hAnsi="Times New Roman" w:cs="Times New Roman"/>
        </w:rPr>
        <w:t xml:space="preserve">, it appears that the simple propensity specification is superior to the complex specification and will be utilized in weighted linear model analysis for the CD4 and Viral Load outcomes.  </w:t>
      </w:r>
    </w:p>
    <w:p w:rsidR="00B10931" w:rsidRDefault="00B10931">
      <w:pPr>
        <w:jc w:val="both"/>
        <w:rPr>
          <w:rFonts w:ascii="Times New Roman" w:eastAsia="???" w:hAnsi="Times New Roman" w:cs="Times New Roman"/>
          <w:i/>
          <w:iCs/>
        </w:rPr>
      </w:pPr>
      <w:r>
        <w:rPr>
          <w:rFonts w:ascii="Times New Roman" w:eastAsia="???" w:hAnsi="Times New Roman" w:cs="Times New Roman"/>
          <w:i/>
          <w:iCs/>
        </w:rPr>
        <w:t>Graphical and Statistical Comparisons for the Age Covariate</w:t>
      </w:r>
    </w:p>
    <w:p w:rsidR="00B10931" w:rsidRDefault="00B10931">
      <w:pPr>
        <w:jc w:val="both"/>
        <w:rPr>
          <w:rFonts w:ascii="Times New Roman" w:eastAsia="???" w:hAnsi="Times New Roman" w:cs="Times New Roman"/>
        </w:rPr>
      </w:pPr>
      <w:r>
        <w:rPr>
          <w:rFonts w:ascii="Times New Roman" w:eastAsia="???" w:hAnsi="Times New Roman" w:cs="Times New Roman"/>
        </w:rPr>
        <w:t>As a final check for the continuous age covariate, empirical cumulative distribution functions are plotted for the unweighted and weighted samples (</w:t>
      </w:r>
      <w:r>
        <w:rPr>
          <w:rFonts w:ascii="Times New Roman" w:eastAsia="???" w:hAnsi="Times New Roman" w:cs="Times New Roman"/>
          <w:b/>
          <w:bCs/>
        </w:rPr>
        <w:t>Supplemental Figure 2</w:t>
      </w:r>
      <w:r>
        <w:rPr>
          <w:rFonts w:ascii="Times New Roman" w:eastAsia="???" w:hAnsi="Times New Roman" w:cs="Times New Roman"/>
        </w:rPr>
        <w:t xml:space="preserve">); additionally, Kolmogorov-Smirnov D-statistics were utilized to determine if the unweighted and weighted age distributions significantly differed between the MACARTI and SOC cohorts. A bootstrapped version of the traditional Kolmogorov-Smirnov test was implemented (with 10,000 boots), allowing for ties within the data. All resulting D-statistics were small, 0.036 in the unweighted sample, 0.088 and 0.176 in the simple and complex weighted samples, respectively, indicating MACARTI and SOC age distributions as insignificant from each other. Provided the D-statistics and visualizations of the data in </w:t>
      </w:r>
      <w:r>
        <w:rPr>
          <w:rFonts w:ascii="Times New Roman" w:eastAsia="???" w:hAnsi="Times New Roman" w:cs="Times New Roman"/>
          <w:b/>
          <w:bCs/>
        </w:rPr>
        <w:t>Supplemental Figure 2,</w:t>
      </w:r>
      <w:r>
        <w:rPr>
          <w:rFonts w:ascii="Times New Roman" w:eastAsia="???" w:hAnsi="Times New Roman" w:cs="Times New Roman"/>
        </w:rPr>
        <w:t xml:space="preserve"> the simple model weight balances distributional differences better than the complex model weight, but neither the simple nor complex weighting improves age balance between the study groups, relative to the unweighted sample. </w:t>
      </w:r>
    </w:p>
    <w:p w:rsidR="00B10931" w:rsidRDefault="00B10931">
      <w:pPr>
        <w:rPr>
          <w:rFonts w:ascii="Times New Roman" w:eastAsia="???" w:hAnsi="Times New Roman"/>
        </w:rPr>
      </w:pPr>
    </w:p>
    <w:p w:rsidR="00B10931" w:rsidRDefault="00B10931">
      <w:pPr>
        <w:pStyle w:val="RTFOutput"/>
        <w:adjustRightInd w:val="0"/>
        <w:spacing w:before="10" w:after="10"/>
        <w:rPr>
          <w:rFonts w:ascii="Times New Roman" w:hAnsi="Times New Roman" w:cs="Times New Roman"/>
          <w:b/>
          <w:bCs/>
          <w:sz w:val="22"/>
          <w:szCs w:val="22"/>
        </w:rPr>
      </w:pPr>
    </w:p>
    <w:p w:rsidR="00B10931" w:rsidRDefault="00B10931">
      <w:pPr>
        <w:pStyle w:val="RTFOutput"/>
        <w:adjustRightInd w:val="0"/>
        <w:spacing w:before="10" w:after="10"/>
        <w:rPr>
          <w:rFonts w:ascii="Times New Roman" w:hAnsi="Times New Roman" w:cs="Times New Roman"/>
          <w:b/>
          <w:bCs/>
          <w:sz w:val="22"/>
          <w:szCs w:val="22"/>
        </w:rPr>
      </w:pPr>
    </w:p>
    <w:p w:rsidR="00B10931" w:rsidRDefault="00B10931">
      <w:pPr>
        <w:pStyle w:val="RTFOutput"/>
        <w:adjustRightInd w:val="0"/>
        <w:spacing w:before="10" w:after="10"/>
        <w:rPr>
          <w:rFonts w:ascii="Times New Roman" w:hAnsi="Times New Roman" w:cs="Times New Roman"/>
          <w:b/>
          <w:bCs/>
          <w:sz w:val="22"/>
          <w:szCs w:val="22"/>
        </w:rPr>
      </w:pPr>
    </w:p>
    <w:p w:rsidR="00B10931" w:rsidRDefault="00B10931">
      <w:pPr>
        <w:pStyle w:val="RTFOutput"/>
        <w:adjustRightInd w:val="0"/>
        <w:spacing w:before="10" w:after="10"/>
        <w:rPr>
          <w:rFonts w:ascii="Times New Roman" w:hAnsi="Times New Roman" w:cs="Times New Roman"/>
          <w:b/>
          <w:bCs/>
          <w:sz w:val="22"/>
          <w:szCs w:val="22"/>
        </w:rPr>
      </w:pPr>
    </w:p>
    <w:p w:rsidR="00B10931" w:rsidRDefault="00B10931">
      <w:pPr>
        <w:pStyle w:val="RTFOutput"/>
        <w:adjustRightInd w:val="0"/>
        <w:spacing w:before="10" w:after="10"/>
        <w:rPr>
          <w:rFonts w:ascii="Times New Roman" w:hAnsi="Times New Roman" w:cs="Times New Roman"/>
          <w:b/>
          <w:bCs/>
          <w:sz w:val="22"/>
          <w:szCs w:val="22"/>
        </w:rPr>
      </w:pPr>
    </w:p>
    <w:p w:rsidR="00B10931" w:rsidRDefault="00B10931">
      <w:pPr>
        <w:pStyle w:val="RTFOutput"/>
        <w:adjustRightInd w:val="0"/>
        <w:spacing w:before="10" w:after="10"/>
        <w:rPr>
          <w:rFonts w:ascii="Times New Roman" w:hAnsi="Times New Roman" w:cs="Times New Roman"/>
          <w:b/>
          <w:bCs/>
          <w:sz w:val="22"/>
          <w:szCs w:val="22"/>
        </w:rPr>
      </w:pPr>
      <w:r>
        <w:rPr>
          <w:rFonts w:ascii="Times New Roman" w:hAnsi="Times New Roman" w:cs="Times New Roman"/>
          <w:b/>
          <w:bCs/>
          <w:sz w:val="22"/>
          <w:szCs w:val="22"/>
        </w:rPr>
        <w:t>Supplemental Table 1: Unweighted standardized differences for propensity model covariates, reproduced from the primary text for convenience</w:t>
      </w:r>
    </w:p>
    <w:p w:rsidR="00B10931" w:rsidRDefault="00B10931">
      <w:pPr>
        <w:pStyle w:val="RTFOutput"/>
        <w:adjustRightInd w:val="0"/>
        <w:spacing w:before="10" w:after="10"/>
        <w:rPr>
          <w:rFonts w:ascii="Times New Roman" w:hAnsi="Times New Roman" w:cs="Times New Roman"/>
          <w:b/>
          <w:bCs/>
          <w:color w:val="000000"/>
          <w:sz w:val="22"/>
          <w:szCs w:val="22"/>
        </w:rPr>
      </w:pPr>
    </w:p>
    <w:tbl>
      <w:tblPr>
        <w:tblW w:w="10874" w:type="dxa"/>
        <w:jc w:val="center"/>
        <w:tblLook w:val="0000"/>
      </w:tblPr>
      <w:tblGrid>
        <w:gridCol w:w="3456"/>
        <w:gridCol w:w="1296"/>
        <w:gridCol w:w="1296"/>
        <w:gridCol w:w="1296"/>
        <w:gridCol w:w="938"/>
        <w:gridCol w:w="1296"/>
        <w:gridCol w:w="1296"/>
      </w:tblGrid>
      <w:tr w:rsidR="00B10931">
        <w:trPr>
          <w:trHeight w:val="432"/>
          <w:jc w:val="center"/>
        </w:trPr>
        <w:tc>
          <w:tcPr>
            <w:tcW w:w="3456" w:type="dxa"/>
            <w:tcBorders>
              <w:top w:val="single" w:sz="4" w:space="0" w:color="auto"/>
              <w:left w:val="nil"/>
              <w:bottom w:val="single" w:sz="4" w:space="0" w:color="auto"/>
              <w:right w:val="nil"/>
            </w:tcBorders>
            <w:vAlign w:val="center"/>
          </w:tcPr>
          <w:p w:rsidR="00B10931" w:rsidRDefault="00B1093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Characteristic, N (%)</w:t>
            </w:r>
          </w:p>
        </w:tc>
        <w:tc>
          <w:tcPr>
            <w:tcW w:w="1296"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Overall</w:t>
            </w:r>
          </w:p>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 = 98</w:t>
            </w:r>
          </w:p>
        </w:tc>
        <w:tc>
          <w:tcPr>
            <w:tcW w:w="1296"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SOC</w:t>
            </w:r>
          </w:p>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 = 49</w:t>
            </w:r>
          </w:p>
        </w:tc>
        <w:tc>
          <w:tcPr>
            <w:tcW w:w="1296"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MACARTI</w:t>
            </w:r>
          </w:p>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 = 49</w:t>
            </w:r>
          </w:p>
        </w:tc>
        <w:tc>
          <w:tcPr>
            <w:tcW w:w="938"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P-Value</w:t>
            </w:r>
          </w:p>
        </w:tc>
        <w:tc>
          <w:tcPr>
            <w:tcW w:w="1296"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Unweighted </w:t>
            </w:r>
          </w:p>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Std. Diff</w:t>
            </w:r>
          </w:p>
        </w:tc>
        <w:tc>
          <w:tcPr>
            <w:tcW w:w="1296"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Weighted</w:t>
            </w:r>
          </w:p>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Std. Diff</w:t>
            </w: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Gender</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Male</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83 (84.7%)</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 (73.5%)</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47 (95.9%)</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0.004</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0.656</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0.097</w:t>
            </w: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Female</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 (15.3%)</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 (26.5%)</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 (4.1%)</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Race</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highlight w:val="yellow"/>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highlight w:val="yellow"/>
              </w:rPr>
            </w:pP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highlight w:val="yellow"/>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Black</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89 (90.8%)</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47 (95.9%)</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 (85.7%)</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0.159</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0.359</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0.230</w:t>
            </w: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Other (White, Hispanic, Other)</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 (9.2%)</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 (4.1%)</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 (14.3%)</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Age (yr), Mean ± SD</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21.5 ± 1.8</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21.3 ± 1.8</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21.7 ± 1.7</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0.175</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0.276</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0.083</w:t>
            </w: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Work Status </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Employed/In School</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74 (75.5%)</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 (65.3%)</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 (85.7%)</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0.019</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0.489</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0.139</w:t>
            </w: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Neither</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 (24.5%)</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 (34.7%)</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 (14.3%)</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Education, N = 97</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High school or Less</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 (61.9%)</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 (72.9%)</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 (51%)</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0.026</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0.463</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0.154</w:t>
            </w: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College or More</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 (38.1%)</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 (27.1%)</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 (49%)</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Ever Abused Alcohol</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 (15.3%)</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 (6.1%)</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(24.5%)</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0.022</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0.528</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0.083</w:t>
            </w: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Currently Using Drugs</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 (22.5%)</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 (18.4%)</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 (26.5%)</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0.333</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0.197</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0.008</w:t>
            </w: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Abused Type</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highlight w:val="yellow"/>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highlight w:val="yellow"/>
              </w:rPr>
            </w:pP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highlight w:val="yellow"/>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No Abuse</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84 (85.7%)</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 (85.7%)</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 (85.7%)</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1.000</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&lt;0.001</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&lt;0.001</w:t>
            </w: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Abused</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(14.3%)</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 (14.3%)</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 (14.3%)</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Sexual Orientation</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highlight w:val="yellow"/>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highlight w:val="yellow"/>
              </w:rPr>
            </w:pP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highlight w:val="yellow"/>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Straight</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 (22.5%)</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 (38.8%)</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 (6.1%)</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&lt;0.001</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0.850</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0.198</w:t>
            </w: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Gay/Bisexual/Queer</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76 (77.5%)</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 (61.2%)</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 (93.9%)</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Condom Usage</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highlight w:val="yellow"/>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highlight w:val="yellow"/>
              </w:rPr>
            </w:pP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highlight w:val="yellow"/>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Always/Usually</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 (72.5%)</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 (67.4%)</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 (77.6%)</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0.258</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0.230</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0.249</w:t>
            </w: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Sometimes/Never</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 (27.5%)</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 (32.6%)</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 (22.4%)</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p>
        </w:tc>
      </w:tr>
      <w:tr w:rsidR="00B10931">
        <w:trPr>
          <w:jc w:val="center"/>
        </w:trPr>
        <w:tc>
          <w:tcPr>
            <w:tcW w:w="345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Ever had STI – Patient Report, N = 97</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47 (48.5%)</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 (57.1%)</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 (39.6%)</w:t>
            </w:r>
          </w:p>
        </w:tc>
        <w:tc>
          <w:tcPr>
            <w:tcW w:w="938"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0.084</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0.357</w:t>
            </w:r>
          </w:p>
        </w:tc>
        <w:tc>
          <w:tcPr>
            <w:tcW w:w="129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0.071</w:t>
            </w:r>
          </w:p>
        </w:tc>
      </w:tr>
      <w:tr w:rsidR="00B10931">
        <w:trPr>
          <w:jc w:val="center"/>
        </w:trPr>
        <w:tc>
          <w:tcPr>
            <w:tcW w:w="3456" w:type="dxa"/>
            <w:tcBorders>
              <w:top w:val="nil"/>
              <w:left w:val="nil"/>
              <w:bottom w:val="single" w:sz="4" w:space="0" w:color="auto"/>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Any AIDS defining conditions, N = 94</w:t>
            </w:r>
          </w:p>
        </w:tc>
        <w:tc>
          <w:tcPr>
            <w:tcW w:w="1296"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 (36.2%)</w:t>
            </w:r>
          </w:p>
        </w:tc>
        <w:tc>
          <w:tcPr>
            <w:tcW w:w="1296"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 (51%)</w:t>
            </w:r>
          </w:p>
        </w:tc>
        <w:tc>
          <w:tcPr>
            <w:tcW w:w="1296"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 (20%)</w:t>
            </w:r>
          </w:p>
        </w:tc>
        <w:tc>
          <w:tcPr>
            <w:tcW w:w="938"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0.002</w:t>
            </w:r>
          </w:p>
        </w:tc>
        <w:tc>
          <w:tcPr>
            <w:tcW w:w="1296"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0.685</w:t>
            </w:r>
          </w:p>
        </w:tc>
        <w:tc>
          <w:tcPr>
            <w:tcW w:w="1296"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0.112</w:t>
            </w:r>
          </w:p>
        </w:tc>
      </w:tr>
    </w:tbl>
    <w:p w:rsidR="00B10931" w:rsidRDefault="00B10931">
      <w:pPr>
        <w:pStyle w:val="RTFOutput"/>
        <w:adjustRightInd w:val="0"/>
        <w:spacing w:before="10" w:after="10"/>
        <w:rPr>
          <w:rFonts w:ascii="Times New Roman" w:hAnsi="Times New Roman" w:cs="Times New Roman"/>
          <w:b/>
          <w:bCs/>
          <w:sz w:val="22"/>
          <w:szCs w:val="22"/>
        </w:rPr>
      </w:pPr>
    </w:p>
    <w:p w:rsidR="00B10931" w:rsidRDefault="00B10931">
      <w:pPr>
        <w:pStyle w:val="RTFOutput"/>
        <w:adjustRightInd w:val="0"/>
        <w:spacing w:before="10" w:after="10"/>
        <w:rPr>
          <w:rFonts w:ascii="Times New Roman" w:hAnsi="Times New Roman" w:cs="Times New Roman"/>
          <w:b/>
          <w:bCs/>
          <w:sz w:val="22"/>
          <w:szCs w:val="22"/>
        </w:rPr>
      </w:pPr>
      <w:r>
        <w:rPr>
          <w:rFonts w:ascii="Times New Roman" w:hAnsi="Times New Roman" w:cs="Times New Roman"/>
          <w:b/>
          <w:bCs/>
          <w:sz w:val="22"/>
          <w:szCs w:val="22"/>
        </w:rPr>
        <w:t>Supplemental Table 2: Weighted standard differences, trimmed and untrimmed, for simple and complex propensity models by covariate</w:t>
      </w:r>
    </w:p>
    <w:p w:rsidR="00B10931" w:rsidRDefault="00B10931">
      <w:pPr>
        <w:pStyle w:val="RTFOutput"/>
        <w:adjustRightInd w:val="0"/>
        <w:spacing w:before="10" w:after="10"/>
        <w:rPr>
          <w:rFonts w:ascii="Times New Roman" w:hAnsi="Times New Roman" w:cs="Times New Roman"/>
          <w:b/>
          <w:bCs/>
          <w:color w:val="000000"/>
        </w:rPr>
      </w:pPr>
    </w:p>
    <w:tbl>
      <w:tblPr>
        <w:tblW w:w="11521" w:type="dxa"/>
        <w:jc w:val="center"/>
        <w:tblLook w:val="0000"/>
      </w:tblPr>
      <w:tblGrid>
        <w:gridCol w:w="2736"/>
        <w:gridCol w:w="916"/>
        <w:gridCol w:w="841"/>
        <w:gridCol w:w="916"/>
        <w:gridCol w:w="841"/>
        <w:gridCol w:w="916"/>
        <w:gridCol w:w="841"/>
        <w:gridCol w:w="916"/>
        <w:gridCol w:w="841"/>
        <w:gridCol w:w="916"/>
        <w:gridCol w:w="841"/>
      </w:tblGrid>
      <w:tr w:rsidR="00B10931">
        <w:trPr>
          <w:cantSplit/>
          <w:trHeight w:val="432"/>
          <w:jc w:val="center"/>
        </w:trPr>
        <w:tc>
          <w:tcPr>
            <w:tcW w:w="2736" w:type="dxa"/>
            <w:vMerge w:val="restart"/>
            <w:tcBorders>
              <w:top w:val="single" w:sz="4" w:space="0" w:color="auto"/>
              <w:left w:val="nil"/>
              <w:bottom w:val="nil"/>
              <w:right w:val="nil"/>
            </w:tcBorders>
            <w:vAlign w:val="center"/>
          </w:tcPr>
          <w:p w:rsidR="00B10931" w:rsidRDefault="00B1093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Characteristic, N (%)</w:t>
            </w:r>
          </w:p>
        </w:tc>
        <w:tc>
          <w:tcPr>
            <w:tcW w:w="7028" w:type="dxa"/>
            <w:gridSpan w:val="8"/>
            <w:tcBorders>
              <w:top w:val="single" w:sz="4" w:space="0" w:color="auto"/>
              <w:left w:val="nil"/>
              <w:bottom w:val="single" w:sz="4" w:space="0" w:color="auto"/>
              <w:right w:val="single" w:sz="4" w:space="0" w:color="auto"/>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Candidate Simple Models</w:t>
            </w:r>
          </w:p>
        </w:tc>
        <w:tc>
          <w:tcPr>
            <w:tcW w:w="1757" w:type="dxa"/>
            <w:gridSpan w:val="2"/>
            <w:tcBorders>
              <w:top w:val="single" w:sz="4" w:space="0" w:color="auto"/>
              <w:left w:val="single" w:sz="4" w:space="0" w:color="auto"/>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Complex Model</w:t>
            </w:r>
          </w:p>
        </w:tc>
      </w:tr>
      <w:tr w:rsidR="00B10931">
        <w:trPr>
          <w:cantSplit/>
          <w:trHeight w:val="432"/>
          <w:jc w:val="center"/>
        </w:trPr>
        <w:tc>
          <w:tcPr>
            <w:tcW w:w="2736" w:type="dxa"/>
            <w:vMerge/>
            <w:tcBorders>
              <w:top w:val="nil"/>
              <w:left w:val="nil"/>
              <w:bottom w:val="nil"/>
              <w:right w:val="nil"/>
            </w:tcBorders>
            <w:vAlign w:val="center"/>
          </w:tcPr>
          <w:p w:rsidR="00B10931" w:rsidRDefault="00B10931">
            <w:pPr>
              <w:spacing w:after="0" w:line="240" w:lineRule="auto"/>
              <w:rPr>
                <w:rFonts w:ascii="Times New Roman" w:hAnsi="Times New Roman" w:cs="Times New Roman"/>
                <w:b/>
                <w:bCs/>
                <w:sz w:val="20"/>
                <w:szCs w:val="20"/>
              </w:rPr>
            </w:pPr>
          </w:p>
        </w:tc>
        <w:tc>
          <w:tcPr>
            <w:tcW w:w="1757" w:type="dxa"/>
            <w:gridSpan w:val="2"/>
            <w:tcBorders>
              <w:top w:val="single" w:sz="4" w:space="0" w:color="auto"/>
              <w:left w:val="nil"/>
              <w:bottom w:val="single" w:sz="4" w:space="0" w:color="auto"/>
              <w:right w:val="single" w:sz="4" w:space="0" w:color="auto"/>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Weighted Std. Diff (All)</w:t>
            </w:r>
          </w:p>
        </w:tc>
        <w:tc>
          <w:tcPr>
            <w:tcW w:w="1757" w:type="dxa"/>
            <w:gridSpan w:val="2"/>
            <w:tcBorders>
              <w:top w:val="single" w:sz="4" w:space="0" w:color="auto"/>
              <w:left w:val="single" w:sz="4" w:space="0" w:color="auto"/>
              <w:bottom w:val="single" w:sz="4" w:space="0" w:color="auto"/>
              <w:right w:val="single" w:sz="4" w:space="0" w:color="auto"/>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Weighted Std.</w:t>
            </w:r>
          </w:p>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Diff (Men Only)</w:t>
            </w:r>
          </w:p>
        </w:tc>
        <w:tc>
          <w:tcPr>
            <w:tcW w:w="1757" w:type="dxa"/>
            <w:gridSpan w:val="2"/>
            <w:tcBorders>
              <w:top w:val="single" w:sz="4" w:space="0" w:color="auto"/>
              <w:left w:val="single" w:sz="4" w:space="0" w:color="auto"/>
              <w:bottom w:val="single" w:sz="4" w:space="0" w:color="auto"/>
              <w:right w:val="single" w:sz="4" w:space="0" w:color="auto"/>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Weighted Std.</w:t>
            </w:r>
          </w:p>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Diff (Black Only)</w:t>
            </w:r>
          </w:p>
        </w:tc>
        <w:tc>
          <w:tcPr>
            <w:tcW w:w="1757" w:type="dxa"/>
            <w:gridSpan w:val="2"/>
            <w:tcBorders>
              <w:top w:val="single" w:sz="4" w:space="0" w:color="auto"/>
              <w:left w:val="single" w:sz="4" w:space="0" w:color="auto"/>
              <w:bottom w:val="single" w:sz="4" w:space="0" w:color="auto"/>
              <w:right w:val="single" w:sz="4" w:space="0" w:color="auto"/>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Weighted Std.</w:t>
            </w:r>
          </w:p>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Diff (Black Men)</w:t>
            </w:r>
          </w:p>
        </w:tc>
        <w:tc>
          <w:tcPr>
            <w:tcW w:w="1757" w:type="dxa"/>
            <w:gridSpan w:val="2"/>
            <w:tcBorders>
              <w:top w:val="single" w:sz="4" w:space="0" w:color="auto"/>
              <w:left w:val="single" w:sz="4" w:space="0" w:color="auto"/>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Weighted Std.</w:t>
            </w:r>
          </w:p>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Diff (All)</w:t>
            </w:r>
          </w:p>
        </w:tc>
      </w:tr>
      <w:tr w:rsidR="00B10931">
        <w:trPr>
          <w:cantSplit/>
          <w:jc w:val="center"/>
        </w:trPr>
        <w:tc>
          <w:tcPr>
            <w:tcW w:w="2736" w:type="dxa"/>
            <w:vMerge/>
            <w:tcBorders>
              <w:top w:val="nil"/>
              <w:left w:val="nil"/>
              <w:bottom w:val="single" w:sz="4" w:space="0" w:color="auto"/>
              <w:right w:val="nil"/>
            </w:tcBorders>
            <w:vAlign w:val="center"/>
          </w:tcPr>
          <w:p w:rsidR="00B10931" w:rsidRDefault="00B10931">
            <w:pPr>
              <w:spacing w:after="0" w:line="240" w:lineRule="auto"/>
              <w:rPr>
                <w:rFonts w:ascii="Times New Roman" w:hAnsi="Times New Roman" w:cs="Times New Roman"/>
                <w:sz w:val="20"/>
                <w:szCs w:val="20"/>
              </w:rPr>
            </w:pPr>
          </w:p>
        </w:tc>
        <w:tc>
          <w:tcPr>
            <w:tcW w:w="916"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UnTrim</w:t>
            </w:r>
          </w:p>
        </w:tc>
        <w:tc>
          <w:tcPr>
            <w:tcW w:w="841" w:type="dxa"/>
            <w:tcBorders>
              <w:top w:val="single" w:sz="4" w:space="0" w:color="auto"/>
              <w:left w:val="nil"/>
              <w:bottom w:val="single" w:sz="4" w:space="0" w:color="auto"/>
              <w:right w:val="single" w:sz="4" w:space="0" w:color="auto"/>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Trim</w:t>
            </w:r>
          </w:p>
        </w:tc>
        <w:tc>
          <w:tcPr>
            <w:tcW w:w="916" w:type="dxa"/>
            <w:tcBorders>
              <w:top w:val="single" w:sz="4" w:space="0" w:color="auto"/>
              <w:left w:val="single" w:sz="4" w:space="0" w:color="auto"/>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UnTrim</w:t>
            </w:r>
          </w:p>
        </w:tc>
        <w:tc>
          <w:tcPr>
            <w:tcW w:w="841" w:type="dxa"/>
            <w:tcBorders>
              <w:top w:val="single" w:sz="4" w:space="0" w:color="auto"/>
              <w:left w:val="nil"/>
              <w:bottom w:val="single" w:sz="4" w:space="0" w:color="auto"/>
              <w:right w:val="single" w:sz="4" w:space="0" w:color="auto"/>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Trim</w:t>
            </w:r>
          </w:p>
        </w:tc>
        <w:tc>
          <w:tcPr>
            <w:tcW w:w="916" w:type="dxa"/>
            <w:tcBorders>
              <w:top w:val="single" w:sz="4" w:space="0" w:color="auto"/>
              <w:left w:val="single" w:sz="4" w:space="0" w:color="auto"/>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UnTrim</w:t>
            </w:r>
          </w:p>
        </w:tc>
        <w:tc>
          <w:tcPr>
            <w:tcW w:w="841" w:type="dxa"/>
            <w:tcBorders>
              <w:top w:val="single" w:sz="4" w:space="0" w:color="auto"/>
              <w:left w:val="nil"/>
              <w:bottom w:val="single" w:sz="4" w:space="0" w:color="auto"/>
              <w:right w:val="single" w:sz="4" w:space="0" w:color="auto"/>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Trim</w:t>
            </w:r>
          </w:p>
        </w:tc>
        <w:tc>
          <w:tcPr>
            <w:tcW w:w="916" w:type="dxa"/>
            <w:tcBorders>
              <w:top w:val="single" w:sz="4" w:space="0" w:color="auto"/>
              <w:left w:val="single" w:sz="4" w:space="0" w:color="auto"/>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UnTrim</w:t>
            </w:r>
          </w:p>
        </w:tc>
        <w:tc>
          <w:tcPr>
            <w:tcW w:w="841" w:type="dxa"/>
            <w:tcBorders>
              <w:top w:val="single" w:sz="4" w:space="0" w:color="auto"/>
              <w:left w:val="nil"/>
              <w:bottom w:val="single" w:sz="4" w:space="0" w:color="auto"/>
              <w:right w:val="single" w:sz="4" w:space="0" w:color="auto"/>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Trim</w:t>
            </w:r>
          </w:p>
        </w:tc>
        <w:tc>
          <w:tcPr>
            <w:tcW w:w="916" w:type="dxa"/>
            <w:tcBorders>
              <w:top w:val="single" w:sz="4" w:space="0" w:color="auto"/>
              <w:left w:val="single" w:sz="4" w:space="0" w:color="auto"/>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UnTrim</w:t>
            </w:r>
          </w:p>
        </w:tc>
        <w:tc>
          <w:tcPr>
            <w:tcW w:w="841"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Trim</w:t>
            </w:r>
          </w:p>
        </w:tc>
      </w:tr>
      <w:tr w:rsidR="00B10931">
        <w:trPr>
          <w:jc w:val="center"/>
        </w:trPr>
        <w:tc>
          <w:tcPr>
            <w:tcW w:w="2736" w:type="dxa"/>
            <w:tcBorders>
              <w:top w:val="single" w:sz="4" w:space="0" w:color="auto"/>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Gender</w:t>
            </w:r>
          </w:p>
        </w:tc>
        <w:tc>
          <w:tcPr>
            <w:tcW w:w="916" w:type="dxa"/>
            <w:tcBorders>
              <w:top w:val="single" w:sz="4" w:space="0" w:color="auto"/>
              <w:left w:val="nil"/>
              <w:bottom w:val="nil"/>
              <w:right w:val="nil"/>
            </w:tcBorders>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0.097</w:t>
            </w:r>
          </w:p>
        </w:tc>
        <w:tc>
          <w:tcPr>
            <w:tcW w:w="841" w:type="dxa"/>
            <w:tcBorders>
              <w:top w:val="single" w:sz="4" w:space="0" w:color="auto"/>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0.131</w:t>
            </w:r>
          </w:p>
        </w:tc>
        <w:tc>
          <w:tcPr>
            <w:tcW w:w="1757" w:type="dxa"/>
            <w:gridSpan w:val="2"/>
            <w:tcBorders>
              <w:top w:val="single" w:sz="4" w:space="0" w:color="auto"/>
              <w:left w:val="single" w:sz="4" w:space="0" w:color="auto"/>
              <w:bottom w:val="nil"/>
              <w:right w:val="single" w:sz="4" w:space="0" w:color="auto"/>
            </w:tcBorders>
            <w:vAlign w:val="center"/>
          </w:tcPr>
          <w:p w:rsidR="00B10931" w:rsidRDefault="00B10931">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NA</w:t>
            </w:r>
          </w:p>
        </w:tc>
        <w:tc>
          <w:tcPr>
            <w:tcW w:w="916" w:type="dxa"/>
            <w:tcBorders>
              <w:top w:val="single" w:sz="4" w:space="0" w:color="auto"/>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0.109</w:t>
            </w:r>
          </w:p>
        </w:tc>
        <w:tc>
          <w:tcPr>
            <w:tcW w:w="841" w:type="dxa"/>
            <w:tcBorders>
              <w:top w:val="single" w:sz="4" w:space="0" w:color="auto"/>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0.120</w:t>
            </w:r>
          </w:p>
        </w:tc>
        <w:tc>
          <w:tcPr>
            <w:tcW w:w="1757" w:type="dxa"/>
            <w:gridSpan w:val="2"/>
            <w:tcBorders>
              <w:top w:val="single" w:sz="4" w:space="0" w:color="auto"/>
              <w:left w:val="single" w:sz="4" w:space="0" w:color="auto"/>
              <w:bottom w:val="nil"/>
              <w:right w:val="single" w:sz="4" w:space="0" w:color="auto"/>
            </w:tcBorders>
            <w:vAlign w:val="center"/>
          </w:tcPr>
          <w:p w:rsidR="00B10931" w:rsidRDefault="00B10931">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NA</w:t>
            </w:r>
          </w:p>
        </w:tc>
        <w:tc>
          <w:tcPr>
            <w:tcW w:w="916" w:type="dxa"/>
            <w:tcBorders>
              <w:top w:val="single" w:sz="4" w:space="0" w:color="auto"/>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0.132</w:t>
            </w:r>
          </w:p>
        </w:tc>
        <w:tc>
          <w:tcPr>
            <w:tcW w:w="841" w:type="dxa"/>
            <w:tcBorders>
              <w:top w:val="single" w:sz="4" w:space="0" w:color="auto"/>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0.140</w:t>
            </w:r>
          </w:p>
        </w:tc>
      </w:tr>
      <w:tr w:rsidR="00B10931">
        <w:trPr>
          <w:jc w:val="center"/>
        </w:trPr>
        <w:tc>
          <w:tcPr>
            <w:tcW w:w="273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Race</w:t>
            </w:r>
          </w:p>
        </w:tc>
        <w:tc>
          <w:tcPr>
            <w:tcW w:w="916" w:type="dxa"/>
            <w:tcBorders>
              <w:top w:val="nil"/>
              <w:left w:val="nil"/>
              <w:bottom w:val="nil"/>
              <w:right w:val="nil"/>
            </w:tcBorders>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0.230</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0.215</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0.259</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0.253</w:t>
            </w:r>
          </w:p>
        </w:tc>
        <w:tc>
          <w:tcPr>
            <w:tcW w:w="1757" w:type="dxa"/>
            <w:gridSpan w:val="2"/>
            <w:tcBorders>
              <w:top w:val="nil"/>
              <w:left w:val="single" w:sz="4" w:space="0" w:color="auto"/>
              <w:bottom w:val="nil"/>
              <w:right w:val="single" w:sz="4" w:space="0" w:color="auto"/>
            </w:tcBorders>
            <w:vAlign w:val="center"/>
          </w:tcPr>
          <w:p w:rsidR="00B10931" w:rsidRDefault="00B10931">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NA</w:t>
            </w:r>
          </w:p>
        </w:tc>
        <w:tc>
          <w:tcPr>
            <w:tcW w:w="1757" w:type="dxa"/>
            <w:gridSpan w:val="2"/>
            <w:tcBorders>
              <w:top w:val="nil"/>
              <w:left w:val="single" w:sz="4" w:space="0" w:color="auto"/>
              <w:bottom w:val="nil"/>
              <w:right w:val="single" w:sz="4" w:space="0" w:color="auto"/>
            </w:tcBorders>
            <w:vAlign w:val="center"/>
          </w:tcPr>
          <w:p w:rsidR="00B10931" w:rsidRDefault="00B10931">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NA</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0.267</w:t>
            </w:r>
          </w:p>
        </w:tc>
        <w:tc>
          <w:tcPr>
            <w:tcW w:w="841"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0.263</w:t>
            </w:r>
          </w:p>
        </w:tc>
      </w:tr>
      <w:tr w:rsidR="00B10931">
        <w:trPr>
          <w:jc w:val="center"/>
        </w:trPr>
        <w:tc>
          <w:tcPr>
            <w:tcW w:w="273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Age (yr)</w:t>
            </w:r>
          </w:p>
        </w:tc>
        <w:tc>
          <w:tcPr>
            <w:tcW w:w="916" w:type="dxa"/>
            <w:tcBorders>
              <w:top w:val="nil"/>
              <w:left w:val="nil"/>
              <w:bottom w:val="nil"/>
              <w:right w:val="nil"/>
            </w:tcBorders>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0.083</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0.055</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0.138</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0.126</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0.063</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0.054</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0.102</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0.068</w:t>
            </w:r>
          </w:p>
        </w:tc>
        <w:tc>
          <w:tcPr>
            <w:tcW w:w="841"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0.061</w:t>
            </w:r>
          </w:p>
        </w:tc>
      </w:tr>
      <w:tr w:rsidR="00B10931">
        <w:trPr>
          <w:jc w:val="center"/>
        </w:trPr>
        <w:tc>
          <w:tcPr>
            <w:tcW w:w="273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Work Status </w:t>
            </w:r>
          </w:p>
        </w:tc>
        <w:tc>
          <w:tcPr>
            <w:tcW w:w="916" w:type="dxa"/>
            <w:tcBorders>
              <w:top w:val="nil"/>
              <w:left w:val="nil"/>
              <w:bottom w:val="nil"/>
              <w:right w:val="nil"/>
            </w:tcBorders>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0.139</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0.185</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0.091</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0.136</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0.151</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0.096</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0.091</w:t>
            </w:r>
          </w:p>
        </w:tc>
        <w:tc>
          <w:tcPr>
            <w:tcW w:w="841"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0.102</w:t>
            </w:r>
          </w:p>
        </w:tc>
      </w:tr>
      <w:tr w:rsidR="00B10931">
        <w:trPr>
          <w:jc w:val="center"/>
        </w:trPr>
        <w:tc>
          <w:tcPr>
            <w:tcW w:w="273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Education</w:t>
            </w:r>
          </w:p>
        </w:tc>
        <w:tc>
          <w:tcPr>
            <w:tcW w:w="916" w:type="dxa"/>
            <w:tcBorders>
              <w:top w:val="nil"/>
              <w:left w:val="nil"/>
              <w:bottom w:val="nil"/>
              <w:right w:val="nil"/>
            </w:tcBorders>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0.154</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0.061</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0.177</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0.145</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0.118</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0.088</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0.162</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0.141</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0.230</w:t>
            </w:r>
          </w:p>
        </w:tc>
        <w:tc>
          <w:tcPr>
            <w:tcW w:w="841"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0.209</w:t>
            </w:r>
          </w:p>
        </w:tc>
      </w:tr>
      <w:tr w:rsidR="00B10931">
        <w:trPr>
          <w:jc w:val="center"/>
        </w:trPr>
        <w:tc>
          <w:tcPr>
            <w:tcW w:w="273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Ever Abused Alcohol</w:t>
            </w:r>
          </w:p>
        </w:tc>
        <w:tc>
          <w:tcPr>
            <w:tcW w:w="916" w:type="dxa"/>
            <w:tcBorders>
              <w:top w:val="nil"/>
              <w:left w:val="nil"/>
              <w:bottom w:val="nil"/>
              <w:right w:val="nil"/>
            </w:tcBorders>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0.083</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0.090</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0.037</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0.027</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0.099</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0.039</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0.054</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0.066</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0.065</w:t>
            </w:r>
          </w:p>
        </w:tc>
        <w:tc>
          <w:tcPr>
            <w:tcW w:w="841"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0.023</w:t>
            </w:r>
          </w:p>
        </w:tc>
      </w:tr>
      <w:tr w:rsidR="00B10931">
        <w:trPr>
          <w:jc w:val="center"/>
        </w:trPr>
        <w:tc>
          <w:tcPr>
            <w:tcW w:w="273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Currently Using Drugs</w:t>
            </w:r>
          </w:p>
        </w:tc>
        <w:tc>
          <w:tcPr>
            <w:tcW w:w="916" w:type="dxa"/>
            <w:tcBorders>
              <w:top w:val="nil"/>
              <w:left w:val="nil"/>
              <w:bottom w:val="nil"/>
              <w:right w:val="nil"/>
            </w:tcBorders>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0.008</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0.054</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0.006</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0.012</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0.022</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0.037</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0.006</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0.126</w:t>
            </w:r>
          </w:p>
        </w:tc>
        <w:tc>
          <w:tcPr>
            <w:tcW w:w="841"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0.140</w:t>
            </w:r>
          </w:p>
        </w:tc>
      </w:tr>
      <w:tr w:rsidR="00B10931">
        <w:trPr>
          <w:jc w:val="center"/>
        </w:trPr>
        <w:tc>
          <w:tcPr>
            <w:tcW w:w="273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Abused Type</w:t>
            </w:r>
          </w:p>
        </w:tc>
        <w:tc>
          <w:tcPr>
            <w:tcW w:w="916" w:type="dxa"/>
            <w:tcBorders>
              <w:top w:val="nil"/>
              <w:left w:val="nil"/>
              <w:bottom w:val="nil"/>
              <w:right w:val="nil"/>
            </w:tcBorders>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&lt;0.001</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0.038</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0.027</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0.066</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0.077</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0.049</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0.035</w:t>
            </w:r>
          </w:p>
        </w:tc>
        <w:tc>
          <w:tcPr>
            <w:tcW w:w="841"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0.028</w:t>
            </w:r>
          </w:p>
        </w:tc>
      </w:tr>
      <w:tr w:rsidR="00B10931">
        <w:trPr>
          <w:jc w:val="center"/>
        </w:trPr>
        <w:tc>
          <w:tcPr>
            <w:tcW w:w="273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Sexual Orientation</w:t>
            </w:r>
          </w:p>
        </w:tc>
        <w:tc>
          <w:tcPr>
            <w:tcW w:w="916" w:type="dxa"/>
            <w:tcBorders>
              <w:top w:val="nil"/>
              <w:left w:val="nil"/>
              <w:bottom w:val="nil"/>
              <w:right w:val="nil"/>
            </w:tcBorders>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0.198</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0.241</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0.269</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0.279</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0.218</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0.233</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0.275</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0.282</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0.221</w:t>
            </w:r>
          </w:p>
        </w:tc>
        <w:tc>
          <w:tcPr>
            <w:tcW w:w="841"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0.231</w:t>
            </w:r>
          </w:p>
        </w:tc>
      </w:tr>
      <w:tr w:rsidR="00B10931">
        <w:trPr>
          <w:jc w:val="center"/>
        </w:trPr>
        <w:tc>
          <w:tcPr>
            <w:tcW w:w="273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Condom Usage</w:t>
            </w:r>
          </w:p>
        </w:tc>
        <w:tc>
          <w:tcPr>
            <w:tcW w:w="916" w:type="dxa"/>
            <w:tcBorders>
              <w:top w:val="nil"/>
              <w:left w:val="nil"/>
              <w:bottom w:val="nil"/>
              <w:right w:val="nil"/>
            </w:tcBorders>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0.249</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0.200</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0.163</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0.144</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0.266</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0.249</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0.181</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0.168</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0.241</w:t>
            </w:r>
          </w:p>
        </w:tc>
        <w:tc>
          <w:tcPr>
            <w:tcW w:w="841"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0.228</w:t>
            </w:r>
          </w:p>
        </w:tc>
      </w:tr>
      <w:tr w:rsidR="00B10931">
        <w:trPr>
          <w:jc w:val="center"/>
        </w:trPr>
        <w:tc>
          <w:tcPr>
            <w:tcW w:w="2736"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Ever had STI – Patient Report</w:t>
            </w:r>
          </w:p>
        </w:tc>
        <w:tc>
          <w:tcPr>
            <w:tcW w:w="916" w:type="dxa"/>
            <w:tcBorders>
              <w:top w:val="nil"/>
              <w:left w:val="nil"/>
              <w:bottom w:val="nil"/>
              <w:right w:val="nil"/>
            </w:tcBorders>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0.071</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0.007</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0.181</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0.152</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0.119</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0.093</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0.235</w:t>
            </w:r>
          </w:p>
        </w:tc>
        <w:tc>
          <w:tcPr>
            <w:tcW w:w="841" w:type="dxa"/>
            <w:tcBorders>
              <w:top w:val="nil"/>
              <w:left w:val="nil"/>
              <w:bottom w:val="nil"/>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0.215</w:t>
            </w:r>
          </w:p>
        </w:tc>
        <w:tc>
          <w:tcPr>
            <w:tcW w:w="916" w:type="dxa"/>
            <w:tcBorders>
              <w:top w:val="nil"/>
              <w:left w:val="single" w:sz="4" w:space="0" w:color="auto"/>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0.168</w:t>
            </w:r>
          </w:p>
        </w:tc>
        <w:tc>
          <w:tcPr>
            <w:tcW w:w="841"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0.150</w:t>
            </w:r>
          </w:p>
        </w:tc>
      </w:tr>
      <w:tr w:rsidR="00B10931">
        <w:trPr>
          <w:jc w:val="center"/>
        </w:trPr>
        <w:tc>
          <w:tcPr>
            <w:tcW w:w="2736" w:type="dxa"/>
            <w:tcBorders>
              <w:top w:val="nil"/>
              <w:left w:val="nil"/>
              <w:bottom w:val="single" w:sz="4" w:space="0" w:color="auto"/>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Any AIDS defining conditions</w:t>
            </w:r>
          </w:p>
        </w:tc>
        <w:tc>
          <w:tcPr>
            <w:tcW w:w="916" w:type="dxa"/>
            <w:tcBorders>
              <w:top w:val="nil"/>
              <w:left w:val="nil"/>
              <w:bottom w:val="single" w:sz="4" w:space="0" w:color="auto"/>
              <w:right w:val="nil"/>
            </w:tcBorders>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0.112</w:t>
            </w:r>
          </w:p>
        </w:tc>
        <w:tc>
          <w:tcPr>
            <w:tcW w:w="841" w:type="dxa"/>
            <w:tcBorders>
              <w:top w:val="nil"/>
              <w:left w:val="nil"/>
              <w:bottom w:val="single" w:sz="4" w:space="0" w:color="auto"/>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0.172</w:t>
            </w:r>
          </w:p>
        </w:tc>
        <w:tc>
          <w:tcPr>
            <w:tcW w:w="916" w:type="dxa"/>
            <w:tcBorders>
              <w:top w:val="nil"/>
              <w:left w:val="single" w:sz="4" w:space="0" w:color="auto"/>
              <w:bottom w:val="single" w:sz="4" w:space="0" w:color="auto"/>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0.025</w:t>
            </w:r>
          </w:p>
        </w:tc>
        <w:tc>
          <w:tcPr>
            <w:tcW w:w="841" w:type="dxa"/>
            <w:tcBorders>
              <w:top w:val="nil"/>
              <w:left w:val="nil"/>
              <w:bottom w:val="single" w:sz="4" w:space="0" w:color="auto"/>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0.003</w:t>
            </w:r>
          </w:p>
        </w:tc>
        <w:tc>
          <w:tcPr>
            <w:tcW w:w="916" w:type="dxa"/>
            <w:tcBorders>
              <w:top w:val="nil"/>
              <w:left w:val="single" w:sz="4" w:space="0" w:color="auto"/>
              <w:bottom w:val="single" w:sz="4" w:space="0" w:color="auto"/>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0.165</w:t>
            </w:r>
          </w:p>
        </w:tc>
        <w:tc>
          <w:tcPr>
            <w:tcW w:w="841" w:type="dxa"/>
            <w:tcBorders>
              <w:top w:val="nil"/>
              <w:left w:val="nil"/>
              <w:bottom w:val="single" w:sz="4" w:space="0" w:color="auto"/>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0.185</w:t>
            </w:r>
          </w:p>
        </w:tc>
        <w:tc>
          <w:tcPr>
            <w:tcW w:w="916" w:type="dxa"/>
            <w:tcBorders>
              <w:top w:val="nil"/>
              <w:left w:val="single" w:sz="4" w:space="0" w:color="auto"/>
              <w:bottom w:val="single" w:sz="4" w:space="0" w:color="auto"/>
              <w:right w:val="nil"/>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0.008</w:t>
            </w:r>
          </w:p>
        </w:tc>
        <w:tc>
          <w:tcPr>
            <w:tcW w:w="841" w:type="dxa"/>
            <w:tcBorders>
              <w:top w:val="nil"/>
              <w:left w:val="nil"/>
              <w:bottom w:val="single" w:sz="4" w:space="0" w:color="auto"/>
              <w:right w:val="single" w:sz="4" w:space="0" w:color="auto"/>
            </w:tcBorders>
            <w:vAlign w:val="center"/>
          </w:tcPr>
          <w:p w:rsidR="00B10931" w:rsidRDefault="00B1093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0.023</w:t>
            </w:r>
          </w:p>
        </w:tc>
        <w:tc>
          <w:tcPr>
            <w:tcW w:w="916" w:type="dxa"/>
            <w:tcBorders>
              <w:top w:val="nil"/>
              <w:left w:val="single" w:sz="4" w:space="0" w:color="auto"/>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0.057</w:t>
            </w:r>
          </w:p>
        </w:tc>
        <w:tc>
          <w:tcPr>
            <w:tcW w:w="841"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0.071</w:t>
            </w:r>
          </w:p>
        </w:tc>
      </w:tr>
    </w:tbl>
    <w:p w:rsidR="00B10931" w:rsidRDefault="00B10931">
      <w:pPr>
        <w:pStyle w:val="ListParagraph"/>
        <w:tabs>
          <w:tab w:val="left" w:pos="-720"/>
        </w:tabs>
        <w:ind w:left="-360"/>
        <w:rPr>
          <w:rFonts w:ascii="Times New Roman" w:hAnsi="Times New Roman" w:cs="Times New Roman"/>
          <w:sz w:val="16"/>
          <w:szCs w:val="16"/>
        </w:rPr>
      </w:pPr>
      <w:r>
        <w:rPr>
          <w:rFonts w:ascii="Times New Roman" w:hAnsi="Times New Roman" w:cs="Times New Roman"/>
          <w:sz w:val="16"/>
          <w:szCs w:val="16"/>
          <w:vertAlign w:val="superscript"/>
        </w:rPr>
        <w:t>1</w:t>
      </w:r>
      <w:r>
        <w:rPr>
          <w:rFonts w:ascii="Times New Roman" w:hAnsi="Times New Roman" w:cs="Times New Roman"/>
          <w:sz w:val="16"/>
          <w:szCs w:val="16"/>
        </w:rPr>
        <w:t>All weights are ATE and stabilized by multiplying the values by the marginal logistic probability of receiving MACARTI</w:t>
      </w:r>
    </w:p>
    <w:p w:rsidR="00B10931" w:rsidRDefault="00B10931">
      <w:pPr>
        <w:pStyle w:val="ListParagraph"/>
        <w:tabs>
          <w:tab w:val="left" w:pos="-720"/>
        </w:tabs>
        <w:ind w:left="-360"/>
        <w:rPr>
          <w:rFonts w:ascii="Times New Roman" w:hAnsi="Times New Roman" w:cs="Times New Roman"/>
          <w:sz w:val="16"/>
          <w:szCs w:val="16"/>
        </w:rPr>
      </w:pPr>
      <w:r>
        <w:rPr>
          <w:rFonts w:ascii="Times New Roman" w:hAnsi="Times New Roman" w:cs="Times New Roman"/>
          <w:sz w:val="16"/>
          <w:szCs w:val="16"/>
          <w:vertAlign w:val="superscript"/>
        </w:rPr>
        <w:t>2</w:t>
      </w:r>
      <w:r>
        <w:rPr>
          <w:rFonts w:ascii="Times New Roman" w:hAnsi="Times New Roman" w:cs="Times New Roman"/>
          <w:sz w:val="16"/>
          <w:szCs w:val="16"/>
        </w:rPr>
        <w:t>Weighted Standard Differences are presented as ‘Untrimmed and Trimmed (at 1% and 99%)’ and considered non-impactful if less than 0.25</w:t>
      </w:r>
    </w:p>
    <w:p w:rsidR="00B10931" w:rsidRDefault="00B10931">
      <w:pPr>
        <w:pStyle w:val="ListParagraph"/>
        <w:tabs>
          <w:tab w:val="left" w:pos="-720"/>
        </w:tabs>
        <w:ind w:left="-360"/>
        <w:rPr>
          <w:rFonts w:ascii="Times New Roman" w:hAnsi="Times New Roman" w:cs="Times New Roman"/>
          <w:sz w:val="16"/>
          <w:szCs w:val="16"/>
        </w:rPr>
      </w:pPr>
      <w:r>
        <w:rPr>
          <w:rFonts w:ascii="Times New Roman" w:hAnsi="Times New Roman" w:cs="Times New Roman"/>
          <w:sz w:val="16"/>
          <w:szCs w:val="16"/>
          <w:vertAlign w:val="superscript"/>
        </w:rPr>
        <w:t>3</w:t>
      </w:r>
      <w:r>
        <w:rPr>
          <w:rFonts w:ascii="Times New Roman" w:hAnsi="Times New Roman" w:cs="Times New Roman"/>
          <w:sz w:val="16"/>
          <w:szCs w:val="16"/>
        </w:rPr>
        <w:t>Candidate simple models are shown including: All participants, men only, black only, and black men only; the all participant model was selected for sample weighting</w:t>
      </w:r>
    </w:p>
    <w:p w:rsidR="00B10931" w:rsidRDefault="00B10931">
      <w:pPr>
        <w:pStyle w:val="ListParagraph"/>
        <w:tabs>
          <w:tab w:val="left" w:pos="-720"/>
        </w:tabs>
        <w:ind w:left="-360"/>
        <w:rPr>
          <w:rFonts w:ascii="Times New Roman" w:hAnsi="Times New Roman" w:cs="Times New Roman"/>
          <w:sz w:val="16"/>
          <w:szCs w:val="16"/>
        </w:rPr>
      </w:pPr>
      <w:r>
        <w:rPr>
          <w:rFonts w:ascii="Times New Roman" w:hAnsi="Times New Roman" w:cs="Times New Roman"/>
          <w:b/>
          <w:bCs/>
        </w:rPr>
        <w:t>Supplemental Figure 1: Standardized differences in weighted and unweighted samples</w:t>
      </w:r>
    </w:p>
    <w:p w:rsidR="00B10931" w:rsidRDefault="00B10931">
      <w:pPr>
        <w:jc w:val="center"/>
        <w:rPr>
          <w:rFonts w:ascii="Times New Roman" w:hAnsi="Times New Roman" w:cs="Times New Roman"/>
          <w:b/>
          <w:bCs/>
        </w:rPr>
      </w:pPr>
      <w:r>
        <w:rPr>
          <w:rFonts w:ascii="Times New Roman" w:hAnsi="Times New Roman" w:cs="Times New Roman"/>
          <w:b/>
          <w:bCs/>
          <w:noProof/>
        </w:rPr>
        <w:pict>
          <v:shape id="Picture 8" o:spid="_x0000_i1027" type="#_x0000_t75" style="width:272.25pt;height:2in;visibility:visible">
            <v:imagedata r:id="rId6" o:title=""/>
          </v:shape>
        </w:pict>
      </w: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r>
        <w:rPr>
          <w:rFonts w:ascii="Times New Roman" w:hAnsi="Times New Roman" w:cs="Times New Roman"/>
          <w:b/>
          <w:bCs/>
        </w:rPr>
        <w:t>Supplemental Figure 2: Cumulative distributions of age between MACARTI and SOC</w:t>
      </w:r>
    </w:p>
    <w:p w:rsidR="00B10931" w:rsidRDefault="00B10931">
      <w:pPr>
        <w:rPr>
          <w:rFonts w:ascii="Times New Roman" w:hAnsi="Times New Roman" w:cs="Times New Roman"/>
          <w:b/>
          <w:bCs/>
        </w:rPr>
      </w:pPr>
      <w:r>
        <w:rPr>
          <w:rFonts w:ascii="Times New Roman" w:hAnsi="Times New Roman" w:cs="Times New Roman"/>
          <w:b/>
          <w:bCs/>
          <w:noProof/>
        </w:rPr>
        <w:pict>
          <v:shape id="Picture 9" o:spid="_x0000_i1028" type="#_x0000_t75" style="width:468pt;height:125.25pt;visibility:visible">
            <v:imagedata r:id="rId7" o:title=""/>
          </v:shape>
        </w:pict>
      </w:r>
    </w:p>
    <w:p w:rsidR="00B10931" w:rsidRDefault="00B10931">
      <w:pPr>
        <w:rPr>
          <w:rFonts w:ascii="Times New Roman" w:hAnsi="Times New Roman" w:cs="Times New Roman"/>
          <w:b/>
          <w:bCs/>
        </w:rPr>
      </w:pPr>
    </w:p>
    <w:p w:rsidR="00B10931" w:rsidRDefault="00B10931">
      <w:pPr>
        <w:rPr>
          <w:rFonts w:ascii="Times New Roman" w:hAnsi="Times New Roman" w:cs="Times New Roman"/>
          <w:i/>
          <w:iCs/>
        </w:rPr>
      </w:pPr>
    </w:p>
    <w:p w:rsidR="00B10931" w:rsidRDefault="00B10931">
      <w:pPr>
        <w:rPr>
          <w:rFonts w:ascii="Times New Roman" w:hAnsi="Times New Roman" w:cs="Times New Roman"/>
          <w:i/>
          <w:iCs/>
        </w:rPr>
      </w:pPr>
    </w:p>
    <w:p w:rsidR="00B10931" w:rsidRDefault="00B10931">
      <w:pPr>
        <w:rPr>
          <w:rFonts w:ascii="Times New Roman" w:hAnsi="Times New Roman" w:cs="Times New Roman"/>
          <w:i/>
          <w:iCs/>
        </w:rPr>
      </w:pPr>
    </w:p>
    <w:p w:rsidR="00B10931" w:rsidRDefault="00B10931">
      <w:pPr>
        <w:rPr>
          <w:rFonts w:ascii="Times New Roman" w:hAnsi="Times New Roman" w:cs="Times New Roman"/>
          <w:i/>
          <w:iCs/>
        </w:rPr>
      </w:pPr>
    </w:p>
    <w:p w:rsidR="00B10931" w:rsidRDefault="00B10931">
      <w:pPr>
        <w:rPr>
          <w:rFonts w:ascii="Times New Roman" w:hAnsi="Times New Roman" w:cs="Times New Roman"/>
          <w:i/>
          <w:iCs/>
        </w:rPr>
      </w:pPr>
    </w:p>
    <w:p w:rsidR="00B10931" w:rsidRDefault="00B10931">
      <w:pPr>
        <w:rPr>
          <w:rFonts w:ascii="Times New Roman" w:hAnsi="Times New Roman" w:cs="Times New Roman"/>
          <w:i/>
          <w:iCs/>
        </w:rPr>
      </w:pPr>
    </w:p>
    <w:p w:rsidR="00B10931" w:rsidRDefault="00B10931">
      <w:pPr>
        <w:rPr>
          <w:rFonts w:ascii="Times New Roman" w:hAnsi="Times New Roman" w:cs="Times New Roman"/>
          <w:i/>
          <w:iCs/>
        </w:rPr>
      </w:pPr>
    </w:p>
    <w:p w:rsidR="00B10931" w:rsidRDefault="00B10931">
      <w:pPr>
        <w:rPr>
          <w:rFonts w:ascii="Times New Roman" w:hAnsi="Times New Roman" w:cs="Times New Roman"/>
          <w:i/>
          <w:iCs/>
        </w:rPr>
      </w:pPr>
    </w:p>
    <w:p w:rsidR="00B10931" w:rsidRDefault="00B10931">
      <w:pPr>
        <w:rPr>
          <w:rFonts w:ascii="Times New Roman" w:hAnsi="Times New Roman" w:cs="Times New Roman"/>
          <w:i/>
          <w:iCs/>
        </w:rPr>
      </w:pPr>
    </w:p>
    <w:p w:rsidR="00B10931" w:rsidRDefault="00B10931">
      <w:pPr>
        <w:rPr>
          <w:rFonts w:ascii="Times New Roman" w:hAnsi="Times New Roman" w:cs="Times New Roman"/>
          <w:i/>
          <w:iCs/>
        </w:rPr>
      </w:pPr>
    </w:p>
    <w:p w:rsidR="00B10931" w:rsidRDefault="00B10931">
      <w:pPr>
        <w:rPr>
          <w:rFonts w:ascii="Times New Roman" w:hAnsi="Times New Roman" w:cs="Times New Roman"/>
          <w:i/>
          <w:iCs/>
        </w:rPr>
      </w:pPr>
    </w:p>
    <w:p w:rsidR="00B10931" w:rsidRDefault="00B10931">
      <w:pPr>
        <w:rPr>
          <w:rFonts w:ascii="Times New Roman" w:hAnsi="Times New Roman" w:cs="Times New Roman"/>
          <w:i/>
          <w:iCs/>
        </w:rPr>
      </w:pPr>
    </w:p>
    <w:p w:rsidR="00B10931" w:rsidRDefault="00B10931">
      <w:pPr>
        <w:rPr>
          <w:rFonts w:ascii="Times New Roman" w:hAnsi="Times New Roman" w:cs="Times New Roman"/>
          <w:i/>
          <w:iCs/>
        </w:rPr>
      </w:pPr>
    </w:p>
    <w:p w:rsidR="00B10931" w:rsidRDefault="00B10931">
      <w:pPr>
        <w:jc w:val="both"/>
        <w:rPr>
          <w:rFonts w:ascii="Times New Roman" w:hAnsi="Times New Roman" w:cs="Times New Roman"/>
          <w:i/>
          <w:iCs/>
        </w:rPr>
      </w:pPr>
      <w:r>
        <w:rPr>
          <w:rFonts w:ascii="Times New Roman" w:hAnsi="Times New Roman" w:cs="Times New Roman"/>
          <w:i/>
          <w:iCs/>
        </w:rPr>
        <w:t>Weighted CD4 Linear Growth Model</w:t>
      </w:r>
    </w:p>
    <w:p w:rsidR="00B10931" w:rsidRDefault="00B10931">
      <w:pPr>
        <w:jc w:val="both"/>
        <w:rPr>
          <w:rFonts w:ascii="Times New Roman" w:hAnsi="Times New Roman" w:cs="Times New Roman"/>
        </w:rPr>
      </w:pPr>
      <w:r>
        <w:rPr>
          <w:rFonts w:ascii="Times New Roman" w:hAnsi="Times New Roman" w:cs="Times New Roman"/>
        </w:rPr>
        <w:t>An individual linear growth model for CD4 count was constructed using the PROC MIXED procedure in SAS, allowing the growth parameters for each study participant to be examined as random effects. As noted in the statistical methods, the model specification included study arm (MACARTI versus SOC) as the fixed effect and participant-specific intercepts and study visit slopes as the random effects. An unstructured variance-covariance matrix was employed for repeated observations, and degrees of freedom were estimated using the between-within method. Derived stabilized weights were utilized, balancing noted confounding covariates at baseline as previously described. Per the project design, study visits (time) were targeted for 0, 30, 90, 180, and 365 days, but specifically calculated based upon actual observed visit dates for each participant (relative to baseline), and treated continuously. The outcome, CD4 count, was transformed via a square-root transformation and plotted, unweighted, against participant-specific study visits in each of the MACARTI and SOC arms (</w:t>
      </w:r>
      <w:r>
        <w:rPr>
          <w:rFonts w:ascii="Times New Roman" w:hAnsi="Times New Roman" w:cs="Times New Roman"/>
          <w:b/>
          <w:bCs/>
        </w:rPr>
        <w:t>Supplemental Figure 3a</w:t>
      </w:r>
      <w:r>
        <w:rPr>
          <w:rFonts w:ascii="Times New Roman" w:hAnsi="Times New Roman" w:cs="Times New Roman"/>
        </w:rPr>
        <w:t xml:space="preserve">). Study visit means of transformed CD4 counts were calculated and overlaid on the figure (dashed-line), demonstrating a curve-linear association with time. As such, the final growth model featured a quadratic term for time, as well as interactions between time, both quadratic and linear, and study arm. The fixed effects table for the model is presented in </w:t>
      </w:r>
      <w:r>
        <w:rPr>
          <w:rFonts w:ascii="Times New Roman" w:hAnsi="Times New Roman" w:cs="Times New Roman"/>
          <w:b/>
          <w:bCs/>
        </w:rPr>
        <w:t xml:space="preserve">Supplemental Table 3a, </w:t>
      </w:r>
      <w:r>
        <w:rPr>
          <w:rFonts w:ascii="Times New Roman" w:hAnsi="Times New Roman" w:cs="Times New Roman"/>
        </w:rPr>
        <w:t xml:space="preserve">and least squares mean estimates are in </w:t>
      </w:r>
      <w:r>
        <w:rPr>
          <w:rFonts w:ascii="Times New Roman" w:hAnsi="Times New Roman" w:cs="Times New Roman"/>
          <w:b/>
          <w:bCs/>
        </w:rPr>
        <w:t>Supplemental Table 3b</w:t>
      </w:r>
      <w:r>
        <w:rPr>
          <w:rFonts w:ascii="Times New Roman" w:hAnsi="Times New Roman" w:cs="Times New Roman"/>
        </w:rPr>
        <w:t>.</w:t>
      </w:r>
    </w:p>
    <w:p w:rsidR="00B10931" w:rsidRDefault="00B10931">
      <w:pPr>
        <w:pStyle w:val="RTFOutput"/>
        <w:adjustRightInd w:val="0"/>
        <w:spacing w:before="10" w:after="10"/>
        <w:rPr>
          <w:rFonts w:ascii="Times New Roman" w:hAnsi="Times New Roman" w:cs="Times New Roman"/>
          <w:b/>
          <w:bCs/>
          <w:sz w:val="22"/>
          <w:szCs w:val="22"/>
        </w:rPr>
      </w:pPr>
      <w:r>
        <w:rPr>
          <w:rFonts w:ascii="Times New Roman" w:hAnsi="Times New Roman" w:cs="Times New Roman"/>
          <w:b/>
          <w:bCs/>
          <w:sz w:val="22"/>
          <w:szCs w:val="22"/>
        </w:rPr>
        <w:t>Supplemental Table 3a: CD4 count linear growth model fixed effects estimates</w:t>
      </w:r>
    </w:p>
    <w:p w:rsidR="00B10931" w:rsidRDefault="00B10931">
      <w:pPr>
        <w:pStyle w:val="RTFOutput"/>
        <w:adjustRightInd w:val="0"/>
        <w:spacing w:before="10" w:after="10"/>
        <w:rPr>
          <w:rFonts w:ascii="Times New Roman" w:hAnsi="Times New Roman" w:cs="Times New Roman"/>
          <w:b/>
          <w:bCs/>
          <w:sz w:val="22"/>
          <w:szCs w:val="22"/>
        </w:rPr>
      </w:pPr>
    </w:p>
    <w:tbl>
      <w:tblPr>
        <w:tblW w:w="0" w:type="auto"/>
        <w:jc w:val="center"/>
        <w:tblLook w:val="0000"/>
      </w:tblPr>
      <w:tblGrid>
        <w:gridCol w:w="2337"/>
        <w:gridCol w:w="1440"/>
        <w:gridCol w:w="1440"/>
      </w:tblGrid>
      <w:tr w:rsidR="00B10931">
        <w:trPr>
          <w:trHeight w:val="432"/>
          <w:jc w:val="center"/>
        </w:trPr>
        <w:tc>
          <w:tcPr>
            <w:tcW w:w="2337" w:type="dxa"/>
            <w:tcBorders>
              <w:top w:val="single" w:sz="4" w:space="0" w:color="auto"/>
              <w:left w:val="nil"/>
              <w:bottom w:val="single" w:sz="4" w:space="0" w:color="auto"/>
              <w:right w:val="nil"/>
            </w:tcBorders>
            <w:vAlign w:val="center"/>
          </w:tcPr>
          <w:p w:rsidR="00B10931" w:rsidRDefault="00B1093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Fixed Effect</w:t>
            </w:r>
          </w:p>
        </w:tc>
        <w:tc>
          <w:tcPr>
            <w:tcW w:w="1440"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Estimate (SE)</w:t>
            </w:r>
          </w:p>
        </w:tc>
        <w:tc>
          <w:tcPr>
            <w:tcW w:w="1440"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P-value</w:t>
            </w:r>
          </w:p>
        </w:tc>
      </w:tr>
      <w:tr w:rsidR="00B10931">
        <w:trPr>
          <w:jc w:val="center"/>
        </w:trPr>
        <w:tc>
          <w:tcPr>
            <w:tcW w:w="2337" w:type="dxa"/>
            <w:tcBorders>
              <w:top w:val="single" w:sz="4" w:space="0" w:color="auto"/>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Study Visit</w:t>
            </w:r>
          </w:p>
        </w:tc>
        <w:tc>
          <w:tcPr>
            <w:tcW w:w="1440" w:type="dxa"/>
            <w:tcBorders>
              <w:top w:val="single" w:sz="4" w:space="0" w:color="auto"/>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0.021 (0.005)</w:t>
            </w:r>
          </w:p>
        </w:tc>
        <w:tc>
          <w:tcPr>
            <w:tcW w:w="1440" w:type="dxa"/>
            <w:tcBorders>
              <w:top w:val="single" w:sz="4" w:space="0" w:color="auto"/>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&lt;0.001</w:t>
            </w:r>
          </w:p>
        </w:tc>
      </w:tr>
      <w:tr w:rsidR="00B10931">
        <w:trPr>
          <w:jc w:val="center"/>
        </w:trPr>
        <w:tc>
          <w:tcPr>
            <w:tcW w:w="2337"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vertAlign w:val="superscript"/>
              </w:rPr>
            </w:pPr>
            <w:r>
              <w:rPr>
                <w:rFonts w:ascii="Times New Roman" w:hAnsi="Times New Roman" w:cs="Times New Roman"/>
                <w:sz w:val="20"/>
                <w:szCs w:val="20"/>
              </w:rPr>
              <w:t>Study Visit</w:t>
            </w:r>
            <w:r>
              <w:rPr>
                <w:rFonts w:ascii="Times New Roman" w:hAnsi="Times New Roman" w:cs="Times New Roman"/>
                <w:sz w:val="20"/>
                <w:szCs w:val="20"/>
                <w:vertAlign w:val="superscript"/>
              </w:rPr>
              <w:t>2</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-3.0e</w:t>
            </w:r>
            <w:r>
              <w:rPr>
                <w:rFonts w:ascii="Times New Roman" w:hAnsi="Times New Roman" w:cs="Times New Roman"/>
                <w:sz w:val="20"/>
                <w:szCs w:val="20"/>
                <w:vertAlign w:val="superscript"/>
              </w:rPr>
              <w:t xml:space="preserve">-5 </w:t>
            </w:r>
            <w:r>
              <w:rPr>
                <w:rFonts w:ascii="Times New Roman" w:hAnsi="Times New Roman" w:cs="Times New Roman"/>
                <w:sz w:val="20"/>
                <w:szCs w:val="20"/>
              </w:rPr>
              <w:t>(1.3e</w:t>
            </w:r>
            <w:r>
              <w:rPr>
                <w:rFonts w:ascii="Times New Roman" w:hAnsi="Times New Roman" w:cs="Times New Roman"/>
                <w:sz w:val="20"/>
                <w:szCs w:val="20"/>
                <w:vertAlign w:val="superscript"/>
              </w:rPr>
              <w:t>-5</w:t>
            </w:r>
            <w:r>
              <w:rPr>
                <w:rFonts w:ascii="Times New Roman" w:hAnsi="Times New Roman" w:cs="Times New Roman"/>
                <w:sz w:val="20"/>
                <w:szCs w:val="20"/>
              </w:rPr>
              <w:t>)</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0.019</w:t>
            </w:r>
          </w:p>
        </w:tc>
      </w:tr>
      <w:tr w:rsidR="00B10931">
        <w:trPr>
          <w:jc w:val="center"/>
        </w:trPr>
        <w:tc>
          <w:tcPr>
            <w:tcW w:w="2337"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Study Arm - MACARTI</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14.989 (0.860)</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&lt;0.001</w:t>
            </w:r>
          </w:p>
        </w:tc>
      </w:tr>
      <w:tr w:rsidR="00B10931">
        <w:trPr>
          <w:jc w:val="center"/>
        </w:trPr>
        <w:tc>
          <w:tcPr>
            <w:tcW w:w="2337"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Study Arm - SOC</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18.157 (0.901)</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&lt;0.001</w:t>
            </w:r>
          </w:p>
        </w:tc>
      </w:tr>
      <w:tr w:rsidR="00B10931">
        <w:trPr>
          <w:jc w:val="center"/>
        </w:trPr>
        <w:tc>
          <w:tcPr>
            <w:tcW w:w="2337"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Study Visit*Study Arm</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r>
      <w:tr w:rsidR="00B10931">
        <w:trPr>
          <w:jc w:val="center"/>
        </w:trPr>
        <w:tc>
          <w:tcPr>
            <w:tcW w:w="2337"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SOC</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-0.020 (0.007)</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0.004</w:t>
            </w:r>
          </w:p>
        </w:tc>
      </w:tr>
      <w:tr w:rsidR="00B10931">
        <w:trPr>
          <w:jc w:val="center"/>
        </w:trPr>
        <w:tc>
          <w:tcPr>
            <w:tcW w:w="2337"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MACARTI</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Reference</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r>
      <w:tr w:rsidR="00B10931">
        <w:trPr>
          <w:jc w:val="center"/>
        </w:trPr>
        <w:tc>
          <w:tcPr>
            <w:tcW w:w="2337"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Study Visit</w:t>
            </w:r>
            <w:r>
              <w:rPr>
                <w:rFonts w:ascii="Times New Roman" w:hAnsi="Times New Roman" w:cs="Times New Roman"/>
                <w:sz w:val="20"/>
                <w:szCs w:val="20"/>
                <w:vertAlign w:val="superscript"/>
              </w:rPr>
              <w:t>2</w:t>
            </w:r>
            <w:r>
              <w:rPr>
                <w:rFonts w:ascii="Times New Roman" w:hAnsi="Times New Roman" w:cs="Times New Roman"/>
                <w:sz w:val="20"/>
                <w:szCs w:val="20"/>
              </w:rPr>
              <w:t>*Study Arm</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r>
      <w:tr w:rsidR="00B10931">
        <w:trPr>
          <w:jc w:val="center"/>
        </w:trPr>
        <w:tc>
          <w:tcPr>
            <w:tcW w:w="2337"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SOC</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5.1e</w:t>
            </w:r>
            <w:r>
              <w:rPr>
                <w:rFonts w:ascii="Times New Roman" w:hAnsi="Times New Roman" w:cs="Times New Roman"/>
                <w:sz w:val="20"/>
                <w:szCs w:val="20"/>
                <w:vertAlign w:val="superscript"/>
              </w:rPr>
              <w:t>-5</w:t>
            </w:r>
            <w:r>
              <w:rPr>
                <w:rFonts w:ascii="Times New Roman" w:hAnsi="Times New Roman" w:cs="Times New Roman"/>
                <w:sz w:val="20"/>
                <w:szCs w:val="20"/>
              </w:rPr>
              <w:t xml:space="preserve"> (1.7e</w:t>
            </w:r>
            <w:r>
              <w:rPr>
                <w:rFonts w:ascii="Times New Roman" w:hAnsi="Times New Roman" w:cs="Times New Roman"/>
                <w:sz w:val="20"/>
                <w:szCs w:val="20"/>
                <w:vertAlign w:val="superscript"/>
              </w:rPr>
              <w:t>-5</w:t>
            </w:r>
            <w:r>
              <w:rPr>
                <w:rFonts w:ascii="Times New Roman" w:hAnsi="Times New Roman" w:cs="Times New Roman"/>
                <w:sz w:val="20"/>
                <w:szCs w:val="20"/>
              </w:rPr>
              <w:t>)</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0.004</w:t>
            </w:r>
          </w:p>
        </w:tc>
      </w:tr>
      <w:tr w:rsidR="00B10931">
        <w:trPr>
          <w:jc w:val="center"/>
        </w:trPr>
        <w:tc>
          <w:tcPr>
            <w:tcW w:w="2337" w:type="dxa"/>
            <w:tcBorders>
              <w:top w:val="nil"/>
              <w:left w:val="nil"/>
              <w:bottom w:val="single" w:sz="4" w:space="0" w:color="auto"/>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MACARTI</w:t>
            </w:r>
          </w:p>
        </w:tc>
        <w:tc>
          <w:tcPr>
            <w:tcW w:w="1440"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Reference</w:t>
            </w:r>
          </w:p>
        </w:tc>
        <w:tc>
          <w:tcPr>
            <w:tcW w:w="1440"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p>
        </w:tc>
      </w:tr>
    </w:tbl>
    <w:p w:rsidR="00B10931" w:rsidRDefault="00B10931">
      <w:pPr>
        <w:spacing w:after="0" w:line="240" w:lineRule="auto"/>
        <w:rPr>
          <w:rFonts w:ascii="Times New Roman" w:hAnsi="Times New Roman" w:cs="Times New Roman"/>
          <w:sz w:val="16"/>
          <w:szCs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16"/>
          <w:szCs w:val="16"/>
          <w:vertAlign w:val="superscript"/>
        </w:rPr>
        <w:t>1</w:t>
      </w:r>
      <w:r>
        <w:rPr>
          <w:rFonts w:ascii="Times New Roman" w:hAnsi="Times New Roman" w:cs="Times New Roman"/>
          <w:sz w:val="16"/>
          <w:szCs w:val="16"/>
        </w:rPr>
        <w:t>Intercept covariance: 30.86 (5.08), p&lt;0.001; Slope covariance: 6.0e</w:t>
      </w:r>
      <w:r>
        <w:rPr>
          <w:rFonts w:ascii="Times New Roman" w:hAnsi="Times New Roman" w:cs="Times New Roman"/>
          <w:sz w:val="16"/>
          <w:szCs w:val="16"/>
          <w:vertAlign w:val="superscript"/>
        </w:rPr>
        <w:t>-5</w:t>
      </w:r>
      <w:r>
        <w:rPr>
          <w:rFonts w:ascii="Times New Roman" w:hAnsi="Times New Roman" w:cs="Times New Roman"/>
          <w:sz w:val="16"/>
          <w:szCs w:val="16"/>
        </w:rPr>
        <w:t xml:space="preserve"> (1.8e</w:t>
      </w:r>
      <w:r>
        <w:rPr>
          <w:rFonts w:ascii="Times New Roman" w:hAnsi="Times New Roman" w:cs="Times New Roman"/>
          <w:sz w:val="16"/>
          <w:szCs w:val="16"/>
          <w:vertAlign w:val="superscript"/>
        </w:rPr>
        <w:t>-5</w:t>
      </w:r>
      <w:r>
        <w:rPr>
          <w:rFonts w:ascii="Times New Roman" w:hAnsi="Times New Roman" w:cs="Times New Roman"/>
          <w:sz w:val="16"/>
          <w:szCs w:val="16"/>
        </w:rPr>
        <w:t>), p&lt;0.001</w:t>
      </w:r>
    </w:p>
    <w:p w:rsidR="00B10931" w:rsidRDefault="00B10931">
      <w:pPr>
        <w:spacing w:after="0" w:line="240" w:lineRule="auto"/>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vertAlign w:val="superscript"/>
        </w:rPr>
        <w:t>2</w:t>
      </w:r>
      <w:r>
        <w:rPr>
          <w:rFonts w:ascii="Times New Roman" w:hAnsi="Times New Roman" w:cs="Times New Roman"/>
          <w:sz w:val="16"/>
          <w:szCs w:val="16"/>
        </w:rPr>
        <w:t>CD4 count has been square-root transformed</w:t>
      </w:r>
    </w:p>
    <w:p w:rsidR="00B10931" w:rsidRDefault="00B10931">
      <w:pPr>
        <w:spacing w:after="0" w:line="240" w:lineRule="auto"/>
        <w:rPr>
          <w:rFonts w:ascii="Times New Roman" w:hAnsi="Times New Roman" w:cs="Times New Roman"/>
          <w:sz w:val="16"/>
          <w:szCs w:val="16"/>
        </w:rPr>
      </w:pPr>
    </w:p>
    <w:p w:rsidR="00B10931" w:rsidRDefault="00B10931">
      <w:pPr>
        <w:spacing w:after="0" w:line="240" w:lineRule="auto"/>
        <w:rPr>
          <w:rFonts w:ascii="Times New Roman" w:hAnsi="Times New Roman" w:cs="Times New Roman"/>
          <w:b/>
          <w:bCs/>
        </w:rPr>
      </w:pPr>
    </w:p>
    <w:p w:rsidR="00B10931" w:rsidRDefault="00B10931">
      <w:pPr>
        <w:spacing w:after="0" w:line="240" w:lineRule="auto"/>
        <w:rPr>
          <w:rFonts w:ascii="Times New Roman" w:hAnsi="Times New Roman" w:cs="Times New Roman"/>
          <w:sz w:val="16"/>
          <w:szCs w:val="16"/>
        </w:rPr>
      </w:pPr>
      <w:r>
        <w:rPr>
          <w:rFonts w:ascii="Times New Roman" w:hAnsi="Times New Roman" w:cs="Times New Roman"/>
          <w:b/>
          <w:bCs/>
        </w:rPr>
        <w:t>Supplemental Table 3b: CD4 count linear growth model fixed effects estimates</w:t>
      </w:r>
    </w:p>
    <w:p w:rsidR="00B10931" w:rsidRDefault="00B10931">
      <w:pPr>
        <w:spacing w:after="0" w:line="240" w:lineRule="auto"/>
        <w:rPr>
          <w:rFonts w:ascii="Times New Roman" w:hAnsi="Times New Roman" w:cs="Times New Roman"/>
          <w:sz w:val="16"/>
          <w:szCs w:val="16"/>
        </w:rPr>
      </w:pPr>
    </w:p>
    <w:tbl>
      <w:tblPr>
        <w:tblW w:w="8338" w:type="dxa"/>
        <w:jc w:val="center"/>
        <w:tblLook w:val="0000"/>
      </w:tblPr>
      <w:tblGrid>
        <w:gridCol w:w="1714"/>
        <w:gridCol w:w="2736"/>
        <w:gridCol w:w="2736"/>
        <w:gridCol w:w="1152"/>
      </w:tblGrid>
      <w:tr w:rsidR="00B10931">
        <w:trPr>
          <w:jc w:val="center"/>
        </w:trPr>
        <w:tc>
          <w:tcPr>
            <w:tcW w:w="1714" w:type="dxa"/>
            <w:tcBorders>
              <w:top w:val="single" w:sz="4" w:space="0" w:color="auto"/>
              <w:left w:val="nil"/>
              <w:bottom w:val="single" w:sz="4" w:space="0" w:color="auto"/>
              <w:right w:val="nil"/>
            </w:tcBorders>
            <w:vAlign w:val="center"/>
          </w:tcPr>
          <w:p w:rsidR="00B10931" w:rsidRDefault="00B1093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Study Visit</w:t>
            </w:r>
          </w:p>
        </w:tc>
        <w:tc>
          <w:tcPr>
            <w:tcW w:w="2736"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Standard Arm</w:t>
            </w:r>
          </w:p>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Mean CD4 (95% CI)</w:t>
            </w:r>
          </w:p>
        </w:tc>
        <w:tc>
          <w:tcPr>
            <w:tcW w:w="2736"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MACARTI Arm</w:t>
            </w:r>
          </w:p>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Mean CD4 (95% CI)</w:t>
            </w:r>
          </w:p>
        </w:tc>
        <w:tc>
          <w:tcPr>
            <w:tcW w:w="1152"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P-Value</w:t>
            </w:r>
          </w:p>
        </w:tc>
      </w:tr>
      <w:tr w:rsidR="00B10931">
        <w:trPr>
          <w:jc w:val="center"/>
        </w:trPr>
        <w:tc>
          <w:tcPr>
            <w:tcW w:w="1714"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Baseline</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225 (176 - 279)</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 (268 - 398)</w:t>
            </w:r>
          </w:p>
        </w:tc>
        <w:tc>
          <w:tcPr>
            <w:tcW w:w="1152"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w:t>
            </w:r>
          </w:p>
        </w:tc>
      </w:tr>
      <w:tr w:rsidR="00B10931">
        <w:trPr>
          <w:jc w:val="center"/>
        </w:trPr>
        <w:tc>
          <w:tcPr>
            <w:tcW w:w="1714"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30 Days</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226 (179 - 278)</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352 (291 - 419)</w:t>
            </w:r>
          </w:p>
        </w:tc>
        <w:tc>
          <w:tcPr>
            <w:tcW w:w="1152"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0.002</w:t>
            </w:r>
          </w:p>
        </w:tc>
      </w:tr>
      <w:tr w:rsidR="00B10931">
        <w:trPr>
          <w:jc w:val="center"/>
        </w:trPr>
        <w:tc>
          <w:tcPr>
            <w:tcW w:w="1714"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90 Days</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232 (186 - 283)</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393 (330 - 461)</w:t>
            </w:r>
          </w:p>
        </w:tc>
        <w:tc>
          <w:tcPr>
            <w:tcW w:w="1152"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&lt;0.001</w:t>
            </w:r>
          </w:p>
        </w:tc>
      </w:tr>
      <w:tr w:rsidR="00B10931">
        <w:trPr>
          <w:jc w:val="center"/>
        </w:trPr>
        <w:tc>
          <w:tcPr>
            <w:tcW w:w="1714"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180 Days</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250 (203 - 302)</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441 (375 - 512)</w:t>
            </w:r>
          </w:p>
        </w:tc>
        <w:tc>
          <w:tcPr>
            <w:tcW w:w="1152"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&lt;0.001</w:t>
            </w:r>
          </w:p>
        </w:tc>
      </w:tr>
      <w:tr w:rsidR="00B10931">
        <w:trPr>
          <w:jc w:val="center"/>
        </w:trPr>
        <w:tc>
          <w:tcPr>
            <w:tcW w:w="1714" w:type="dxa"/>
            <w:tcBorders>
              <w:top w:val="nil"/>
              <w:left w:val="nil"/>
              <w:bottom w:val="single" w:sz="4" w:space="0" w:color="auto"/>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365 Days</w:t>
            </w:r>
          </w:p>
        </w:tc>
        <w:tc>
          <w:tcPr>
            <w:tcW w:w="2736"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326 (270 - 387)</w:t>
            </w:r>
          </w:p>
        </w:tc>
        <w:tc>
          <w:tcPr>
            <w:tcW w:w="2736"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479 (409 - 555)</w:t>
            </w:r>
          </w:p>
        </w:tc>
        <w:tc>
          <w:tcPr>
            <w:tcW w:w="1152"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0.001</w:t>
            </w:r>
          </w:p>
        </w:tc>
      </w:tr>
    </w:tbl>
    <w:p w:rsidR="00B10931" w:rsidRDefault="00B10931">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sz w:val="16"/>
          <w:szCs w:val="16"/>
          <w:vertAlign w:val="superscript"/>
        </w:rPr>
        <w:t>1</w:t>
      </w:r>
      <w:r>
        <w:rPr>
          <w:rFonts w:ascii="Times New Roman" w:hAnsi="Times New Roman" w:cs="Times New Roman"/>
          <w:sz w:val="16"/>
          <w:szCs w:val="16"/>
        </w:rPr>
        <w:t>CD4 count estimates and 95% CI back-transformed via squaring</w:t>
      </w:r>
    </w:p>
    <w:p w:rsidR="00B10931" w:rsidRDefault="00B10931">
      <w:pPr>
        <w:spacing w:after="0" w:line="240" w:lineRule="auto"/>
        <w:rPr>
          <w:rFonts w:ascii="Times New Roman" w:hAnsi="Times New Roman" w:cs="Times New Roman"/>
        </w:rPr>
      </w:pP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p>
    <w:p w:rsidR="00B10931" w:rsidRDefault="00B10931">
      <w:pPr>
        <w:jc w:val="both"/>
        <w:rPr>
          <w:rFonts w:ascii="Times New Roman" w:hAnsi="Times New Roman" w:cs="Times New Roman"/>
        </w:rPr>
      </w:pPr>
      <w:r>
        <w:rPr>
          <w:rFonts w:ascii="Times New Roman" w:hAnsi="Times New Roman" w:cs="Times New Roman"/>
          <w:b/>
          <w:bCs/>
        </w:rPr>
        <w:t>Supplemental Table 3a</w:t>
      </w:r>
      <w:r>
        <w:rPr>
          <w:rFonts w:ascii="Times New Roman" w:hAnsi="Times New Roman" w:cs="Times New Roman"/>
        </w:rPr>
        <w:t xml:space="preserve"> presents significant interactions and main effects, for both linear and quadratic terms; moreover, significant random effects are noted in the table footnote for both the intercept and slope. </w:t>
      </w:r>
      <w:r>
        <w:rPr>
          <w:rFonts w:ascii="Times New Roman" w:hAnsi="Times New Roman" w:cs="Times New Roman"/>
          <w:b/>
          <w:bCs/>
        </w:rPr>
        <w:t>Supplemental Figure 3b</w:t>
      </w:r>
      <w:r>
        <w:rPr>
          <w:rFonts w:ascii="Times New Roman" w:hAnsi="Times New Roman" w:cs="Times New Roman"/>
        </w:rPr>
        <w:t xml:space="preserve"> shows unweighted, model-based least-squares mean values connected and overlaid on participant-level transformed CD4 observations (solid-line). Relative to the un-modeled means (dashed-line), the quadratic linear growth model appears to strongly describe the relationship between transformed CD4 counts and study visits across treatment arms. Finally, </w:t>
      </w:r>
      <w:r>
        <w:rPr>
          <w:rFonts w:ascii="Times New Roman" w:hAnsi="Times New Roman" w:cs="Times New Roman"/>
          <w:b/>
          <w:bCs/>
        </w:rPr>
        <w:t>Supplemental Figure 3c</w:t>
      </w:r>
      <w:r>
        <w:rPr>
          <w:rFonts w:ascii="Times New Roman" w:hAnsi="Times New Roman" w:cs="Times New Roman"/>
        </w:rPr>
        <w:t xml:space="preserve"> shows weighted, model-based least-squares mean values connected and overlaid on predicted, participant-level transformed CD4 observations as described in the primary text. </w:t>
      </w:r>
    </w:p>
    <w:p w:rsidR="00B10931" w:rsidRDefault="00B10931">
      <w:pPr>
        <w:rPr>
          <w:rFonts w:ascii="Times New Roman" w:hAnsi="Times New Roman" w:cs="Times New Roman"/>
          <w:b/>
          <w:bCs/>
        </w:rPr>
      </w:pPr>
      <w:r>
        <w:rPr>
          <w:rFonts w:ascii="Times New Roman" w:hAnsi="Times New Roman" w:cs="Times New Roman"/>
          <w:b/>
          <w:bCs/>
        </w:rPr>
        <w:t>Supplemental Figure 3a: Participant-level CD4 counts means (square-root) over study visit follow-up, unweighted</w:t>
      </w:r>
    </w:p>
    <w:p w:rsidR="00B10931" w:rsidRDefault="00B10931">
      <w:pPr>
        <w:jc w:val="center"/>
        <w:rPr>
          <w:rFonts w:ascii="Times New Roman" w:hAnsi="Times New Roman" w:cs="Times New Roman"/>
        </w:rPr>
      </w:pPr>
      <w:r>
        <w:rPr>
          <w:rFonts w:ascii="Times New Roman" w:hAnsi="Times New Roman" w:cs="Times New Roman"/>
          <w:noProof/>
        </w:rPr>
        <w:pict>
          <v:shape id="Picture 13" o:spid="_x0000_i1029" type="#_x0000_t75" style="width:196.5pt;height:131.25pt;visibility:visible">
            <v:imagedata r:id="rId8" o:title=""/>
          </v:shape>
        </w:pict>
      </w:r>
    </w:p>
    <w:p w:rsidR="00B10931" w:rsidRDefault="00B10931">
      <w:pPr>
        <w:spacing w:after="0" w:line="240" w:lineRule="auto"/>
        <w:jc w:val="center"/>
        <w:rPr>
          <w:rFonts w:ascii="Times New Roman" w:hAnsi="Times New Roman" w:cs="Times New Roman"/>
          <w:sz w:val="16"/>
          <w:szCs w:val="16"/>
        </w:rPr>
      </w:pPr>
      <w:r>
        <w:rPr>
          <w:rFonts w:ascii="Times New Roman" w:hAnsi="Times New Roman" w:cs="Times New Roman"/>
          <w:sz w:val="16"/>
          <w:szCs w:val="16"/>
          <w:vertAlign w:val="superscript"/>
        </w:rPr>
        <w:t>1</w:t>
      </w:r>
      <w:r>
        <w:rPr>
          <w:rFonts w:ascii="Times New Roman" w:hAnsi="Times New Roman" w:cs="Times New Roman"/>
          <w:sz w:val="16"/>
          <w:szCs w:val="16"/>
        </w:rPr>
        <w:t>Study days 0, 30, 90, 180, 365 are presented as mean points and connected with a dashed-line</w:t>
      </w:r>
    </w:p>
    <w:p w:rsidR="00B10931" w:rsidRDefault="00B10931">
      <w:pPr>
        <w:rPr>
          <w:rFonts w:ascii="Times New Roman" w:hAnsi="Times New Roman" w:cs="Times New Roman"/>
          <w:b/>
          <w:bCs/>
        </w:rPr>
      </w:pPr>
    </w:p>
    <w:p w:rsidR="00B10931" w:rsidRDefault="00B10931">
      <w:pPr>
        <w:rPr>
          <w:rFonts w:ascii="Times New Roman" w:hAnsi="Times New Roman" w:cs="Times New Roman"/>
        </w:rPr>
      </w:pPr>
      <w:r>
        <w:rPr>
          <w:rFonts w:ascii="Times New Roman" w:hAnsi="Times New Roman" w:cs="Times New Roman"/>
          <w:b/>
          <w:bCs/>
        </w:rPr>
        <w:t>Supplemental Figure 3b: Growth model-based mean CD4 count estimates (square-root) versus un-modeled mean estimates, unweighted</w:t>
      </w:r>
    </w:p>
    <w:p w:rsidR="00B10931" w:rsidRDefault="00B10931">
      <w:pPr>
        <w:jc w:val="center"/>
        <w:rPr>
          <w:rFonts w:ascii="Times New Roman" w:hAnsi="Times New Roman" w:cs="Times New Roman"/>
        </w:rPr>
      </w:pPr>
      <w:r>
        <w:rPr>
          <w:rFonts w:ascii="Times New Roman" w:hAnsi="Times New Roman" w:cs="Times New Roman"/>
          <w:noProof/>
        </w:rPr>
        <w:pict>
          <v:shape id="Picture 12" o:spid="_x0000_i1030" type="#_x0000_t75" style="width:196.5pt;height:131.25pt;visibility:visible">
            <v:imagedata r:id="rId9" o:title=""/>
          </v:shape>
        </w:pict>
      </w:r>
    </w:p>
    <w:p w:rsidR="00B10931" w:rsidRDefault="00B10931">
      <w:pPr>
        <w:spacing w:after="0" w:line="240" w:lineRule="auto"/>
        <w:jc w:val="center"/>
        <w:rPr>
          <w:rFonts w:ascii="Times New Roman" w:hAnsi="Times New Roman" w:cs="Times New Roman"/>
          <w:sz w:val="16"/>
          <w:szCs w:val="16"/>
        </w:rPr>
      </w:pPr>
      <w:r>
        <w:rPr>
          <w:rFonts w:ascii="Times New Roman" w:hAnsi="Times New Roman" w:cs="Times New Roman"/>
          <w:sz w:val="16"/>
          <w:szCs w:val="16"/>
          <w:vertAlign w:val="superscript"/>
        </w:rPr>
        <w:t>1</w:t>
      </w:r>
      <w:r>
        <w:rPr>
          <w:rFonts w:ascii="Times New Roman" w:hAnsi="Times New Roman" w:cs="Times New Roman"/>
          <w:sz w:val="16"/>
          <w:szCs w:val="16"/>
        </w:rPr>
        <w:t xml:space="preserve">Study days 0, 30, 90, 180, 365 are presented as mean points and connected with a </w:t>
      </w:r>
    </w:p>
    <w:p w:rsidR="00B10931" w:rsidRDefault="00B1093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dashed-line for un-modeled values and a connected-line for growth model estimates</w:t>
      </w: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p>
    <w:p w:rsidR="00B10931" w:rsidRDefault="00B10931">
      <w:pPr>
        <w:rPr>
          <w:rFonts w:ascii="Times New Roman" w:hAnsi="Times New Roman" w:cs="Times New Roman"/>
        </w:rPr>
      </w:pPr>
      <w:r>
        <w:rPr>
          <w:rFonts w:ascii="Times New Roman" w:hAnsi="Times New Roman" w:cs="Times New Roman"/>
          <w:b/>
          <w:bCs/>
        </w:rPr>
        <w:t>Supplemental Figure 3c: Growth model-based mean CD4 count estimates (square-root) and predicted patient-level observations, weighted</w:t>
      </w:r>
    </w:p>
    <w:p w:rsidR="00B10931" w:rsidRDefault="00B10931">
      <w:pPr>
        <w:jc w:val="center"/>
        <w:rPr>
          <w:rFonts w:ascii="Times New Roman" w:hAnsi="Times New Roman" w:cs="Times New Roman"/>
        </w:rPr>
      </w:pPr>
      <w:r>
        <w:rPr>
          <w:rFonts w:ascii="Times New Roman" w:hAnsi="Times New Roman" w:cs="Times New Roman"/>
          <w:noProof/>
        </w:rPr>
        <w:pict>
          <v:shape id="Picture 7" o:spid="_x0000_i1031" type="#_x0000_t75" style="width:196.5pt;height:131.25pt;visibility:visible">
            <v:imagedata r:id="rId10" o:title=""/>
          </v:shape>
        </w:pict>
      </w:r>
    </w:p>
    <w:p w:rsidR="00B10931" w:rsidRDefault="00B10931">
      <w:pPr>
        <w:spacing w:after="0" w:line="240" w:lineRule="auto"/>
        <w:jc w:val="center"/>
        <w:rPr>
          <w:rFonts w:ascii="Times New Roman" w:hAnsi="Times New Roman" w:cs="Times New Roman"/>
          <w:sz w:val="16"/>
          <w:szCs w:val="16"/>
        </w:rPr>
      </w:pPr>
      <w:r>
        <w:rPr>
          <w:rFonts w:ascii="Times New Roman" w:hAnsi="Times New Roman" w:cs="Times New Roman"/>
          <w:sz w:val="16"/>
          <w:szCs w:val="16"/>
          <w:vertAlign w:val="superscript"/>
        </w:rPr>
        <w:t>1</w:t>
      </w:r>
      <w:r>
        <w:rPr>
          <w:rFonts w:ascii="Times New Roman" w:hAnsi="Times New Roman" w:cs="Times New Roman"/>
          <w:sz w:val="16"/>
          <w:szCs w:val="16"/>
        </w:rPr>
        <w:t xml:space="preserve">Weighted-growth model estimates for study days 0, 30, 90, 180, 365 </w:t>
      </w:r>
    </w:p>
    <w:p w:rsidR="00B10931" w:rsidRDefault="00B10931">
      <w:pPr>
        <w:jc w:val="center"/>
        <w:rPr>
          <w:rFonts w:ascii="Times New Roman" w:hAnsi="Times New Roman" w:cs="Times New Roman"/>
        </w:rPr>
      </w:pPr>
    </w:p>
    <w:p w:rsidR="00B10931" w:rsidRDefault="00B10931">
      <w:pPr>
        <w:rPr>
          <w:rFonts w:ascii="Times New Roman" w:hAnsi="Times New Roman" w:cs="Times New Roman"/>
        </w:rPr>
      </w:pPr>
      <w:r>
        <w:rPr>
          <w:rFonts w:ascii="Times New Roman" w:hAnsi="Times New Roman" w:cs="Times New Roman"/>
          <w:i/>
          <w:iCs/>
        </w:rPr>
        <w:t>Weighted Viral Load Linear Growth Model</w:t>
      </w:r>
    </w:p>
    <w:p w:rsidR="00B10931" w:rsidRDefault="00B10931">
      <w:pPr>
        <w:jc w:val="both"/>
        <w:rPr>
          <w:rFonts w:ascii="Times New Roman" w:hAnsi="Times New Roman" w:cs="Times New Roman"/>
        </w:rPr>
      </w:pPr>
      <w:r>
        <w:rPr>
          <w:rFonts w:ascii="Times New Roman" w:hAnsi="Times New Roman" w:cs="Times New Roman"/>
        </w:rPr>
        <w:t>As with CD4, an individual linear growth model for Viral Load was constructed using the PROC MIXED procedure in SAS. The model specification included study arm (MACARTI versus SOC) as the fixed effect and participant-specific intercepts and study visit slopes as the random effects. An unstructured variance-covariance matrix was employed for repeated observations, and degrees of freedom were estimated using the between-within method.</w:t>
      </w:r>
      <w:r>
        <w:rPr>
          <w:rFonts w:ascii="Times New Roman" w:hAnsi="Times New Roman" w:cs="Times New Roman"/>
        </w:rPr>
        <w:fldChar w:fldCharType="begin"/>
      </w:r>
      <w:r>
        <w:rPr>
          <w:rFonts w:ascii="Times New Roman" w:hAnsi="Times New Roman" w:cs="Times New Roman"/>
        </w:rPr>
        <w:instrText xml:space="preserve"> ADDIN EN.CITE &lt;EndNote&gt;&lt;Cite&gt;&lt;Author&gt;JT&lt;/Author&gt;&lt;Year&gt;1990&lt;/Year&gt;&lt;RecNum&gt;203&lt;/RecNum&gt;&lt;DisplayText&gt;&lt;style face="superscript"&gt;[8]&lt;/style&gt;&lt;/DisplayText&gt;&lt;record&gt;&lt;rec-number&gt;203&lt;/rec-number&gt;&lt;foreign-keys&gt;&lt;key app="EN" db-id="zxrr9x50a0w5ege2vxzp5ezgr95arfxrfsrt" timestamp="1490194565"&gt;203&lt;/key&gt;&lt;/foreign-keys&gt;&lt;ref-type name="Journal Article"&gt;17&lt;/ref-type&gt;&lt;contributors&gt;&lt;authors&gt;&lt;author&gt;Schluchter, MD.&lt;/author&gt;&lt;author&gt;Elashoff, JT.&lt;/author&gt;&lt;/authors&gt;&lt;/contributors&gt;&lt;titles&gt;&lt;title&gt;Small-sample adjustments to tests with unbalanced repeated measures assuming several covariance structures. &lt;/title&gt;&lt;secondary-title&gt;Journal of Statistical Computation and Simulation&lt;/secondary-title&gt;&lt;/titles&gt;&lt;periodical&gt;&lt;full-title&gt;Journal of Statistical Computation and Simulation&lt;/full-title&gt;&lt;/periodical&gt;&lt;pages&gt;69-87&lt;/pages&gt;&lt;volume&gt;37(1-2)&lt;/volume&gt;&lt;dates&gt;&lt;year&gt;1990&lt;/year&gt;&lt;/dates&gt;&lt;urls&gt;&lt;/urls&gt;&lt;/record&gt;&lt;/Cite&gt;&lt;/EndNote&gt;</w:instrText>
      </w:r>
      <w:r>
        <w:rPr>
          <w:rFonts w:ascii="Times New Roman" w:hAnsi="Times New Roman" w:cs="Times New Roman"/>
        </w:rPr>
        <w:fldChar w:fldCharType="separate"/>
      </w:r>
      <w:r>
        <w:rPr>
          <w:rFonts w:ascii="Times New Roman" w:hAnsi="Times New Roman" w:cs="Times New Roman"/>
          <w:noProof/>
          <w:vertAlign w:val="superscript"/>
        </w:rPr>
        <w:t>[8]</w:t>
      </w:r>
      <w:r>
        <w:rPr>
          <w:rFonts w:ascii="Times New Roman" w:hAnsi="Times New Roman" w:cs="Times New Roman"/>
        </w:rPr>
        <w:fldChar w:fldCharType="end"/>
      </w:r>
      <w:r>
        <w:rPr>
          <w:rFonts w:ascii="Times New Roman" w:hAnsi="Times New Roman" w:cs="Times New Roman"/>
        </w:rPr>
        <w:t xml:space="preserve"> Derived stabilized weights were utilized to balance baseline covariate differences between study arms. Both the outcome, Viral Load, and study visit days were natural log-transformed and plotted, unweighted, in each of the MACARTI and SOC arms (</w:t>
      </w:r>
      <w:r>
        <w:rPr>
          <w:rFonts w:ascii="Times New Roman" w:hAnsi="Times New Roman" w:cs="Times New Roman"/>
          <w:b/>
          <w:bCs/>
        </w:rPr>
        <w:t>Supplemental Figure 4a</w:t>
      </w:r>
      <w:r>
        <w:rPr>
          <w:rFonts w:ascii="Times New Roman" w:hAnsi="Times New Roman" w:cs="Times New Roman"/>
        </w:rPr>
        <w:t xml:space="preserve">). As with CD4 counts, study visit means of transformed Viral Loads were calculated and overlaid on the figure (dashed-line), demonstrating a fairly curve-linear association with log-time. As such, the final growth model featured a quadratic term for log-time, as well as interactions between log-time, both quadratic and linear, and study arm. The fixed effects table for the model is presented in </w:t>
      </w:r>
      <w:r>
        <w:rPr>
          <w:rFonts w:ascii="Times New Roman" w:hAnsi="Times New Roman" w:cs="Times New Roman"/>
          <w:b/>
          <w:bCs/>
        </w:rPr>
        <w:t>Supplemental Table 4a,</w:t>
      </w:r>
      <w:r>
        <w:rPr>
          <w:rFonts w:ascii="Times New Roman" w:hAnsi="Times New Roman" w:cs="Times New Roman"/>
        </w:rPr>
        <w:t xml:space="preserve"> and least squares mean estimates are in </w:t>
      </w:r>
      <w:r>
        <w:rPr>
          <w:rFonts w:ascii="Times New Roman" w:hAnsi="Times New Roman" w:cs="Times New Roman"/>
          <w:b/>
          <w:bCs/>
        </w:rPr>
        <w:t>Supplemental Table 4b.</w:t>
      </w:r>
    </w:p>
    <w:p w:rsidR="00B10931" w:rsidRDefault="00B10931">
      <w:pPr>
        <w:pStyle w:val="RTFOutput"/>
        <w:adjustRightInd w:val="0"/>
        <w:spacing w:before="10" w:after="10"/>
        <w:rPr>
          <w:rFonts w:ascii="Times New Roman" w:hAnsi="Times New Roman" w:cs="Times New Roman"/>
          <w:b/>
          <w:bCs/>
          <w:sz w:val="22"/>
          <w:szCs w:val="22"/>
        </w:rPr>
      </w:pPr>
      <w:r>
        <w:rPr>
          <w:rFonts w:ascii="Times New Roman" w:hAnsi="Times New Roman" w:cs="Times New Roman"/>
          <w:b/>
          <w:bCs/>
          <w:sz w:val="22"/>
          <w:szCs w:val="22"/>
        </w:rPr>
        <w:t>Supplemental Table 4a: Viral load linear growth model fixed effects estimates</w:t>
      </w:r>
    </w:p>
    <w:p w:rsidR="00B10931" w:rsidRDefault="00B10931">
      <w:pPr>
        <w:pStyle w:val="RTFOutput"/>
        <w:adjustRightInd w:val="0"/>
        <w:spacing w:before="10" w:after="10"/>
        <w:rPr>
          <w:rFonts w:ascii="Times New Roman" w:hAnsi="Times New Roman" w:cs="Times New Roman"/>
          <w:b/>
          <w:bCs/>
          <w:sz w:val="22"/>
          <w:szCs w:val="22"/>
        </w:rPr>
      </w:pPr>
    </w:p>
    <w:tbl>
      <w:tblPr>
        <w:tblW w:w="0" w:type="auto"/>
        <w:jc w:val="center"/>
        <w:tblLook w:val="0000"/>
      </w:tblPr>
      <w:tblGrid>
        <w:gridCol w:w="2592"/>
        <w:gridCol w:w="1440"/>
        <w:gridCol w:w="1440"/>
      </w:tblGrid>
      <w:tr w:rsidR="00B10931">
        <w:trPr>
          <w:trHeight w:val="432"/>
          <w:jc w:val="center"/>
        </w:trPr>
        <w:tc>
          <w:tcPr>
            <w:tcW w:w="2592" w:type="dxa"/>
            <w:tcBorders>
              <w:top w:val="single" w:sz="4" w:space="0" w:color="auto"/>
              <w:left w:val="nil"/>
              <w:bottom w:val="single" w:sz="4" w:space="0" w:color="auto"/>
              <w:right w:val="nil"/>
            </w:tcBorders>
            <w:vAlign w:val="center"/>
          </w:tcPr>
          <w:p w:rsidR="00B10931" w:rsidRDefault="00B1093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Fixed Effect</w:t>
            </w:r>
          </w:p>
        </w:tc>
        <w:tc>
          <w:tcPr>
            <w:tcW w:w="1440"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Estimate (SE)</w:t>
            </w:r>
          </w:p>
        </w:tc>
        <w:tc>
          <w:tcPr>
            <w:tcW w:w="1440"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P-value</w:t>
            </w:r>
          </w:p>
        </w:tc>
      </w:tr>
      <w:tr w:rsidR="00B10931">
        <w:trPr>
          <w:jc w:val="center"/>
        </w:trPr>
        <w:tc>
          <w:tcPr>
            <w:tcW w:w="2592" w:type="dxa"/>
            <w:tcBorders>
              <w:top w:val="single" w:sz="4" w:space="0" w:color="auto"/>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Log-Study Visit</w:t>
            </w:r>
          </w:p>
        </w:tc>
        <w:tc>
          <w:tcPr>
            <w:tcW w:w="1440" w:type="dxa"/>
            <w:tcBorders>
              <w:top w:val="single" w:sz="4" w:space="0" w:color="auto"/>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0.073 (0.307)</w:t>
            </w:r>
          </w:p>
        </w:tc>
        <w:tc>
          <w:tcPr>
            <w:tcW w:w="1440" w:type="dxa"/>
            <w:tcBorders>
              <w:top w:val="single" w:sz="4" w:space="0" w:color="auto"/>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0.813</w:t>
            </w:r>
          </w:p>
        </w:tc>
      </w:tr>
      <w:tr w:rsidR="00B10931">
        <w:trPr>
          <w:jc w:val="center"/>
        </w:trPr>
        <w:tc>
          <w:tcPr>
            <w:tcW w:w="2592"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vertAlign w:val="superscript"/>
              </w:rPr>
            </w:pPr>
            <w:r>
              <w:rPr>
                <w:rFonts w:ascii="Times New Roman" w:hAnsi="Times New Roman" w:cs="Times New Roman"/>
                <w:sz w:val="20"/>
                <w:szCs w:val="20"/>
              </w:rPr>
              <w:t>Log-Study Visit</w:t>
            </w:r>
            <w:r>
              <w:rPr>
                <w:rFonts w:ascii="Times New Roman" w:hAnsi="Times New Roman" w:cs="Times New Roman"/>
                <w:sz w:val="20"/>
                <w:szCs w:val="20"/>
                <w:vertAlign w:val="superscript"/>
              </w:rPr>
              <w:t>2</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-0.195 (0.053)</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&lt;0.001</w:t>
            </w:r>
          </w:p>
        </w:tc>
      </w:tr>
      <w:tr w:rsidR="00B10931">
        <w:trPr>
          <w:jc w:val="center"/>
        </w:trPr>
        <w:tc>
          <w:tcPr>
            <w:tcW w:w="2592"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Study Arm - MACARTI</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9.985 (0.371)</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&lt;0.001</w:t>
            </w:r>
          </w:p>
        </w:tc>
      </w:tr>
      <w:tr w:rsidR="00B10931">
        <w:trPr>
          <w:jc w:val="center"/>
        </w:trPr>
        <w:tc>
          <w:tcPr>
            <w:tcW w:w="2592"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Study Arm - SOC</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10.144 (0.407)</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&lt;0.001</w:t>
            </w:r>
          </w:p>
        </w:tc>
      </w:tr>
      <w:tr w:rsidR="00B10931">
        <w:trPr>
          <w:jc w:val="center"/>
        </w:trPr>
        <w:tc>
          <w:tcPr>
            <w:tcW w:w="2592"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Log-Study Visit*Study Arm</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r>
      <w:tr w:rsidR="00B10931">
        <w:trPr>
          <w:jc w:val="center"/>
        </w:trPr>
        <w:tc>
          <w:tcPr>
            <w:tcW w:w="2592"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SOC</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-0.372 (0.402)</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0.355</w:t>
            </w:r>
          </w:p>
        </w:tc>
      </w:tr>
      <w:tr w:rsidR="00B10931">
        <w:trPr>
          <w:jc w:val="center"/>
        </w:trPr>
        <w:tc>
          <w:tcPr>
            <w:tcW w:w="2592"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MACARTI</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Reference</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r>
      <w:tr w:rsidR="00B10931">
        <w:trPr>
          <w:jc w:val="center"/>
        </w:trPr>
        <w:tc>
          <w:tcPr>
            <w:tcW w:w="2592"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Log-Study Visit</w:t>
            </w:r>
            <w:r>
              <w:rPr>
                <w:rFonts w:ascii="Times New Roman" w:hAnsi="Times New Roman" w:cs="Times New Roman"/>
                <w:sz w:val="20"/>
                <w:szCs w:val="20"/>
                <w:vertAlign w:val="superscript"/>
              </w:rPr>
              <w:t>2</w:t>
            </w:r>
            <w:r>
              <w:rPr>
                <w:rFonts w:ascii="Times New Roman" w:hAnsi="Times New Roman" w:cs="Times New Roman"/>
                <w:sz w:val="20"/>
                <w:szCs w:val="20"/>
              </w:rPr>
              <w:t>*Study Arm</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p>
        </w:tc>
      </w:tr>
      <w:tr w:rsidR="00B10931">
        <w:trPr>
          <w:jc w:val="center"/>
        </w:trPr>
        <w:tc>
          <w:tcPr>
            <w:tcW w:w="2592"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SOC</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0.115 (0.070)</w:t>
            </w:r>
          </w:p>
        </w:tc>
        <w:tc>
          <w:tcPr>
            <w:tcW w:w="1440"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0.100</w:t>
            </w:r>
          </w:p>
        </w:tc>
      </w:tr>
      <w:tr w:rsidR="00B10931">
        <w:trPr>
          <w:jc w:val="center"/>
        </w:trPr>
        <w:tc>
          <w:tcPr>
            <w:tcW w:w="2592" w:type="dxa"/>
            <w:tcBorders>
              <w:top w:val="nil"/>
              <w:left w:val="nil"/>
              <w:bottom w:val="single" w:sz="4" w:space="0" w:color="auto"/>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MACARTI</w:t>
            </w:r>
          </w:p>
        </w:tc>
        <w:tc>
          <w:tcPr>
            <w:tcW w:w="1440"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Reference</w:t>
            </w:r>
          </w:p>
        </w:tc>
        <w:tc>
          <w:tcPr>
            <w:tcW w:w="1440"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p>
        </w:tc>
      </w:tr>
    </w:tbl>
    <w:p w:rsidR="00B10931" w:rsidRDefault="00B10931">
      <w:pPr>
        <w:spacing w:after="0" w:line="240" w:lineRule="auto"/>
        <w:rPr>
          <w:rFonts w:ascii="Times New Roman" w:hAnsi="Times New Roman" w:cs="Times New Roman"/>
          <w:sz w:val="16"/>
          <w:szCs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16"/>
          <w:szCs w:val="16"/>
          <w:vertAlign w:val="superscript"/>
        </w:rPr>
        <w:t>1</w:t>
      </w:r>
      <w:r>
        <w:rPr>
          <w:rFonts w:ascii="Times New Roman" w:hAnsi="Times New Roman" w:cs="Times New Roman"/>
          <w:sz w:val="16"/>
          <w:szCs w:val="16"/>
        </w:rPr>
        <w:t>Intercept covariance: 1.70 (0.87), p=0.025; Slope covariance: 0.081 (0.038), p=0.017</w:t>
      </w:r>
    </w:p>
    <w:p w:rsidR="00B10931" w:rsidRDefault="00B10931">
      <w:pPr>
        <w:spacing w:after="0" w:line="240" w:lineRule="auto"/>
        <w:rPr>
          <w:rFonts w:ascii="Times New Roman" w:hAnsi="Times New Roman" w:cs="Times New Roman"/>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vertAlign w:val="superscript"/>
        </w:rPr>
        <w:t>2</w:t>
      </w:r>
      <w:r>
        <w:rPr>
          <w:rFonts w:ascii="Times New Roman" w:hAnsi="Times New Roman" w:cs="Times New Roman"/>
          <w:sz w:val="16"/>
          <w:szCs w:val="16"/>
        </w:rPr>
        <w:t>Viral load and study visit are both natural-log transformed</w:t>
      </w:r>
    </w:p>
    <w:p w:rsidR="00B10931" w:rsidRDefault="00B10931">
      <w:pPr>
        <w:spacing w:after="0" w:line="240" w:lineRule="auto"/>
        <w:rPr>
          <w:rFonts w:ascii="Times New Roman" w:hAnsi="Times New Roman" w:cs="Times New Roman"/>
          <w:b/>
          <w:bCs/>
        </w:rPr>
      </w:pP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p>
    <w:p w:rsidR="00B10931" w:rsidRDefault="00B10931">
      <w:pPr>
        <w:pStyle w:val="RTFOutput"/>
        <w:adjustRightInd w:val="0"/>
        <w:spacing w:before="10" w:after="10"/>
        <w:rPr>
          <w:rFonts w:ascii="Times New Roman" w:hAnsi="Times New Roman" w:cs="Times New Roman"/>
          <w:b/>
          <w:bCs/>
          <w:sz w:val="22"/>
          <w:szCs w:val="22"/>
        </w:rPr>
      </w:pPr>
      <w:r>
        <w:rPr>
          <w:rFonts w:ascii="Times New Roman" w:hAnsi="Times New Roman" w:cs="Times New Roman"/>
          <w:b/>
          <w:bCs/>
          <w:sz w:val="22"/>
          <w:szCs w:val="22"/>
        </w:rPr>
        <w:t>Supplemental Table 4b: Viral load linear growth model fixed effects estimates</w:t>
      </w:r>
    </w:p>
    <w:p w:rsidR="00B10931" w:rsidRDefault="00B10931">
      <w:pPr>
        <w:pStyle w:val="RTFOutput"/>
        <w:adjustRightInd w:val="0"/>
        <w:spacing w:before="10" w:after="10"/>
        <w:rPr>
          <w:rFonts w:ascii="Times New Roman" w:hAnsi="Times New Roman" w:cs="Times New Roman"/>
          <w:b/>
          <w:bCs/>
          <w:sz w:val="22"/>
          <w:szCs w:val="22"/>
        </w:rPr>
      </w:pPr>
    </w:p>
    <w:tbl>
      <w:tblPr>
        <w:tblW w:w="8338" w:type="dxa"/>
        <w:jc w:val="center"/>
        <w:tblLook w:val="0000"/>
      </w:tblPr>
      <w:tblGrid>
        <w:gridCol w:w="1714"/>
        <w:gridCol w:w="2736"/>
        <w:gridCol w:w="2736"/>
        <w:gridCol w:w="1152"/>
      </w:tblGrid>
      <w:tr w:rsidR="00B10931">
        <w:trPr>
          <w:jc w:val="center"/>
        </w:trPr>
        <w:tc>
          <w:tcPr>
            <w:tcW w:w="1714" w:type="dxa"/>
            <w:tcBorders>
              <w:top w:val="single" w:sz="4" w:space="0" w:color="auto"/>
              <w:left w:val="nil"/>
              <w:bottom w:val="single" w:sz="4" w:space="0" w:color="auto"/>
              <w:right w:val="nil"/>
            </w:tcBorders>
            <w:vAlign w:val="center"/>
          </w:tcPr>
          <w:p w:rsidR="00B10931" w:rsidRDefault="00B1093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Study Visit</w:t>
            </w:r>
          </w:p>
        </w:tc>
        <w:tc>
          <w:tcPr>
            <w:tcW w:w="2736"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Standard Arm</w:t>
            </w:r>
          </w:p>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Mean VL (95% CI)</w:t>
            </w:r>
          </w:p>
        </w:tc>
        <w:tc>
          <w:tcPr>
            <w:tcW w:w="2736"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MACARTI Arm</w:t>
            </w:r>
          </w:p>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Mean VL (95% CI)</w:t>
            </w:r>
          </w:p>
        </w:tc>
        <w:tc>
          <w:tcPr>
            <w:tcW w:w="1152" w:type="dxa"/>
            <w:tcBorders>
              <w:top w:val="single" w:sz="4" w:space="0" w:color="auto"/>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P-Value</w:t>
            </w:r>
          </w:p>
        </w:tc>
      </w:tr>
      <w:tr w:rsidR="00B10931">
        <w:trPr>
          <w:jc w:val="center"/>
        </w:trPr>
        <w:tc>
          <w:tcPr>
            <w:tcW w:w="1714"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Baseline</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21,694 (10,373 - 45,370)</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25,443 (11,328 - 57,142)</w:t>
            </w:r>
          </w:p>
        </w:tc>
        <w:tc>
          <w:tcPr>
            <w:tcW w:w="1152"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0.773</w:t>
            </w:r>
          </w:p>
        </w:tc>
      </w:tr>
      <w:tr w:rsidR="00B10931">
        <w:trPr>
          <w:jc w:val="center"/>
        </w:trPr>
        <w:tc>
          <w:tcPr>
            <w:tcW w:w="1714"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30 Days</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3,018 (1,524 - 5,973)</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3,286 (1,544 - 6,992)</w:t>
            </w:r>
          </w:p>
        </w:tc>
        <w:tc>
          <w:tcPr>
            <w:tcW w:w="1152"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0.868</w:t>
            </w:r>
          </w:p>
        </w:tc>
      </w:tr>
      <w:tr w:rsidR="00B10931">
        <w:trPr>
          <w:jc w:val="center"/>
        </w:trPr>
        <w:tc>
          <w:tcPr>
            <w:tcW w:w="1714"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90 Days</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1,102 (596 - 2,036)</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671 (353 - 1276)</w:t>
            </w:r>
          </w:p>
        </w:tc>
        <w:tc>
          <w:tcPr>
            <w:tcW w:w="1152"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0.269</w:t>
            </w:r>
          </w:p>
        </w:tc>
      </w:tr>
      <w:tr w:rsidR="00B10931">
        <w:trPr>
          <w:jc w:val="center"/>
        </w:trPr>
        <w:tc>
          <w:tcPr>
            <w:tcW w:w="1714" w:type="dxa"/>
            <w:tcBorders>
              <w:top w:val="nil"/>
              <w:left w:val="nil"/>
              <w:bottom w:val="nil"/>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180 Days</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525 (275 - 1,002)</w:t>
            </w:r>
          </w:p>
        </w:tc>
        <w:tc>
          <w:tcPr>
            <w:tcW w:w="2736"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192 (100 - 372)</w:t>
            </w:r>
          </w:p>
        </w:tc>
        <w:tc>
          <w:tcPr>
            <w:tcW w:w="1152" w:type="dxa"/>
            <w:tcBorders>
              <w:top w:val="nil"/>
              <w:left w:val="nil"/>
              <w:bottom w:val="nil"/>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r w:rsidR="00B10931">
        <w:trPr>
          <w:jc w:val="center"/>
        </w:trPr>
        <w:tc>
          <w:tcPr>
            <w:tcW w:w="1714" w:type="dxa"/>
            <w:tcBorders>
              <w:top w:val="nil"/>
              <w:left w:val="nil"/>
              <w:bottom w:val="single" w:sz="4" w:space="0" w:color="auto"/>
              <w:right w:val="nil"/>
            </w:tcBorders>
            <w:vAlign w:val="center"/>
          </w:tcPr>
          <w:p w:rsidR="00B10931" w:rsidRDefault="00B10931">
            <w:pPr>
              <w:spacing w:after="0" w:line="240" w:lineRule="auto"/>
              <w:rPr>
                <w:rFonts w:ascii="Times New Roman" w:hAnsi="Times New Roman" w:cs="Times New Roman"/>
                <w:sz w:val="20"/>
                <w:szCs w:val="20"/>
              </w:rPr>
            </w:pPr>
            <w:r>
              <w:rPr>
                <w:rFonts w:ascii="Times New Roman" w:hAnsi="Times New Roman" w:cs="Times New Roman"/>
                <w:sz w:val="20"/>
                <w:szCs w:val="20"/>
              </w:rPr>
              <w:t>365 Days</w:t>
            </w:r>
          </w:p>
        </w:tc>
        <w:tc>
          <w:tcPr>
            <w:tcW w:w="2736"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228 (99 - 524)</w:t>
            </w:r>
          </w:p>
        </w:tc>
        <w:tc>
          <w:tcPr>
            <w:tcW w:w="2736"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 (18 - 107)</w:t>
            </w:r>
          </w:p>
        </w:tc>
        <w:tc>
          <w:tcPr>
            <w:tcW w:w="1152" w:type="dxa"/>
            <w:tcBorders>
              <w:top w:val="nil"/>
              <w:left w:val="nil"/>
              <w:bottom w:val="single" w:sz="4" w:space="0" w:color="auto"/>
              <w:right w:val="nil"/>
            </w:tcBorders>
            <w:vAlign w:val="center"/>
          </w:tcPr>
          <w:p w:rsidR="00B10931" w:rsidRDefault="00B109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0.008</w:t>
            </w:r>
          </w:p>
        </w:tc>
      </w:tr>
    </w:tbl>
    <w:p w:rsidR="00B10931" w:rsidRDefault="00B10931">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sz w:val="16"/>
          <w:szCs w:val="16"/>
          <w:vertAlign w:val="superscript"/>
        </w:rPr>
        <w:t>1</w:t>
      </w:r>
      <w:r>
        <w:rPr>
          <w:rFonts w:ascii="Times New Roman" w:hAnsi="Times New Roman" w:cs="Times New Roman"/>
          <w:sz w:val="16"/>
          <w:szCs w:val="16"/>
        </w:rPr>
        <w:t>VL estimates and 95% CI back-transformed via exponentiation</w:t>
      </w:r>
    </w:p>
    <w:p w:rsidR="00B10931" w:rsidRDefault="00B10931">
      <w:pPr>
        <w:rPr>
          <w:rFonts w:ascii="Times New Roman" w:hAnsi="Times New Roman" w:cs="Times New Roman"/>
          <w:b/>
          <w:bCs/>
        </w:rPr>
      </w:pPr>
    </w:p>
    <w:p w:rsidR="00B10931" w:rsidRDefault="00B10931">
      <w:pPr>
        <w:jc w:val="both"/>
        <w:rPr>
          <w:rFonts w:ascii="Times New Roman" w:hAnsi="Times New Roman" w:cs="Times New Roman"/>
        </w:rPr>
      </w:pPr>
      <w:r>
        <w:rPr>
          <w:rFonts w:ascii="Times New Roman" w:hAnsi="Times New Roman" w:cs="Times New Roman"/>
          <w:b/>
          <w:bCs/>
        </w:rPr>
        <w:t>Supplemental Table 4a</w:t>
      </w:r>
      <w:r>
        <w:rPr>
          <w:rFonts w:ascii="Times New Roman" w:hAnsi="Times New Roman" w:cs="Times New Roman"/>
        </w:rPr>
        <w:t xml:space="preserve"> presents significant main effects for study arm and quadratic log-time. While insignificant, the interaction between quadratic log-time and study arm points to a marginal difference in growth trends between MACARTI and SOC and was retained in the analysis for least-squares means estimation. As with the CD4 count model, significant random effects are noted in the table footnote for both the intercept and slope. </w:t>
      </w:r>
      <w:r>
        <w:rPr>
          <w:rFonts w:ascii="Times New Roman" w:hAnsi="Times New Roman" w:cs="Times New Roman"/>
          <w:b/>
          <w:bCs/>
        </w:rPr>
        <w:t>Supplemental Figure 4b</w:t>
      </w:r>
      <w:r>
        <w:rPr>
          <w:rFonts w:ascii="Times New Roman" w:hAnsi="Times New Roman" w:cs="Times New Roman"/>
        </w:rPr>
        <w:t xml:space="preserve"> shows unweighted, model-based least-squares mean values, connected and overlaid on participant-level transformed Viral Load observations (solid-line). Relative to the un-modeled means (dashed-line), the quadratic linear growth model appears to strongly describe the relationship between log-Viral Load and log-time across treatment arms. Finally, </w:t>
      </w:r>
      <w:r>
        <w:rPr>
          <w:rFonts w:ascii="Times New Roman" w:hAnsi="Times New Roman" w:cs="Times New Roman"/>
          <w:b/>
          <w:bCs/>
        </w:rPr>
        <w:t>Supplemental Figure 4c</w:t>
      </w:r>
      <w:r>
        <w:rPr>
          <w:rFonts w:ascii="Times New Roman" w:hAnsi="Times New Roman" w:cs="Times New Roman"/>
        </w:rPr>
        <w:t xml:space="preserve"> shows weighted, model-based least-squares mean values connected and overlaid on predicted participant-level transformed Viral Load observations against log-time as described in the primary text. </w:t>
      </w:r>
    </w:p>
    <w:p w:rsidR="00B10931" w:rsidRDefault="00B10931">
      <w:pPr>
        <w:rPr>
          <w:rFonts w:ascii="Times New Roman" w:hAnsi="Times New Roman" w:cs="Times New Roman"/>
          <w:b/>
          <w:bCs/>
        </w:rPr>
      </w:pPr>
      <w:r>
        <w:rPr>
          <w:rFonts w:ascii="Times New Roman" w:hAnsi="Times New Roman" w:cs="Times New Roman"/>
          <w:b/>
          <w:bCs/>
        </w:rPr>
        <w:t>Supplemental Figure 4a: Participant-level Viral Load means (natural log) over study visit follow-up (natural log), unweighted</w:t>
      </w:r>
    </w:p>
    <w:p w:rsidR="00B10931" w:rsidRDefault="00B10931">
      <w:pPr>
        <w:jc w:val="center"/>
        <w:rPr>
          <w:rFonts w:ascii="Times New Roman" w:hAnsi="Times New Roman" w:cs="Times New Roman"/>
        </w:rPr>
      </w:pPr>
      <w:r>
        <w:rPr>
          <w:rFonts w:ascii="Times New Roman" w:hAnsi="Times New Roman" w:cs="Times New Roman"/>
          <w:noProof/>
        </w:rPr>
        <w:pict>
          <v:shape id="Picture 16" o:spid="_x0000_i1032" type="#_x0000_t75" style="width:215.25pt;height:2in;visibility:visible">
            <v:imagedata r:id="rId11" o:title=""/>
          </v:shape>
        </w:pict>
      </w:r>
    </w:p>
    <w:p w:rsidR="00B10931" w:rsidRDefault="00B10931">
      <w:pPr>
        <w:jc w:val="center"/>
        <w:rPr>
          <w:rFonts w:ascii="Times New Roman" w:hAnsi="Times New Roman" w:cs="Times New Roman"/>
          <w:b/>
          <w:bCs/>
        </w:rPr>
      </w:pPr>
      <w:r>
        <w:rPr>
          <w:rFonts w:ascii="Times New Roman" w:hAnsi="Times New Roman" w:cs="Times New Roman"/>
          <w:sz w:val="16"/>
          <w:szCs w:val="16"/>
          <w:vertAlign w:val="superscript"/>
        </w:rPr>
        <w:t>1</w:t>
      </w:r>
      <w:r>
        <w:rPr>
          <w:rFonts w:ascii="Times New Roman" w:hAnsi="Times New Roman" w:cs="Times New Roman"/>
          <w:sz w:val="16"/>
          <w:szCs w:val="16"/>
        </w:rPr>
        <w:t>Study days 0, 30, 90, 180, 365 are presented as mean points and connected with a dashed-line</w:t>
      </w: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p>
    <w:p w:rsidR="00B10931" w:rsidRDefault="00B10931">
      <w:pPr>
        <w:rPr>
          <w:rFonts w:ascii="Times New Roman" w:hAnsi="Times New Roman" w:cs="Times New Roman"/>
          <w:b/>
          <w:bCs/>
        </w:rPr>
      </w:pPr>
      <w:r>
        <w:rPr>
          <w:rFonts w:ascii="Times New Roman" w:hAnsi="Times New Roman" w:cs="Times New Roman"/>
          <w:b/>
          <w:bCs/>
        </w:rPr>
        <w:t>Supplemental Figure 4b: Growth model-based mean Viral Load estimates (natural log) versus un-modeled mean estimates over log-time, unweighted</w:t>
      </w:r>
    </w:p>
    <w:p w:rsidR="00B10931" w:rsidRDefault="00B10931">
      <w:pPr>
        <w:jc w:val="center"/>
        <w:rPr>
          <w:rFonts w:ascii="Times New Roman" w:hAnsi="Times New Roman" w:cs="Times New Roman"/>
        </w:rPr>
      </w:pPr>
      <w:r>
        <w:rPr>
          <w:rFonts w:ascii="Times New Roman" w:hAnsi="Times New Roman" w:cs="Times New Roman"/>
          <w:noProof/>
        </w:rPr>
        <w:pict>
          <v:shape id="Picture 17" o:spid="_x0000_i1033" type="#_x0000_t75" style="width:215.25pt;height:2in;visibility:visible">
            <v:imagedata r:id="rId12" o:title=""/>
          </v:shape>
        </w:pict>
      </w:r>
    </w:p>
    <w:p w:rsidR="00B10931" w:rsidRDefault="00B10931">
      <w:pPr>
        <w:spacing w:after="0" w:line="240" w:lineRule="auto"/>
        <w:jc w:val="center"/>
        <w:rPr>
          <w:rFonts w:ascii="Times New Roman" w:hAnsi="Times New Roman" w:cs="Times New Roman"/>
          <w:sz w:val="16"/>
          <w:szCs w:val="16"/>
        </w:rPr>
      </w:pPr>
      <w:r>
        <w:rPr>
          <w:rFonts w:ascii="Times New Roman" w:hAnsi="Times New Roman" w:cs="Times New Roman"/>
          <w:sz w:val="16"/>
          <w:szCs w:val="16"/>
          <w:vertAlign w:val="superscript"/>
        </w:rPr>
        <w:t>1</w:t>
      </w:r>
      <w:r>
        <w:rPr>
          <w:rFonts w:ascii="Times New Roman" w:hAnsi="Times New Roman" w:cs="Times New Roman"/>
          <w:sz w:val="16"/>
          <w:szCs w:val="16"/>
        </w:rPr>
        <w:t xml:space="preserve">Study days 0, 30, 90, 180, 365 are presented as mean points and connected with a </w:t>
      </w:r>
    </w:p>
    <w:p w:rsidR="00B10931" w:rsidRDefault="00B1093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dashed-line for un-modeled values and a connected-line for growth model estimates</w:t>
      </w:r>
    </w:p>
    <w:p w:rsidR="00B10931" w:rsidRDefault="00B10931">
      <w:pPr>
        <w:spacing w:after="0" w:line="240" w:lineRule="auto"/>
        <w:jc w:val="center"/>
        <w:rPr>
          <w:rFonts w:ascii="Times New Roman" w:hAnsi="Times New Roman" w:cs="Times New Roman"/>
          <w:sz w:val="16"/>
          <w:szCs w:val="16"/>
        </w:rPr>
      </w:pPr>
    </w:p>
    <w:p w:rsidR="00B10931" w:rsidRDefault="00B10931">
      <w:pPr>
        <w:rPr>
          <w:rFonts w:ascii="Times New Roman" w:hAnsi="Times New Roman" w:cs="Times New Roman"/>
          <w:b/>
          <w:bCs/>
        </w:rPr>
      </w:pPr>
      <w:r>
        <w:rPr>
          <w:rFonts w:ascii="Times New Roman" w:hAnsi="Times New Roman" w:cs="Times New Roman"/>
          <w:b/>
          <w:bCs/>
        </w:rPr>
        <w:t>Supplemental Figure 4c: Growth model-based mean Viral Load estimates (natural log) and predicted patient-level observations over log-time, weighted</w:t>
      </w:r>
    </w:p>
    <w:p w:rsidR="00B10931" w:rsidRDefault="00B10931">
      <w:pPr>
        <w:jc w:val="center"/>
        <w:rPr>
          <w:rFonts w:ascii="Times New Roman" w:hAnsi="Times New Roman" w:cs="Times New Roman"/>
        </w:rPr>
      </w:pPr>
      <w:r>
        <w:rPr>
          <w:rFonts w:ascii="Times New Roman" w:hAnsi="Times New Roman" w:cs="Times New Roman"/>
          <w:noProof/>
        </w:rPr>
        <w:pict>
          <v:shape id="Picture 18" o:spid="_x0000_i1034" type="#_x0000_t75" style="width:215.25pt;height:2in;visibility:visible">
            <v:imagedata r:id="rId13" o:title=""/>
          </v:shape>
        </w:pict>
      </w:r>
    </w:p>
    <w:p w:rsidR="00B10931" w:rsidRDefault="00B10931">
      <w:pPr>
        <w:spacing w:after="0" w:line="240" w:lineRule="auto"/>
        <w:jc w:val="center"/>
        <w:rPr>
          <w:rFonts w:ascii="Times New Roman" w:hAnsi="Times New Roman" w:cs="Times New Roman"/>
          <w:sz w:val="16"/>
          <w:szCs w:val="16"/>
        </w:rPr>
      </w:pPr>
      <w:r>
        <w:rPr>
          <w:rFonts w:ascii="Times New Roman" w:hAnsi="Times New Roman" w:cs="Times New Roman"/>
          <w:sz w:val="16"/>
          <w:szCs w:val="16"/>
          <w:vertAlign w:val="superscript"/>
        </w:rPr>
        <w:t>1</w:t>
      </w:r>
      <w:r>
        <w:rPr>
          <w:rFonts w:ascii="Times New Roman" w:hAnsi="Times New Roman" w:cs="Times New Roman"/>
          <w:sz w:val="16"/>
          <w:szCs w:val="16"/>
        </w:rPr>
        <w:t xml:space="preserve">Weighted-growth model estimates for study days 0, 30, 90, 180, 365 </w:t>
      </w:r>
    </w:p>
    <w:p w:rsidR="00B10931" w:rsidRDefault="00B10931">
      <w:pPr>
        <w:jc w:val="center"/>
        <w:rPr>
          <w:rFonts w:ascii="Times New Roman" w:hAnsi="Times New Roman" w:cs="Times New Roman"/>
        </w:rPr>
      </w:pPr>
    </w:p>
    <w:p w:rsidR="00B10931" w:rsidRDefault="00B10931">
      <w:pPr>
        <w:jc w:val="center"/>
        <w:rPr>
          <w:rFonts w:ascii="Times New Roman" w:hAnsi="Times New Roman" w:cs="Times New Roman"/>
          <w:u w:val="single"/>
        </w:rPr>
      </w:pPr>
    </w:p>
    <w:p w:rsidR="00B10931" w:rsidRDefault="00B10931">
      <w:pPr>
        <w:jc w:val="center"/>
        <w:rPr>
          <w:rFonts w:ascii="Times New Roman" w:hAnsi="Times New Roman" w:cs="Times New Roman"/>
          <w:u w:val="single"/>
        </w:rPr>
      </w:pPr>
    </w:p>
    <w:p w:rsidR="00B10931" w:rsidRDefault="00B10931">
      <w:pPr>
        <w:jc w:val="center"/>
        <w:rPr>
          <w:rFonts w:ascii="Times New Roman" w:hAnsi="Times New Roman" w:cs="Times New Roman"/>
          <w:u w:val="single"/>
        </w:rPr>
      </w:pPr>
    </w:p>
    <w:p w:rsidR="00B10931" w:rsidRDefault="00B10931">
      <w:pPr>
        <w:jc w:val="center"/>
        <w:rPr>
          <w:rFonts w:ascii="Times New Roman" w:hAnsi="Times New Roman" w:cs="Times New Roman"/>
          <w:u w:val="single"/>
        </w:rPr>
      </w:pPr>
    </w:p>
    <w:p w:rsidR="00B10931" w:rsidRDefault="00B10931">
      <w:pPr>
        <w:jc w:val="center"/>
        <w:rPr>
          <w:rFonts w:ascii="Times New Roman" w:hAnsi="Times New Roman" w:cs="Times New Roman"/>
          <w:u w:val="single"/>
        </w:rPr>
      </w:pPr>
    </w:p>
    <w:p w:rsidR="00B10931" w:rsidRDefault="00B10931">
      <w:pPr>
        <w:jc w:val="center"/>
        <w:rPr>
          <w:rFonts w:ascii="Times New Roman" w:hAnsi="Times New Roman" w:cs="Times New Roman"/>
          <w:u w:val="single"/>
        </w:rPr>
      </w:pPr>
    </w:p>
    <w:p w:rsidR="00B10931" w:rsidRDefault="00B10931">
      <w:pPr>
        <w:jc w:val="center"/>
        <w:rPr>
          <w:rFonts w:ascii="Times New Roman" w:hAnsi="Times New Roman" w:cs="Times New Roman"/>
          <w:u w:val="single"/>
        </w:rPr>
      </w:pPr>
    </w:p>
    <w:p w:rsidR="00B10931" w:rsidRDefault="00B10931">
      <w:pPr>
        <w:jc w:val="center"/>
        <w:rPr>
          <w:rFonts w:ascii="Times New Roman" w:hAnsi="Times New Roman" w:cs="Times New Roman"/>
          <w:u w:val="single"/>
        </w:rPr>
      </w:pPr>
    </w:p>
    <w:p w:rsidR="00B10931" w:rsidRDefault="00B10931">
      <w:pPr>
        <w:jc w:val="center"/>
        <w:rPr>
          <w:rFonts w:ascii="Times New Roman" w:hAnsi="Times New Roman" w:cs="Times New Roman"/>
          <w:u w:val="single"/>
        </w:rPr>
      </w:pPr>
    </w:p>
    <w:p w:rsidR="00B10931" w:rsidRDefault="00B10931">
      <w:pPr>
        <w:jc w:val="center"/>
        <w:rPr>
          <w:rFonts w:ascii="Times New Roman" w:hAnsi="Times New Roman" w:cs="Times New Roman"/>
          <w:u w:val="single"/>
        </w:rPr>
      </w:pPr>
    </w:p>
    <w:p w:rsidR="00B10931" w:rsidRDefault="00B10931">
      <w:pPr>
        <w:rPr>
          <w:rFonts w:ascii="Times New Roman" w:hAnsi="Times New Roman" w:cs="Times New Roman"/>
          <w:b/>
          <w:bCs/>
        </w:rPr>
      </w:pPr>
      <w:r>
        <w:rPr>
          <w:rFonts w:ascii="Times New Roman" w:hAnsi="Times New Roman" w:cs="Times New Roman"/>
          <w:b/>
          <w:bCs/>
        </w:rPr>
        <w:t>References</w:t>
      </w:r>
    </w:p>
    <w:p w:rsidR="00B10931" w:rsidRDefault="00B10931">
      <w:pPr>
        <w:pStyle w:val="EndNoteBibliography"/>
        <w:spacing w:after="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t xml:space="preserve">1. Austin PC, Stuart EA. </w:t>
      </w:r>
      <w:r>
        <w:rPr>
          <w:b/>
          <w:bCs/>
        </w:rPr>
        <w:t>Moving towards best practice when using inverse probability of treatment weighting (IPTW) using the propensity score to estimate causal treatment effects in observational studies</w:t>
      </w:r>
      <w:r>
        <w:t xml:space="preserve">. </w:t>
      </w:r>
      <w:r>
        <w:rPr>
          <w:i/>
          <w:iCs/>
        </w:rPr>
        <w:t xml:space="preserve">Stat Med </w:t>
      </w:r>
      <w:r>
        <w:t>2015; 34(28):3661-3679.</w:t>
      </w:r>
    </w:p>
    <w:p w:rsidR="00B10931" w:rsidRDefault="00B10931">
      <w:pPr>
        <w:pStyle w:val="EndNoteBibliography"/>
        <w:spacing w:after="0"/>
      </w:pPr>
      <w:r>
        <w:t xml:space="preserve">2. PR. R. </w:t>
      </w:r>
      <w:r>
        <w:rPr>
          <w:b/>
          <w:bCs/>
        </w:rPr>
        <w:t>Model-based direct adjustment.</w:t>
      </w:r>
      <w:r>
        <w:t xml:space="preserve"> </w:t>
      </w:r>
      <w:r>
        <w:rPr>
          <w:i/>
          <w:iCs/>
        </w:rPr>
        <w:t xml:space="preserve">Journal of the American Statistical Association </w:t>
      </w:r>
      <w:r>
        <w:t>1987; 82:387–394.</w:t>
      </w:r>
    </w:p>
    <w:p w:rsidR="00B10931" w:rsidRDefault="00B10931">
      <w:pPr>
        <w:pStyle w:val="EndNoteBibliography"/>
        <w:spacing w:after="0"/>
      </w:pPr>
      <w:r>
        <w:t xml:space="preserve">3. Lee BK, Lessler J, Stuart EA. </w:t>
      </w:r>
      <w:r>
        <w:rPr>
          <w:b/>
          <w:bCs/>
        </w:rPr>
        <w:t>Weight trimming and propensity score weighting</w:t>
      </w:r>
      <w:r>
        <w:t xml:space="preserve">. </w:t>
      </w:r>
      <w:r>
        <w:rPr>
          <w:i/>
          <w:iCs/>
        </w:rPr>
        <w:t xml:space="preserve">PLoS One </w:t>
      </w:r>
      <w:r>
        <w:t>2011; 6(3):e18174.</w:t>
      </w:r>
    </w:p>
    <w:p w:rsidR="00B10931" w:rsidRDefault="00B10931">
      <w:pPr>
        <w:pStyle w:val="EndNoteBibliography"/>
        <w:spacing w:after="0"/>
      </w:pPr>
      <w:r>
        <w:t xml:space="preserve">4. Austin PC. </w:t>
      </w:r>
      <w:r>
        <w:rPr>
          <w:b/>
          <w:bCs/>
        </w:rPr>
        <w:t>Balance diagnostics for comparing the distribution of baseline covariates between treatment groups in propensity-score matched samples</w:t>
      </w:r>
      <w:r>
        <w:t xml:space="preserve">. </w:t>
      </w:r>
      <w:r>
        <w:rPr>
          <w:i/>
          <w:iCs/>
        </w:rPr>
        <w:t xml:space="preserve">Stat Med </w:t>
      </w:r>
      <w:r>
        <w:t>2009; 28(25):3083-3107.</w:t>
      </w:r>
    </w:p>
    <w:p w:rsidR="00B10931" w:rsidRDefault="00B10931">
      <w:pPr>
        <w:pStyle w:val="EndNoteBibliography"/>
        <w:spacing w:after="0"/>
      </w:pPr>
      <w:r>
        <w:t xml:space="preserve">5. Pirracchio R, Petersen ML, van der Laan M. </w:t>
      </w:r>
      <w:r>
        <w:rPr>
          <w:b/>
          <w:bCs/>
        </w:rPr>
        <w:t>Improving propensity score estimators' robustness to model misspecification using super learner</w:t>
      </w:r>
      <w:r>
        <w:t xml:space="preserve">. </w:t>
      </w:r>
      <w:r>
        <w:rPr>
          <w:i/>
          <w:iCs/>
        </w:rPr>
        <w:t xml:space="preserve">Am J Epidemiol </w:t>
      </w:r>
      <w:r>
        <w:t>2015; 181(2):108-119.</w:t>
      </w:r>
    </w:p>
    <w:p w:rsidR="00B10931" w:rsidRDefault="00B10931">
      <w:pPr>
        <w:pStyle w:val="EndNoteBibliography"/>
        <w:spacing w:after="0"/>
      </w:pPr>
      <w:r>
        <w:t xml:space="preserve">6. McCaffrey DF, Griffin BA, Almirall D, Slaughter ME, Ramchand R, Burgette LF. </w:t>
      </w:r>
      <w:r>
        <w:rPr>
          <w:b/>
          <w:bCs/>
        </w:rPr>
        <w:t>A tutorial on propensity score estimation for multiple treatments using generalized boosted models</w:t>
      </w:r>
      <w:r>
        <w:t xml:space="preserve">. </w:t>
      </w:r>
      <w:r>
        <w:rPr>
          <w:i/>
          <w:iCs/>
        </w:rPr>
        <w:t xml:space="preserve">Stat Med </w:t>
      </w:r>
      <w:r>
        <w:t>2013; 32(19):3388-3414.</w:t>
      </w:r>
    </w:p>
    <w:p w:rsidR="00B10931" w:rsidRDefault="00B10931">
      <w:pPr>
        <w:pStyle w:val="EndNoteBibliography"/>
        <w:spacing w:after="0"/>
      </w:pPr>
      <w:r>
        <w:t xml:space="preserve">7. Cohen J. </w:t>
      </w:r>
      <w:r>
        <w:rPr>
          <w:b/>
          <w:bCs/>
        </w:rPr>
        <w:t>Statistical power analysis for the behavioral sciences (2nd ed.)</w:t>
      </w:r>
      <w:r>
        <w:rPr>
          <w:rFonts w:ascii="Times New Roman" w:hAnsi="Times New Roman" w:cs="Times New Roman"/>
          <w:i/>
          <w:iCs/>
        </w:rPr>
        <w:t>.</w:t>
      </w:r>
      <w:r>
        <w:t xml:space="preserve"> Lawrence Earlbaum Associates.; 1988.</w:t>
      </w:r>
    </w:p>
    <w:p w:rsidR="00B10931" w:rsidRDefault="00B10931">
      <w:pPr>
        <w:pStyle w:val="EndNoteBibliography"/>
      </w:pPr>
      <w:r>
        <w:t xml:space="preserve">8. Schluchter M, Elashoff J. </w:t>
      </w:r>
      <w:r>
        <w:rPr>
          <w:b/>
          <w:bCs/>
        </w:rPr>
        <w:t xml:space="preserve">Small-sample adjustments to tests with unbalanced repeated measures assuming several covariance structures. </w:t>
      </w:r>
      <w:r>
        <w:t xml:space="preserve">. </w:t>
      </w:r>
      <w:r>
        <w:rPr>
          <w:i/>
          <w:iCs/>
        </w:rPr>
        <w:t xml:space="preserve">Journal of Statistical Computation and Simulation </w:t>
      </w:r>
      <w:r>
        <w:t>1990; 37(1-2):69-87.</w:t>
      </w:r>
    </w:p>
    <w:p w:rsidR="00B10931" w:rsidRDefault="00B10931">
      <w:pPr>
        <w:rPr>
          <w:rFonts w:ascii="Times New Roman" w:hAnsi="Times New Roman" w:cs="Times New Roman"/>
          <w:sz w:val="20"/>
          <w:szCs w:val="20"/>
        </w:rPr>
      </w:pPr>
      <w:r>
        <w:rPr>
          <w:rFonts w:ascii="Times New Roman" w:hAnsi="Times New Roman" w:cs="Times New Roman"/>
        </w:rPr>
        <w:fldChar w:fldCharType="end"/>
      </w:r>
    </w:p>
    <w:p w:rsidR="00B10931" w:rsidRDefault="00B10931">
      <w:pPr>
        <w:spacing w:line="480" w:lineRule="auto"/>
        <w:rPr>
          <w:rFonts w:ascii="Times New Roman" w:hAnsi="Times New Roman" w:cs="Times New Roman"/>
          <w:sz w:val="24"/>
          <w:szCs w:val="24"/>
        </w:rPr>
      </w:pPr>
    </w:p>
    <w:sectPr w:rsidR="00B10931" w:rsidSect="00B1093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C84867"/>
    <w:multiLevelType w:val="hybridMultilevel"/>
    <w:tmpl w:val="C96CCF3E"/>
    <w:lvl w:ilvl="0" w:tplc="634CE70E">
      <w:start w:val="1"/>
      <w:numFmt w:val="decimal"/>
      <w:lvlText w:val="%1)"/>
      <w:lvlJc w:val="left"/>
      <w:pPr>
        <w:ind w:left="720" w:hanging="360"/>
      </w:pPr>
      <w:rPr>
        <w:rFonts w:ascii="Calibri" w:hAnsi="Calibri" w:cs="Calibri" w:hint="default"/>
        <w:color w:val="00000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defaultTabStop w:val="720"/>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AID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rr9x50a0w5ege2vxzp5ezgr95arfxrfsrt&quot;&gt;My EndNote Library&lt;record-ids&gt;&lt;item&gt;122&lt;/item&gt;&lt;item&gt;180&lt;/item&gt;&lt;item&gt;181&lt;/item&gt;&lt;item&gt;182&lt;/item&gt;&lt;item&gt;183&lt;/item&gt;&lt;item&gt;184&lt;/item&gt;&lt;item&gt;190&lt;/item&gt;&lt;item&gt;191&lt;/item&gt;&lt;item&gt;192&lt;/item&gt;&lt;/record-ids&gt;&lt;/item&gt;&lt;/Libraries&gt;"/>
  </w:docVars>
  <w:rsids>
    <w:rsidRoot w:val="00B10931"/>
    <w:rsid w:val="00B1093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after="0" w:line="240" w:lineRule="auto"/>
    </w:pPr>
    <w:rPr>
      <w:rFonts w:ascii="Times New Roman" w:hAnsi="Times New Roman" w:cstheme="minorBidi"/>
      <w:sz w:val="24"/>
      <w:szCs w:val="24"/>
    </w:rPr>
  </w:style>
  <w:style w:type="paragraph" w:styleId="ListParagraph">
    <w:name w:val="List Paragraph"/>
    <w:basedOn w:val="Normal"/>
    <w:uiPriority w:val="99"/>
    <w:qFormat/>
    <w:pPr>
      <w:ind w:left="720"/>
    </w:p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styleId="Strong">
    <w:name w:val="Strong"/>
    <w:basedOn w:val="DefaultParagraphFont"/>
    <w:uiPriority w:val="99"/>
    <w:qFormat/>
    <w:rPr>
      <w:b/>
      <w:bCs/>
    </w:rPr>
  </w:style>
  <w:style w:type="paragraph" w:styleId="NoSpacing">
    <w:name w:val="No Spacing"/>
    <w:uiPriority w:val="99"/>
    <w:qFormat/>
    <w:rPr>
      <w:rFonts w:ascii="Calibri" w:hAnsi="Calibri" w:cs="Calibri"/>
    </w:rPr>
  </w:style>
  <w:style w:type="paragraph" w:customStyle="1" w:styleId="EndNoteBibliographyTitle">
    <w:name w:val="EndNote Bibliography Title"/>
    <w:basedOn w:val="Normal"/>
    <w:uiPriority w:val="99"/>
    <w:pPr>
      <w:spacing w:after="0"/>
      <w:jc w:val="center"/>
    </w:pPr>
    <w:rPr>
      <w:noProof/>
    </w:rPr>
  </w:style>
  <w:style w:type="character" w:customStyle="1" w:styleId="EndNoteBibliographyTitleChar">
    <w:name w:val="EndNote Bibliography Title Char"/>
    <w:basedOn w:val="DefaultParagraphFont"/>
    <w:uiPriority w:val="99"/>
    <w:rPr>
      <w:rFonts w:ascii="Calibri" w:hAnsi="Calibri" w:cs="Calibri"/>
      <w:noProof/>
    </w:rPr>
  </w:style>
  <w:style w:type="paragraph" w:customStyle="1" w:styleId="EndNoteBibliography">
    <w:name w:val="EndNote Bibliography"/>
    <w:basedOn w:val="Normal"/>
    <w:uiPriority w:val="99"/>
    <w:pPr>
      <w:spacing w:line="240" w:lineRule="auto"/>
    </w:pPr>
    <w:rPr>
      <w:noProof/>
    </w:rPr>
  </w:style>
  <w:style w:type="character" w:customStyle="1" w:styleId="EndNoteBibliographyChar">
    <w:name w:val="EndNote Bibliography Char"/>
    <w:basedOn w:val="DefaultParagraphFont"/>
    <w:uiPriority w:val="99"/>
    <w:rPr>
      <w:rFonts w:ascii="Calibri" w:hAnsi="Calibri" w:cs="Calibri"/>
      <w:noProof/>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rPr>
  </w:style>
  <w:style w:type="paragraph" w:customStyle="1" w:styleId="RTFOutput">
    <w:name w:val="RTFOutput"/>
    <w:uiPriority w:val="99"/>
    <w:pPr>
      <w:autoSpaceDE w:val="0"/>
      <w:autoSpaceDN w:val="0"/>
    </w:pPr>
    <w:rPr>
      <w:rFonts w:ascii="Arial" w:hAnsi="Arial" w:cs="Arial"/>
      <w:sz w:val="20"/>
      <w:szCs w:val="20"/>
    </w:rPr>
  </w:style>
  <w:style w:type="character" w:styleId="PlaceholderText">
    <w:name w:val="Placeholder Text"/>
    <w:basedOn w:val="DefaultParagraphFont"/>
    <w:uiPriority w:val="99"/>
    <w:rPr>
      <w:rFonts w:ascii="Times New Roman" w:hAnsi="Times New Roman" w:cs="Times New Roman"/>
      <w:color w:val="808080"/>
    </w:rPr>
  </w:style>
  <w:style w:type="character" w:customStyle="1" w:styleId="author">
    <w:name w:val="author"/>
    <w:basedOn w:val="DefaultParagraphFont"/>
    <w:uiPriority w:val="99"/>
    <w:rPr>
      <w:rFonts w:ascii="Times New Roman" w:hAnsi="Times New Roman" w:cs="Times New Roman"/>
    </w:rPr>
  </w:style>
  <w:style w:type="character" w:customStyle="1" w:styleId="apple-converted-space">
    <w:name w:val="apple-converted-space"/>
    <w:basedOn w:val="DefaultParagraphFont"/>
    <w:uiPriority w:val="99"/>
    <w:rPr>
      <w:rFonts w:ascii="Times New Roman" w:hAnsi="Times New Roman" w:cs="Times New Roman"/>
    </w:rPr>
  </w:style>
  <w:style w:type="character" w:customStyle="1" w:styleId="pubyear">
    <w:name w:val="pubyear"/>
    <w:basedOn w:val="DefaultParagraphFont"/>
    <w:uiPriority w:val="99"/>
    <w:rPr>
      <w:rFonts w:ascii="Times New Roman" w:hAnsi="Times New Roman" w:cs="Times New Roman"/>
    </w:rPr>
  </w:style>
  <w:style w:type="character" w:customStyle="1" w:styleId="articletitle">
    <w:name w:val="articletitle"/>
    <w:basedOn w:val="DefaultParagraphFont"/>
    <w:uiPriority w:val="99"/>
    <w:rPr>
      <w:rFonts w:ascii="Times New Roman" w:hAnsi="Times New Roman" w:cs="Times New Roman"/>
    </w:rPr>
  </w:style>
  <w:style w:type="character" w:customStyle="1" w:styleId="journaltitle">
    <w:name w:val="journaltitle"/>
    <w:basedOn w:val="DefaultParagraphFont"/>
    <w:uiPriority w:val="99"/>
    <w:rPr>
      <w:rFonts w:ascii="Times New Roman" w:hAnsi="Times New Roman" w:cs="Times New Roman"/>
    </w:rPr>
  </w:style>
  <w:style w:type="character" w:customStyle="1" w:styleId="vol">
    <w:name w:val="vol"/>
    <w:basedOn w:val="DefaultParagraphFont"/>
    <w:uiPriority w:val="99"/>
    <w:rPr>
      <w:rFonts w:ascii="Times New Roman" w:hAnsi="Times New Roman" w:cs="Times New Roman"/>
    </w:rPr>
  </w:style>
  <w:style w:type="character" w:customStyle="1" w:styleId="pagefirst">
    <w:name w:val="pagefirst"/>
    <w:basedOn w:val="DefaultParagraphFont"/>
    <w:uiPriority w:val="99"/>
    <w:rPr>
      <w:rFonts w:ascii="Times New Roman" w:hAnsi="Times New Roman" w:cs="Times New Roman"/>
    </w:rPr>
  </w:style>
  <w:style w:type="character" w:customStyle="1" w:styleId="pagelast">
    <w:name w:val="pagelast"/>
    <w:basedOn w:val="DefaultParagraphFont"/>
    <w:uiPriority w:val="99"/>
    <w:rPr>
      <w:rFonts w:ascii="Times New Roman" w:hAnsi="Times New Roman" w:cs="Times New Roman"/>
    </w:rPr>
  </w:style>
  <w:style w:type="character" w:styleId="Hyperlink">
    <w:name w:val="Hyperlink"/>
    <w:basedOn w:val="DefaultParagraphFont"/>
    <w:uiPriority w:val="99"/>
    <w:rPr>
      <w:rFonts w:ascii="Times New Roman" w:hAnsi="Times New Roman"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16</Pages>
  <Words>5795</Words>
  <Characters>-32766</Characters>
  <Application>Microsoft Office Outlook</Application>
  <DocSecurity>0</DocSecurity>
  <Lines>0</Lines>
  <Paragraphs>0</Paragraphs>
  <ScaleCrop>false</ScaleCrop>
  <Company>Emory University, Neurology and Psychiatry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Graves, Chanda Cottingham</dc:creator>
  <cp:keywords/>
  <dc:description/>
  <cp:lastModifiedBy>TEESLWW</cp:lastModifiedBy>
  <cp:revision>3</cp:revision>
  <cp:lastPrinted>2017-03-14T13:49:00Z</cp:lastPrinted>
  <dcterms:created xsi:type="dcterms:W3CDTF">2017-03-22T03:15:00Z</dcterms:created>
  <dcterms:modified xsi:type="dcterms:W3CDTF">2017-04-14T10:02:00Z</dcterms:modified>
</cp:coreProperties>
</file>