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EF" w:rsidRDefault="007020EF" w:rsidP="007020EF">
      <w:pPr>
        <w:pStyle w:val="CM3"/>
        <w:pageBreakBefore/>
        <w:jc w:val="center"/>
        <w:rPr>
          <w:rFonts w:cs="YTGICX+TimesNewRomanPS-BoldMT"/>
          <w:color w:val="000000"/>
          <w:sz w:val="21"/>
          <w:szCs w:val="21"/>
        </w:rPr>
      </w:pPr>
      <w:r>
        <w:rPr>
          <w:rFonts w:cs="YTGICX+TimesNewRomanPS-BoldMT"/>
          <w:b/>
          <w:bCs/>
          <w:color w:val="000000"/>
          <w:sz w:val="21"/>
          <w:szCs w:val="21"/>
        </w:rPr>
        <w:t>SUPPLEMENTAL DIGITAL CONTENT – TABLE 1. Demographics and Clinical Characteristics of KSHV-</w:t>
      </w:r>
      <w:proofErr w:type="spellStart"/>
      <w:r>
        <w:rPr>
          <w:rFonts w:cs="YTGICX+TimesNewRomanPS-BoldMT"/>
          <w:b/>
          <w:bCs/>
          <w:color w:val="000000"/>
          <w:sz w:val="21"/>
          <w:szCs w:val="21"/>
        </w:rPr>
        <w:t>Seropositive</w:t>
      </w:r>
      <w:proofErr w:type="spellEnd"/>
      <w:r>
        <w:rPr>
          <w:rFonts w:cs="YTGICX+TimesNewRomanPS-BoldMT"/>
          <w:b/>
          <w:bCs/>
          <w:color w:val="000000"/>
          <w:sz w:val="21"/>
          <w:szCs w:val="21"/>
        </w:rPr>
        <w:t xml:space="preserve"> and </w:t>
      </w:r>
      <w:r>
        <w:rPr>
          <w:rFonts w:cs="YTGICX+TimesNewRomanPS-BoldMT"/>
          <w:b/>
          <w:bCs/>
          <w:color w:val="000000"/>
          <w:sz w:val="21"/>
          <w:szCs w:val="21"/>
        </w:rPr>
        <w:softHyphen/>
      </w:r>
    </w:p>
    <w:p w:rsidR="007020EF" w:rsidRDefault="007020EF" w:rsidP="007020EF">
      <w:pPr>
        <w:pStyle w:val="Default"/>
        <w:ind w:left="297"/>
        <w:rPr>
          <w:sz w:val="21"/>
          <w:szCs w:val="21"/>
        </w:rPr>
      </w:pPr>
      <w:proofErr w:type="spellStart"/>
      <w:r>
        <w:rPr>
          <w:b/>
          <w:bCs/>
          <w:sz w:val="21"/>
          <w:szCs w:val="21"/>
        </w:rPr>
        <w:t>Seronegative</w:t>
      </w:r>
      <w:proofErr w:type="spellEnd"/>
      <w:r>
        <w:rPr>
          <w:b/>
          <w:bCs/>
          <w:sz w:val="21"/>
          <w:szCs w:val="21"/>
        </w:rPr>
        <w:t xml:space="preserve"> Patients </w:t>
      </w:r>
    </w:p>
    <w:p w:rsidR="007020EF" w:rsidRDefault="007020EF" w:rsidP="007020EF">
      <w:pPr>
        <w:pStyle w:val="CM6"/>
        <w:spacing w:after="193" w:line="191" w:lineRule="atLeast"/>
        <w:ind w:firstLine="257"/>
        <w:rPr>
          <w:rFonts w:cs="YTGICX+TimesNewRomanPS-BoldMT"/>
          <w:color w:val="000000"/>
          <w:sz w:val="16"/>
          <w:szCs w:val="16"/>
        </w:rPr>
      </w:pPr>
      <w:r>
        <w:rPr>
          <w:rFonts w:ascii="MVHGYW+TimesNewRomanPS-BoldItal" w:hAnsi="MVHGYW+TimesNewRomanPS-BoldItal" w:cs="MVHGYW+TimesNewRomanPS-BoldItal"/>
          <w:b/>
          <w:bCs/>
          <w:i/>
          <w:iCs/>
          <w:color w:val="000000"/>
          <w:sz w:val="16"/>
          <w:szCs w:val="16"/>
        </w:rPr>
        <w:t xml:space="preserve">LANA ORF65 ANY BOTH </w:t>
      </w:r>
      <w:r>
        <w:rPr>
          <w:rFonts w:cs="YTGICX+TimesNewRomanPS-BoldMT"/>
          <w:b/>
          <w:bCs/>
          <w:color w:val="000000"/>
          <w:sz w:val="16"/>
          <w:szCs w:val="16"/>
        </w:rPr>
        <w:t xml:space="preserve">Total PN </w:t>
      </w:r>
      <w:proofErr w:type="spellStart"/>
      <w:r>
        <w:rPr>
          <w:rFonts w:cs="YTGICX+TimesNewRomanPS-BoldMT"/>
          <w:b/>
          <w:bCs/>
          <w:color w:val="000000"/>
          <w:sz w:val="16"/>
          <w:szCs w:val="16"/>
        </w:rPr>
        <w:t>PN</w:t>
      </w:r>
      <w:proofErr w:type="spellEnd"/>
      <w:r>
        <w:rPr>
          <w:rFonts w:cs="YTGICX+TimesNewRomanPS-BoldMT"/>
          <w:b/>
          <w:bCs/>
          <w:color w:val="000000"/>
          <w:sz w:val="16"/>
          <w:szCs w:val="16"/>
        </w:rPr>
        <w:t xml:space="preserve"> PNPN # (%) </w:t>
      </w:r>
    </w:p>
    <w:p w:rsidR="007020EF" w:rsidRDefault="007020EF" w:rsidP="007020EF">
      <w:pPr>
        <w:pStyle w:val="CM4"/>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7"/>
        <w:spacing w:after="167" w:line="191" w:lineRule="atLeast"/>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7"/>
        <w:spacing w:after="167" w:line="191" w:lineRule="atLeast"/>
        <w:jc w:val="center"/>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7"/>
        <w:spacing w:after="167" w:line="191" w:lineRule="atLeast"/>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7"/>
        <w:spacing w:after="167" w:line="191" w:lineRule="atLeast"/>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7"/>
        <w:spacing w:after="167" w:line="191" w:lineRule="atLeast"/>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CM6"/>
        <w:spacing w:after="193" w:line="191" w:lineRule="atLeast"/>
        <w:rPr>
          <w:rFonts w:cs="YTGICX+TimesNewRomanPS-BoldMT"/>
          <w:color w:val="000000"/>
          <w:sz w:val="16"/>
          <w:szCs w:val="16"/>
        </w:rPr>
      </w:pPr>
      <w:r>
        <w:rPr>
          <w:rFonts w:cs="YTGICX+TimesNewRomanPS-BoldMT"/>
          <w:b/>
          <w:bCs/>
          <w:color w:val="000000"/>
          <w:sz w:val="16"/>
          <w:szCs w:val="16"/>
        </w:rPr>
        <w:t xml:space="preserve"># (%) </w:t>
      </w:r>
    </w:p>
    <w:p w:rsidR="007020EF" w:rsidRDefault="007020EF" w:rsidP="007020EF">
      <w:pPr>
        <w:pStyle w:val="Default"/>
        <w:spacing w:line="198" w:lineRule="atLeast"/>
        <w:ind w:right="235" w:firstLine="10165"/>
        <w:jc w:val="both"/>
        <w:rPr>
          <w:sz w:val="16"/>
          <w:szCs w:val="16"/>
        </w:rPr>
      </w:pPr>
      <w:r>
        <w:rPr>
          <w:b/>
          <w:bCs/>
          <w:sz w:val="16"/>
          <w:szCs w:val="16"/>
        </w:rPr>
        <w:t xml:space="preserve"># (%) Demographics </w:t>
      </w:r>
    </w:p>
    <w:p w:rsidR="007020EF" w:rsidRDefault="007020EF" w:rsidP="007020EF">
      <w:pPr>
        <w:pStyle w:val="Default"/>
        <w:spacing w:line="186" w:lineRule="atLeast"/>
        <w:ind w:hanging="1663"/>
        <w:jc w:val="both"/>
        <w:rPr>
          <w:rFonts w:ascii="MMNNLW+TimesNewRomanPSMT" w:hAnsi="MMNNLW+TimesNewRomanPSMT" w:cs="MMNNLW+TimesNewRomanPSMT"/>
          <w:sz w:val="16"/>
          <w:szCs w:val="16"/>
        </w:rPr>
      </w:pPr>
      <w:r>
        <w:rPr>
          <w:rFonts w:ascii="MMNNLW+TimesNewRomanPSMT" w:hAnsi="MMNNLW+TimesNewRomanPSMT" w:cs="MMNNLW+TimesNewRomanPSMT"/>
          <w:sz w:val="16"/>
          <w:szCs w:val="16"/>
        </w:rPr>
        <w:t xml:space="preserve">Gender Female 1 (1) 53 (18) 6 (6) 48 (17) 7 (5) 47 (19) 0 (0) 54 (16) 54 (14) Male 81 (99) 248 (82) 101 (94) 228 (83) 133 (95) 196 (81) 49 (100) 280 (84) 329 (86) Total 82 (100) 301 (100) 107 (100) 276 (100) 140 (100) 243 (100) 49 (100) 334 (100) 383 (100) </w:t>
      </w:r>
    </w:p>
    <w:p w:rsidR="007020EF" w:rsidRDefault="007020EF" w:rsidP="007020EF">
      <w:pPr>
        <w:pStyle w:val="CM4"/>
        <w:rPr>
          <w:rFonts w:ascii="MMNNLW+TimesNewRomanPSMT" w:hAnsi="MMNNLW+TimesNewRomanPSMT" w:cs="MMNNLW+TimesNewRomanPSMT"/>
          <w:color w:val="000000"/>
          <w:sz w:val="16"/>
          <w:szCs w:val="16"/>
        </w:rPr>
      </w:pPr>
      <w:r>
        <w:rPr>
          <w:rFonts w:ascii="MMNNLW+TimesNewRomanPSMT" w:hAnsi="MMNNLW+TimesNewRomanPSMT" w:cs="MMNNLW+TimesNewRomanPSMT"/>
          <w:color w:val="000000"/>
          <w:sz w:val="16"/>
          <w:szCs w:val="16"/>
        </w:rPr>
        <w:t xml:space="preserve">Age (yr) </w:t>
      </w:r>
      <w:r>
        <w:rPr>
          <w:rFonts w:ascii="MMNNLW+TimesNewRomanPSMT" w:hAnsi="MMNNLW+TimesNewRomanPSMT" w:cs="MMNNLW+TimesNewRomanPSMT"/>
          <w:color w:val="000000"/>
          <w:sz w:val="16"/>
          <w:szCs w:val="16"/>
          <w:u w:val="single"/>
        </w:rPr>
        <w:t>&lt;</w:t>
      </w:r>
      <w:r>
        <w:rPr>
          <w:rFonts w:ascii="MMNNLW+TimesNewRomanPSMT" w:hAnsi="MMNNLW+TimesNewRomanPSMT" w:cs="MMNNLW+TimesNewRomanPSMT"/>
          <w:color w:val="000000"/>
          <w:sz w:val="16"/>
          <w:szCs w:val="16"/>
        </w:rPr>
        <w:t xml:space="preserve">35 25 (30) 89 (30) 33 (31) 81 (29) 39 (28) 75 (31) 19 (39) 95 (28) 114 (30) </w:t>
      </w:r>
    </w:p>
    <w:p w:rsidR="007020EF" w:rsidRDefault="007020EF" w:rsidP="007020EF">
      <w:pPr>
        <w:pStyle w:val="Default"/>
        <w:spacing w:line="186" w:lineRule="atLeast"/>
        <w:ind w:left="1862" w:hanging="63"/>
        <w:jc w:val="both"/>
        <w:rPr>
          <w:rFonts w:ascii="MMNNLW+TimesNewRomanPSMT" w:hAnsi="MMNNLW+TimesNewRomanPSMT" w:cs="MMNNLW+TimesNewRomanPSMT"/>
          <w:sz w:val="16"/>
          <w:szCs w:val="16"/>
        </w:rPr>
      </w:pPr>
      <w:r>
        <w:rPr>
          <w:rFonts w:ascii="MMNNLW+TimesNewRomanPSMT" w:hAnsi="MMNNLW+TimesNewRomanPSMT" w:cs="MMNNLW+TimesNewRomanPSMT"/>
          <w:sz w:val="16"/>
          <w:szCs w:val="16"/>
        </w:rPr>
        <w:t xml:space="preserve">35-45 36 (44) 135 (45) 49 (46) 122 (44) 65 (46) 106 (44) 20 (41) 151 (45) 171 (45) &gt;45 21 (26) 77 (26) 25 (23) 73 (26) 36 (26) 62 (26) 10 (20) 88 (26) 98 (26) Total 82 (100) 301 (100) 107 (100) 276 (100) 140 (100) 243 (100) 49 (100) 334 (100) 383 (100) </w:t>
      </w:r>
    </w:p>
    <w:p w:rsidR="007020EF" w:rsidRDefault="007020EF" w:rsidP="007020EF">
      <w:pPr>
        <w:pStyle w:val="Default"/>
        <w:spacing w:line="186" w:lineRule="atLeast"/>
        <w:ind w:hanging="1768"/>
        <w:rPr>
          <w:rFonts w:ascii="MMNNLW+TimesNewRomanPSMT" w:hAnsi="MMNNLW+TimesNewRomanPSMT" w:cs="MMNNLW+TimesNewRomanPSMT"/>
          <w:sz w:val="16"/>
          <w:szCs w:val="16"/>
        </w:rPr>
      </w:pPr>
      <w:r>
        <w:rPr>
          <w:rFonts w:ascii="MMNNLW+TimesNewRomanPSMT" w:hAnsi="MMNNLW+TimesNewRomanPSMT" w:cs="MMNNLW+TimesNewRomanPSMT"/>
          <w:sz w:val="16"/>
          <w:szCs w:val="16"/>
        </w:rPr>
        <w:t xml:space="preserve">Ethnicity Non-H 50 (61) 174 (58) 56 (52) 168 (61) 80 (57) 144 (59) 26 (53) 198 (59) 224 (58) H 32 (39) 127 (42) 51 (48) 108 (39) 60 (43) 99 (41) 23 (47) 136 (41) 159 (42) Total 82 (100) 301 (100) 107 (100) 276 (100) 140 (100) 243 (100) 49 (100) 334 (100) 383 (100) </w:t>
      </w:r>
    </w:p>
    <w:p w:rsidR="007020EF" w:rsidRDefault="007020EF" w:rsidP="007020EF">
      <w:pPr>
        <w:pStyle w:val="Default"/>
        <w:spacing w:line="186" w:lineRule="atLeast"/>
        <w:ind w:hanging="170"/>
        <w:rPr>
          <w:rFonts w:ascii="MMNNLW+TimesNewRomanPSMT" w:hAnsi="MMNNLW+TimesNewRomanPSMT" w:cs="MMNNLW+TimesNewRomanPSMT"/>
          <w:sz w:val="14"/>
          <w:szCs w:val="14"/>
        </w:rPr>
      </w:pPr>
      <w:r>
        <w:rPr>
          <w:b/>
          <w:bCs/>
          <w:sz w:val="14"/>
          <w:szCs w:val="14"/>
        </w:rPr>
        <w:t xml:space="preserve">HIV-related factors </w:t>
      </w:r>
      <w:r>
        <w:rPr>
          <w:rFonts w:ascii="MMNNLW+TimesNewRomanPSMT" w:hAnsi="MMNNLW+TimesNewRomanPSMT" w:cs="MMNNLW+TimesNewRomanPSMT"/>
          <w:sz w:val="14"/>
          <w:szCs w:val="14"/>
        </w:rPr>
        <w:t xml:space="preserve">CD4 (cells/mm3) &gt;200 69 (84) 244 (81) 73 (68) 240 (87) 103 (74) 210 (86) 39 (80) 274 (82) 313 (82) </w:t>
      </w:r>
      <w:r>
        <w:rPr>
          <w:rFonts w:ascii="MMNNLW+TimesNewRomanPSMT" w:hAnsi="MMNNLW+TimesNewRomanPSMT" w:cs="MMNNLW+TimesNewRomanPSMT"/>
          <w:sz w:val="14"/>
          <w:szCs w:val="14"/>
          <w:u w:val="single"/>
        </w:rPr>
        <w:t>&lt;</w:t>
      </w:r>
      <w:r>
        <w:rPr>
          <w:rFonts w:ascii="MMNNLW+TimesNewRomanPSMT" w:hAnsi="MMNNLW+TimesNewRomanPSMT" w:cs="MMNNLW+TimesNewRomanPSMT"/>
          <w:sz w:val="14"/>
          <w:szCs w:val="14"/>
        </w:rPr>
        <w:t xml:space="preserve">200 13 (16) 57 (19) 34 (32) 36 (13) 37 (26) 33 (14) 10 (20) 60 (18) 70 (18) Total 82 (100) 301 (100) 107 (100) 276 (100) 140 (100) 243 (100) 49 (100) 334 (100) 383 (100) CD8 (cells/mm3) &gt;400 77 (94) 261 (88) 91 (86) 247 (90) 121 (87) 217 (90) 38 (79) 276 (83) 338 (89) </w:t>
      </w:r>
      <w:r>
        <w:rPr>
          <w:rFonts w:ascii="MMNNLW+TimesNewRomanPSMT" w:hAnsi="MMNNLW+TimesNewRomanPSMT" w:cs="MMNNLW+TimesNewRomanPSMT"/>
          <w:sz w:val="14"/>
          <w:szCs w:val="14"/>
          <w:u w:val="single"/>
        </w:rPr>
        <w:t>&lt;</w:t>
      </w:r>
      <w:r>
        <w:rPr>
          <w:rFonts w:ascii="MMNNLW+TimesNewRomanPSMT" w:hAnsi="MMNNLW+TimesNewRomanPSMT" w:cs="MMNNLW+TimesNewRomanPSMT"/>
          <w:sz w:val="14"/>
          <w:szCs w:val="14"/>
        </w:rPr>
        <w:t xml:space="preserve">400 5 (6) 37 (12) 15 (14) 27 (10) 18 (13) 24 (10) 2 (4) 40 (12) 42 (11) Total 82 (100) 298 (100) 106 (100) 274 (100) 139 (100) 241 (100) 49 (100) 331 (100) 380 (100) HIV load (copies/ml) &gt;400 38 (46) 122 (41) 56 (53) 104 (38) 68 (49) 92 (38) 26 (53) 134 (40) 160 (42) </w:t>
      </w:r>
      <w:r>
        <w:rPr>
          <w:rFonts w:ascii="MMNNLW+TimesNewRomanPSMT" w:hAnsi="MMNNLW+TimesNewRomanPSMT" w:cs="MMNNLW+TimesNewRomanPSMT"/>
          <w:sz w:val="14"/>
          <w:szCs w:val="14"/>
          <w:u w:val="single"/>
        </w:rPr>
        <w:t>&lt;</w:t>
      </w:r>
      <w:r>
        <w:rPr>
          <w:rFonts w:ascii="MMNNLW+TimesNewRomanPSMT" w:hAnsi="MMNNLW+TimesNewRomanPSMT" w:cs="MMNNLW+TimesNewRomanPSMT"/>
          <w:sz w:val="14"/>
          <w:szCs w:val="14"/>
        </w:rPr>
        <w:t xml:space="preserve">400 44 (54) 177 (59) 50 (47) 171 (62) 71 (51) 150 (62) 23 (47) 198 (60) 221 (58) Total 82 (100) 299 (100) 106 (100) 275 (100) 139 (100) 242 (100) 49 (100) 332 (100) 381 (100) HIV duration (yr) </w:t>
      </w:r>
      <w:r>
        <w:rPr>
          <w:rFonts w:ascii="MMNNLW+TimesNewRomanPSMT" w:hAnsi="MMNNLW+TimesNewRomanPSMT" w:cs="MMNNLW+TimesNewRomanPSMT"/>
          <w:sz w:val="14"/>
          <w:szCs w:val="14"/>
          <w:u w:val="single"/>
        </w:rPr>
        <w:t>&lt;</w:t>
      </w:r>
      <w:r>
        <w:rPr>
          <w:rFonts w:ascii="MMNNLW+TimesNewRomanPSMT" w:hAnsi="MMNNLW+TimesNewRomanPSMT" w:cs="MMNNLW+TimesNewRomanPSMT"/>
          <w:sz w:val="14"/>
          <w:szCs w:val="14"/>
        </w:rPr>
        <w:t xml:space="preserve">15 67 (83) 247 (82) 79 (75) 235 (85) 108 (78) 206 (85) 38 (79) 276 (83) 314 (82) &gt;15 14 (17) 53 (18) 27 (25) 40 (15) 31 (22) 36 (15) 10 (21) 57 (17) 67 (18) Total 81 (100) 300 (100) 106 (100) 275 (100) 139 (100) 242 (100) 48 (100) 333 (100) 381 (100) </w:t>
      </w:r>
    </w:p>
    <w:p w:rsidR="007020EF" w:rsidRDefault="007020EF" w:rsidP="007020EF">
      <w:pPr>
        <w:pStyle w:val="Default"/>
        <w:spacing w:line="186" w:lineRule="atLeast"/>
        <w:ind w:hanging="190"/>
        <w:rPr>
          <w:rFonts w:ascii="MMNNLW+TimesNewRomanPSMT" w:hAnsi="MMNNLW+TimesNewRomanPSMT" w:cs="MMNNLW+TimesNewRomanPSMT"/>
          <w:sz w:val="16"/>
          <w:szCs w:val="16"/>
        </w:rPr>
      </w:pPr>
      <w:r>
        <w:rPr>
          <w:b/>
          <w:bCs/>
          <w:sz w:val="16"/>
          <w:szCs w:val="16"/>
        </w:rPr>
        <w:t xml:space="preserve">Other </w:t>
      </w:r>
      <w:proofErr w:type="spellStart"/>
      <w:r>
        <w:rPr>
          <w:b/>
          <w:bCs/>
          <w:sz w:val="16"/>
          <w:szCs w:val="16"/>
        </w:rPr>
        <w:t>coinfections</w:t>
      </w:r>
      <w:proofErr w:type="spellEnd"/>
      <w:r>
        <w:rPr>
          <w:b/>
          <w:bCs/>
          <w:sz w:val="16"/>
          <w:szCs w:val="16"/>
        </w:rPr>
        <w:t xml:space="preserve"> </w:t>
      </w:r>
      <w:r>
        <w:rPr>
          <w:rFonts w:ascii="MMNNLW+TimesNewRomanPSMT" w:hAnsi="MMNNLW+TimesNewRomanPSMT" w:cs="MMNNLW+TimesNewRomanPSMT"/>
          <w:sz w:val="16"/>
          <w:szCs w:val="16"/>
        </w:rPr>
        <w:t xml:space="preserve">Syphilis N 67 (82) 275 (91) 91 (85) 251 (91) 117 (84) 225 (93) 41 (84) 301 (90) 342 (89) P 15 (18) 26 (9) 16 (15) 25 (9) 23 (16) 18 (7) 8 (16) 33 (10) 41 (11) Total 82 (100) 301 (100) 107 (100) 276 (100) 140 (100) 243 (100) 49 (100) 334 (100) 383 (100) Gonorrhea N 75 (91) 279 (93) 98 (92) 256 (93) 128 (91) 226 (93) 45 (92) 309 (93) 354 (92) P 7 (9) 22 (7) 9 (8) 20 (7) 12 (9) 17 (7) 4 (8) 25 (7) 29 (8) Total 82 (100) 301 (100) 107 (100) 276 (100) 140 (100) 243 (100) 49 (100) 334 (100) 383 (100) HPV N 79 (96) 285 (95) 104 (97) 260 (94) 137 (98) 227 (93) 46 (94) 318 (95) 364 (95) P 3 (4) 16 (5) 3 (3) 16 (6) 3 (2) 16 (7) 3 (6) 16 (5) 19 (5) Total 82 (100) 301 (100) 107 (100) 276 (100) 140 (100) 243 (100) 49 (100) 334 (100) 383 (100) Chlamydia N 77 (94) 284 (94) 103 (96) 258 (93) 134 (96) 227 (93) 46 (94) 315 (94) 361 (94) P 5 (6) 17 (6) 4 (4) 18 (7) 6 (4) 16 (7) 3 (6) 19 (6) 22 (6) Total 82 (100) 301 (100) 107 (100) 276 (100) 140 (100) 243 (100) 49 (100) 334 (100) 383 (100) HSV2 N 73(89) 277 (92) 97 (91) 253 (92) 127 (91) 223 (92) 43 (88) 307(92) 350 (91) P 9 (11) 24 (8) 10 (9) 23 (8) 13 (9) 20 (8) 6 (12) 27 (8) 33 (9) Total 82 (100) 301 (100) 107 (100) 276 (100) 140 (100) 243 (100) 49 (100) 334 (100) 383 (100) Hepatitis N 60 (73) 234 (78) 77 (72) 217 (79) 98 (70) 196 (81) 39 (80) 255 (76) 294 (77) P 22 (27) 67 (22) 30 (28) 59 (21) 42 (30) 47 (19) 10 (20) 79 (24) 89 (23) Total 82 (100) 301 (100) 107 (100) 276 (100) 140 (100) 243 (100) 49 (100) 334 (100) 383 (100) </w:t>
      </w:r>
    </w:p>
    <w:p w:rsidR="007020EF" w:rsidRDefault="007020EF" w:rsidP="007020EF">
      <w:pPr>
        <w:pStyle w:val="Default"/>
        <w:spacing w:after="937" w:line="193" w:lineRule="atLeast"/>
        <w:ind w:hanging="190"/>
        <w:rPr>
          <w:rFonts w:ascii="MMNNLW+TimesNewRomanPSMT" w:hAnsi="MMNNLW+TimesNewRomanPSMT" w:cs="MMNNLW+TimesNewRomanPSMT"/>
          <w:sz w:val="21"/>
          <w:szCs w:val="21"/>
        </w:rPr>
      </w:pPr>
      <w:r>
        <w:rPr>
          <w:b/>
          <w:bCs/>
          <w:sz w:val="16"/>
          <w:szCs w:val="16"/>
        </w:rPr>
        <w:t xml:space="preserve">Other conditions </w:t>
      </w:r>
      <w:r>
        <w:rPr>
          <w:rFonts w:ascii="MMNNLW+TimesNewRomanPSMT" w:hAnsi="MMNNLW+TimesNewRomanPSMT" w:cs="MMNNLW+TimesNewRomanPSMT"/>
          <w:sz w:val="16"/>
          <w:szCs w:val="16"/>
        </w:rPr>
        <w:t xml:space="preserve">Diabetes N 76 (93) 280 (93) 97 (91) 259 (94) 129 (92) 227 (93) 44 (90) 312 (93) 356 (93) P 6 (7) 21 (7) 10 (9) 17 (6) 11 (8) 16 (7) 5 (10) 22 (7) 27 (7) Total 82 (100) 301 (100) 107 (100) 276 (100) 140 (100) 243 (100) 49 (100) 334 (100) 383 (100) Heart disease N 73 (89) 275 (91) 96 (90) 252 (91) 124 (89) 224 (92) 45 (92) 303 (91) 348 (91) P 9 (11) 26 (9) 11 (10) 24 (9) 16 (11) 19 (8) 4 (8) 31 (9) 35 (9) Total 82 (100) 301 (100) 107 (100) 276 (100) 140 (100) 243 (100) 49 (100) 334 (100) 383 (100) Arthritis N 74 (90) 273 (91) 96 (90) 251 (91) 124 (89) 223 (92) 46 (94) 301 (90) 347 (91) P 8 (10) 28 (9) 11 (10) 25 (9) 16 (11) 20 (8) 3 (6) 33 (10) 36 (9) Total 82 (100) 301 (100) 107 (100) 276 (100) 140 (100) 243 (100) 49 (100) 334 (100) 383 (100) Asthma N 70 (85) 251 (83) 90 (84) 231 (84) 118 (84) 203 (84) 42 (86) 279 (84) 321 (84) P 12 (15) 50 (17) 17 (16) 45 (16) 22 (16) 40 (16) 7 (14) 55 (16) 62 (16) Total 82 (100) 301 (100) 107 (100) 276 (100) 140 (100) 243 (100) 49 (100) 334 (100) 383 (100) Allergy N 76 (93) 275 (91) 103 (96) 248 (90) 133 (95) 218 (90) 46 (94) 305 (91) 351 (92) P 6 (7) 26 (9) 4 (4) 28 (10) 7 (5) 25 (10) 3 (6) 29 (9) 32 (8) Total 82 (100) 301 (100) 107 (100) 276 (100) 140 (100) 243 (100) 49 (100) 334 (100) 383 (100) </w:t>
      </w:r>
      <w:r>
        <w:rPr>
          <w:rFonts w:ascii="MMNNLW+TimesNewRomanPSMT" w:hAnsi="MMNNLW+TimesNewRomanPSMT" w:cs="MMNNLW+TimesNewRomanPSMT"/>
          <w:sz w:val="21"/>
          <w:szCs w:val="21"/>
        </w:rPr>
        <w:t xml:space="preserve">Abbreviations: Non-H, Non-Hispanics; H, Hispanics; yr, year; N, negative; P, positive; HPV, human </w:t>
      </w:r>
      <w:proofErr w:type="spellStart"/>
      <w:r>
        <w:rPr>
          <w:rFonts w:ascii="MMNNLW+TimesNewRomanPSMT" w:hAnsi="MMNNLW+TimesNewRomanPSMT" w:cs="MMNNLW+TimesNewRomanPSMT"/>
          <w:sz w:val="21"/>
          <w:szCs w:val="21"/>
        </w:rPr>
        <w:t>papilloma</w:t>
      </w:r>
      <w:proofErr w:type="spellEnd"/>
      <w:r>
        <w:rPr>
          <w:rFonts w:ascii="MMNNLW+TimesNewRomanPSMT" w:hAnsi="MMNNLW+TimesNewRomanPSMT" w:cs="MMNNLW+TimesNewRomanPSMT"/>
          <w:sz w:val="21"/>
          <w:szCs w:val="21"/>
        </w:rPr>
        <w:t xml:space="preserve"> virus; HSV2, herpes simplex virus 2. </w:t>
      </w:r>
    </w:p>
    <w:p w:rsidR="000153E2" w:rsidRDefault="000153E2"/>
    <w:sectPr w:rsidR="000153E2" w:rsidSect="00015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TGICX+TimesNewRomanPS-BoldMT">
    <w:altName w:val="Times New Roman PS"/>
    <w:panose1 w:val="00000000000000000000"/>
    <w:charset w:val="00"/>
    <w:family w:val="roman"/>
    <w:notTrueType/>
    <w:pitch w:val="default"/>
    <w:sig w:usb0="00000003" w:usb1="00000000" w:usb2="00000000" w:usb3="00000000" w:csb0="00000001" w:csb1="00000000"/>
  </w:font>
  <w:font w:name="MVHGYW+TimesNewRomanPS-BoldItal">
    <w:altName w:val="Times New Roman PS"/>
    <w:panose1 w:val="00000000000000000000"/>
    <w:charset w:val="00"/>
    <w:family w:val="roman"/>
    <w:notTrueType/>
    <w:pitch w:val="default"/>
    <w:sig w:usb0="00000003" w:usb1="00000000" w:usb2="00000000" w:usb3="00000000" w:csb0="00000001" w:csb1="00000000"/>
  </w:font>
  <w:font w:name="MMNNLW+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0EF"/>
    <w:rsid w:val="000153E2"/>
    <w:rsid w:val="0070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0EF"/>
    <w:pPr>
      <w:widowControl w:val="0"/>
      <w:autoSpaceDE w:val="0"/>
      <w:autoSpaceDN w:val="0"/>
      <w:adjustRightInd w:val="0"/>
      <w:spacing w:after="0" w:line="240" w:lineRule="auto"/>
    </w:pPr>
    <w:rPr>
      <w:rFonts w:ascii="YTGICX+TimesNewRomanPS-BoldMT" w:eastAsiaTheme="minorEastAsia" w:hAnsi="YTGICX+TimesNewRomanPS-BoldMT" w:cs="YTGICX+TimesNewRomanPS-BoldMT"/>
      <w:color w:val="000000"/>
      <w:sz w:val="24"/>
      <w:szCs w:val="24"/>
    </w:rPr>
  </w:style>
  <w:style w:type="paragraph" w:customStyle="1" w:styleId="CM3">
    <w:name w:val="CM3"/>
    <w:basedOn w:val="Default"/>
    <w:next w:val="Default"/>
    <w:uiPriority w:val="99"/>
    <w:rsid w:val="007020EF"/>
    <w:rPr>
      <w:rFonts w:cstheme="minorBidi"/>
      <w:color w:val="auto"/>
    </w:rPr>
  </w:style>
  <w:style w:type="paragraph" w:customStyle="1" w:styleId="CM6">
    <w:name w:val="CM6"/>
    <w:basedOn w:val="Default"/>
    <w:next w:val="Default"/>
    <w:uiPriority w:val="99"/>
    <w:rsid w:val="007020EF"/>
    <w:rPr>
      <w:rFonts w:cstheme="minorBidi"/>
      <w:color w:val="auto"/>
    </w:rPr>
  </w:style>
  <w:style w:type="paragraph" w:customStyle="1" w:styleId="CM4">
    <w:name w:val="CM4"/>
    <w:basedOn w:val="Default"/>
    <w:next w:val="Default"/>
    <w:uiPriority w:val="99"/>
    <w:rsid w:val="007020EF"/>
    <w:pPr>
      <w:spacing w:line="191" w:lineRule="atLeast"/>
    </w:pPr>
    <w:rPr>
      <w:rFonts w:cstheme="minorBidi"/>
      <w:color w:val="auto"/>
    </w:rPr>
  </w:style>
  <w:style w:type="paragraph" w:customStyle="1" w:styleId="CM7">
    <w:name w:val="CM7"/>
    <w:basedOn w:val="Default"/>
    <w:next w:val="Default"/>
    <w:uiPriority w:val="99"/>
    <w:rsid w:val="007020EF"/>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4369</Characters>
  <Application>Microsoft Office Word</Application>
  <DocSecurity>0</DocSecurity>
  <Lines>36</Lines>
  <Paragraphs>10</Paragraphs>
  <ScaleCrop>false</ScaleCrop>
  <Company>Wolters Kluwer</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dc:description/>
  <cp:lastModifiedBy>KMyers</cp:lastModifiedBy>
  <cp:revision>1</cp:revision>
  <dcterms:created xsi:type="dcterms:W3CDTF">2010-10-05T15:09:00Z</dcterms:created>
  <dcterms:modified xsi:type="dcterms:W3CDTF">2010-10-05T15:09:00Z</dcterms:modified>
</cp:coreProperties>
</file>