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825" w:rsidRDefault="004B2825" w:rsidP="004B2825">
      <w:pPr>
        <w:pStyle w:val="CM5"/>
        <w:spacing w:after="1105" w:line="553" w:lineRule="atLeast"/>
        <w:ind w:right="155"/>
        <w:rPr>
          <w:rFonts w:ascii="MMNNLW+TimesNewRomanPSMT" w:hAnsi="MMNNLW+TimesNewRomanPSMT" w:cs="MMNNLW+TimesNewRomanPSMT"/>
          <w:sz w:val="23"/>
          <w:szCs w:val="23"/>
        </w:rPr>
      </w:pPr>
      <w:r>
        <w:rPr>
          <w:b/>
          <w:bCs/>
          <w:sz w:val="23"/>
          <w:szCs w:val="23"/>
        </w:rPr>
        <w:t xml:space="preserve">SUPPLEMENTAL DIGITAL CONTENT 2 - FIGURE 1. </w:t>
      </w:r>
      <w:proofErr w:type="gramStart"/>
      <w:r>
        <w:rPr>
          <w:rFonts w:ascii="MMNNLW+TimesNewRomanPSMT" w:hAnsi="MMNNLW+TimesNewRomanPSMT" w:cs="MMNNLW+TimesNewRomanPSMT"/>
          <w:sz w:val="23"/>
          <w:szCs w:val="23"/>
        </w:rPr>
        <w:t>Box and Whisker Plots of HIV-related factors by Hispanics and ORF65 status.</w:t>
      </w:r>
      <w:proofErr w:type="gramEnd"/>
      <w:r>
        <w:rPr>
          <w:rFonts w:ascii="MMNNLW+TimesNewRomanPSMT" w:hAnsi="MMNNLW+TimesNewRomanPSMT" w:cs="MMNNLW+TimesNewRomanPSMT"/>
          <w:sz w:val="23"/>
          <w:szCs w:val="23"/>
        </w:rPr>
        <w:t xml:space="preserve"> </w:t>
      </w:r>
      <w:r>
        <w:rPr>
          <w:rFonts w:cs="YTGICX+TimesNewRomanPS-BoldMT"/>
          <w:b/>
          <w:bCs/>
          <w:sz w:val="23"/>
          <w:szCs w:val="23"/>
        </w:rPr>
        <w:t xml:space="preserve">(A) </w:t>
      </w:r>
      <w:r>
        <w:rPr>
          <w:rFonts w:ascii="MMNNLW+TimesNewRomanPSMT" w:hAnsi="MMNNLW+TimesNewRomanPSMT" w:cs="MMNNLW+TimesNewRomanPSMT"/>
          <w:sz w:val="23"/>
          <w:szCs w:val="23"/>
        </w:rPr>
        <w:t xml:space="preserve">HIV-related factors in Hispanics (H) and Non-Hispanics (Non-H) patients. </w:t>
      </w:r>
      <w:r>
        <w:rPr>
          <w:rFonts w:cs="YTGICX+TimesNewRomanPS-BoldMT"/>
          <w:b/>
          <w:bCs/>
          <w:sz w:val="23"/>
          <w:szCs w:val="23"/>
        </w:rPr>
        <w:t xml:space="preserve">(B) </w:t>
      </w:r>
      <w:r>
        <w:rPr>
          <w:rFonts w:ascii="MMNNLW+TimesNewRomanPSMT" w:hAnsi="MMNNLW+TimesNewRomanPSMT" w:cs="MMNNLW+TimesNewRomanPSMT"/>
          <w:sz w:val="23"/>
          <w:szCs w:val="23"/>
        </w:rPr>
        <w:t xml:space="preserve">HIV-related factors in </w:t>
      </w:r>
      <w:r>
        <w:rPr>
          <w:rFonts w:ascii="WELWSD+TimesNewRomanPS-ItalicMT" w:hAnsi="WELWSD+TimesNewRomanPS-ItalicMT" w:cs="WELWSD+TimesNewRomanPS-ItalicMT"/>
          <w:i/>
          <w:iCs/>
          <w:sz w:val="23"/>
          <w:szCs w:val="23"/>
        </w:rPr>
        <w:t>ORF65</w:t>
      </w:r>
      <w:r>
        <w:rPr>
          <w:rFonts w:ascii="MMNNLW+TimesNewRomanPSMT" w:hAnsi="MMNNLW+TimesNewRomanPSMT" w:cs="MMNNLW+TimesNewRomanPSMT"/>
          <w:sz w:val="23"/>
          <w:szCs w:val="23"/>
        </w:rPr>
        <w:t>-seropositive (</w:t>
      </w:r>
      <w:r>
        <w:rPr>
          <w:rFonts w:ascii="WELWSD+TimesNewRomanPS-ItalicMT" w:hAnsi="WELWSD+TimesNewRomanPS-ItalicMT" w:cs="WELWSD+TimesNewRomanPS-ItalicMT"/>
          <w:i/>
          <w:iCs/>
          <w:sz w:val="23"/>
          <w:szCs w:val="23"/>
        </w:rPr>
        <w:t>ORF65+</w:t>
      </w:r>
      <w:r>
        <w:rPr>
          <w:rFonts w:ascii="MMNNLW+TimesNewRomanPSMT" w:hAnsi="MMNNLW+TimesNewRomanPSMT" w:cs="MMNNLW+TimesNewRomanPSMT"/>
          <w:sz w:val="23"/>
          <w:szCs w:val="23"/>
        </w:rPr>
        <w:t xml:space="preserve">) and </w:t>
      </w:r>
      <w:r>
        <w:rPr>
          <w:rFonts w:ascii="WELWSD+TimesNewRomanPS-ItalicMT" w:hAnsi="WELWSD+TimesNewRomanPS-ItalicMT" w:cs="WELWSD+TimesNewRomanPS-ItalicMT"/>
          <w:i/>
          <w:iCs/>
          <w:sz w:val="23"/>
          <w:szCs w:val="23"/>
        </w:rPr>
        <w:t>ORF65</w:t>
      </w:r>
      <w:r>
        <w:rPr>
          <w:rFonts w:ascii="MMNNLW+TimesNewRomanPSMT" w:hAnsi="MMNNLW+TimesNewRomanPSMT" w:cs="MMNNLW+TimesNewRomanPSMT"/>
          <w:sz w:val="23"/>
          <w:szCs w:val="23"/>
        </w:rPr>
        <w:t>-seronegative (</w:t>
      </w:r>
      <w:r>
        <w:rPr>
          <w:rFonts w:ascii="WELWSD+TimesNewRomanPS-ItalicMT" w:hAnsi="WELWSD+TimesNewRomanPS-ItalicMT" w:cs="WELWSD+TimesNewRomanPS-ItalicMT"/>
          <w:i/>
          <w:iCs/>
          <w:sz w:val="23"/>
          <w:szCs w:val="23"/>
        </w:rPr>
        <w:t>ORF65-</w:t>
      </w:r>
      <w:r>
        <w:rPr>
          <w:rFonts w:ascii="MMNNLW+TimesNewRomanPSMT" w:hAnsi="MMNNLW+TimesNewRomanPSMT" w:cs="MMNNLW+TimesNewRomanPSMT"/>
          <w:sz w:val="23"/>
          <w:szCs w:val="23"/>
        </w:rPr>
        <w:t>) Hispanics (H) and Non-Hispanics (Non-H) patients. Boxes represent the median, and the first and third quartile values. The bars represent the minimum and maximum values. The dots represent outlier data points. Mann-Whitney U significance levels are shown. “</w:t>
      </w:r>
      <w:proofErr w:type="gramStart"/>
      <w:r>
        <w:rPr>
          <w:rFonts w:ascii="MMNNLW+TimesNewRomanPSMT" w:hAnsi="MMNNLW+TimesNewRomanPSMT" w:cs="MMNNLW+TimesNewRomanPSMT"/>
          <w:sz w:val="23"/>
          <w:szCs w:val="23"/>
        </w:rPr>
        <w:t>yr</w:t>
      </w:r>
      <w:proofErr w:type="gramEnd"/>
      <w:r>
        <w:rPr>
          <w:rFonts w:ascii="MMNNLW+TimesNewRomanPSMT" w:hAnsi="MMNNLW+TimesNewRomanPSMT" w:cs="MMNNLW+TimesNewRomanPSMT"/>
          <w:sz w:val="23"/>
          <w:szCs w:val="23"/>
        </w:rPr>
        <w:t xml:space="preserve">” stands for years. </w:t>
      </w:r>
    </w:p>
    <w:p w:rsidR="004B2825" w:rsidRPr="004B2825" w:rsidRDefault="004B2825" w:rsidP="004B2825">
      <w:r>
        <w:rPr>
          <w:noProof/>
        </w:rPr>
        <w:lastRenderedPageBreak/>
        <w:drawing>
          <wp:inline distT="0" distB="0" distL="0" distR="0">
            <wp:extent cx="3525791" cy="7611903"/>
            <wp:effectExtent l="19050" t="0" r="0" b="0"/>
            <wp:docPr id="1" name="Picture 0" descr="Supplemental_Fig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_Fig1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32276" cy="762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3E2" w:rsidRDefault="000153E2"/>
    <w:sectPr w:rsidR="000153E2" w:rsidSect="000153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YTGICX+TimesNewRomanPS-BoldMT">
    <w:altName w:val="Times New Roman P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MNNLW+TimesNewRomanPSMT">
    <w:altName w:val="Times New Roman PSM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ELWSD+TimesNewRomanPS-ItalicMT">
    <w:altName w:val="Times New Roman P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B2825"/>
    <w:rsid w:val="000153E2"/>
    <w:rsid w:val="004B2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3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M5">
    <w:name w:val="CM5"/>
    <w:basedOn w:val="Normal"/>
    <w:next w:val="Normal"/>
    <w:uiPriority w:val="99"/>
    <w:rsid w:val="004B2825"/>
    <w:pPr>
      <w:widowControl w:val="0"/>
      <w:autoSpaceDE w:val="0"/>
      <w:autoSpaceDN w:val="0"/>
      <w:adjustRightInd w:val="0"/>
      <w:spacing w:after="0" w:line="240" w:lineRule="auto"/>
    </w:pPr>
    <w:rPr>
      <w:rFonts w:ascii="YTGICX+TimesNewRomanPS-BoldMT" w:eastAsiaTheme="minorEastAsia" w:hAnsi="YTGICX+TimesNewRomanPS-BoldMT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2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8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84</Words>
  <Characters>482</Characters>
  <Application>Microsoft Office Word</Application>
  <DocSecurity>0</DocSecurity>
  <Lines>4</Lines>
  <Paragraphs>1</Paragraphs>
  <ScaleCrop>false</ScaleCrop>
  <Company>Wolters Kluwer</Company>
  <LinksUpToDate>false</LinksUpToDate>
  <CharactersWithSpaces>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KMyers</dc:creator>
  <cp:keywords/>
  <dc:description/>
  <cp:lastModifiedBy>KMyers</cp:lastModifiedBy>
  <cp:revision>1</cp:revision>
  <dcterms:created xsi:type="dcterms:W3CDTF">2010-10-05T15:10:00Z</dcterms:created>
  <dcterms:modified xsi:type="dcterms:W3CDTF">2010-10-05T15:11:00Z</dcterms:modified>
</cp:coreProperties>
</file>