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0" w:rsidRPr="00311437" w:rsidRDefault="003F3510" w:rsidP="003F3510">
      <w:pPr>
        <w:spacing w:line="480" w:lineRule="auto"/>
        <w:contextualSpacing/>
        <w:jc w:val="both"/>
      </w:pPr>
      <w:proofErr w:type="gramStart"/>
      <w:r w:rsidRPr="00366835">
        <w:rPr>
          <w:b/>
        </w:rPr>
        <w:t>Supplemental Digital Content 1 - Table 1</w:t>
      </w:r>
      <w:r w:rsidRPr="00311437">
        <w:t>.</w:t>
      </w:r>
      <w:proofErr w:type="gramEnd"/>
      <w:r w:rsidRPr="00311437">
        <w:t xml:space="preserve"> </w:t>
      </w:r>
      <w:r>
        <w:t>Demographic and clinical c</w:t>
      </w:r>
      <w:r w:rsidRPr="00311437">
        <w:t xml:space="preserve">haracteristics of </w:t>
      </w:r>
      <w:r>
        <w:t>s</w:t>
      </w:r>
      <w:r w:rsidRPr="00311437">
        <w:t>ubjects</w:t>
      </w:r>
      <w:r>
        <w:t xml:space="preserve"> at the initiation of </w:t>
      </w:r>
      <w:proofErr w:type="spellStart"/>
      <w:r>
        <w:t>cART</w:t>
      </w:r>
      <w:proofErr w:type="spellEnd"/>
      <w:r>
        <w:t>, by cohort</w:t>
      </w:r>
    </w:p>
    <w:tbl>
      <w:tblPr>
        <w:tblW w:w="937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3075"/>
        <w:gridCol w:w="2100"/>
        <w:gridCol w:w="2100"/>
        <w:gridCol w:w="2100"/>
      </w:tblGrid>
      <w:tr w:rsidR="003F3510" w:rsidRPr="00814B20" w:rsidTr="00FA0D24">
        <w:trPr>
          <w:trHeight w:val="315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>Characteristic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AHOD, n=1036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TAHOD, n=1121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All patients, n=2157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single" w:sz="4" w:space="0" w:color="auto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 xml:space="preserve">Age at </w:t>
            </w:r>
            <w:proofErr w:type="spellStart"/>
            <w:r w:rsidRPr="00814B20">
              <w:t>cART</w:t>
            </w:r>
            <w:proofErr w:type="spellEnd"/>
            <w:r w:rsidRPr="00814B20">
              <w:t xml:space="preserve"> initiation, median years (IQR)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38 (32, 46)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36 (30, 42)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515CD3">
              <w:rPr>
                <w:lang w:eastAsia="zh-CN"/>
              </w:rPr>
              <w:t>37 (31, 44)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>Gender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Male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981 (95%)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840 (75%)</w:t>
            </w:r>
          </w:p>
        </w:tc>
        <w:tc>
          <w:tcPr>
            <w:tcW w:w="2100" w:type="dxa"/>
            <w:tcBorders>
              <w:top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1821 (84%)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Female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55 (5%)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281 (25%)</w:t>
            </w:r>
          </w:p>
        </w:tc>
        <w:tc>
          <w:tcPr>
            <w:tcW w:w="2100" w:type="dxa"/>
            <w:tcBorders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336 (16%)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>Reported route of infection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Homosexual contact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784 (76%)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353 (31%)</w:t>
            </w:r>
          </w:p>
        </w:tc>
        <w:tc>
          <w:tcPr>
            <w:tcW w:w="2100" w:type="dxa"/>
            <w:tcBorders>
              <w:top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1137 (53%)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Injecting drug use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68 (6%)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27 (2%)</w:t>
            </w:r>
          </w:p>
        </w:tc>
        <w:tc>
          <w:tcPr>
            <w:tcW w:w="2100" w:type="dxa"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95 (4%)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Heterosexual contact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111 (11%)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662 (59%)</w:t>
            </w:r>
          </w:p>
        </w:tc>
        <w:tc>
          <w:tcPr>
            <w:tcW w:w="2100" w:type="dxa"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773 (36%)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Other/unknown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73 (7%)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79 (7%)</w:t>
            </w:r>
          </w:p>
        </w:tc>
        <w:tc>
          <w:tcPr>
            <w:tcW w:w="2100" w:type="dxa"/>
            <w:tcBorders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152 (7%)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 xml:space="preserve">Prior AIDS diagnosis at </w:t>
            </w:r>
            <w:proofErr w:type="spellStart"/>
            <w:r w:rsidRPr="00814B20">
              <w:t>cART</w:t>
            </w:r>
            <w:proofErr w:type="spellEnd"/>
            <w:r w:rsidRPr="00814B20">
              <w:t xml:space="preserve"> initiation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No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921 (89%)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722 (64%)</w:t>
            </w:r>
          </w:p>
        </w:tc>
        <w:tc>
          <w:tcPr>
            <w:tcW w:w="2100" w:type="dxa"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1643 (76%)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Yes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115 (11%)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399 (36%)</w:t>
            </w:r>
          </w:p>
        </w:tc>
        <w:tc>
          <w:tcPr>
            <w:tcW w:w="2100" w:type="dxa"/>
            <w:tcBorders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514 (24%)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 xml:space="preserve">Hepatitis B </w:t>
            </w:r>
            <w:proofErr w:type="spellStart"/>
            <w:r w:rsidRPr="00814B20">
              <w:t>coinfection</w:t>
            </w:r>
            <w:proofErr w:type="spellEnd"/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No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811 (94%)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798 (90%)</w:t>
            </w:r>
          </w:p>
        </w:tc>
        <w:tc>
          <w:tcPr>
            <w:tcW w:w="2100" w:type="dxa"/>
            <w:tcBorders>
              <w:top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1609 (92%)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Yes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52 (6%)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89 (10%)</w:t>
            </w:r>
          </w:p>
        </w:tc>
        <w:tc>
          <w:tcPr>
            <w:tcW w:w="2100" w:type="dxa"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141 (8%)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Not tested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173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234</w:t>
            </w:r>
          </w:p>
        </w:tc>
        <w:tc>
          <w:tcPr>
            <w:tcW w:w="2100" w:type="dxa"/>
            <w:tcBorders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407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 xml:space="preserve">Hepatitis C </w:t>
            </w:r>
            <w:proofErr w:type="spellStart"/>
            <w:r w:rsidRPr="00814B20">
              <w:t>coinfection</w:t>
            </w:r>
            <w:proofErr w:type="spellEnd"/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</w:tr>
      <w:tr w:rsidR="003F3510" w:rsidRPr="003567E5" w:rsidTr="00FA0D24">
        <w:trPr>
          <w:trHeight w:val="315"/>
        </w:trPr>
        <w:tc>
          <w:tcPr>
            <w:tcW w:w="3075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No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824 (89%)</w:t>
            </w:r>
          </w:p>
        </w:tc>
        <w:tc>
          <w:tcPr>
            <w:tcW w:w="2100" w:type="dxa"/>
            <w:tcBorders>
              <w:top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749 (93%)</w:t>
            </w:r>
          </w:p>
        </w:tc>
        <w:tc>
          <w:tcPr>
            <w:tcW w:w="2100" w:type="dxa"/>
            <w:tcBorders>
              <w:top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1573 (91%)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Yes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103 (11%)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59   (7%)</w:t>
            </w:r>
          </w:p>
        </w:tc>
        <w:tc>
          <w:tcPr>
            <w:tcW w:w="2100" w:type="dxa"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162 (9%)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447"/>
              <w:jc w:val="both"/>
            </w:pPr>
            <w:r w:rsidRPr="00814B20">
              <w:t>Not tested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109</w:t>
            </w:r>
          </w:p>
        </w:tc>
        <w:tc>
          <w:tcPr>
            <w:tcW w:w="2100" w:type="dxa"/>
            <w:tcBorders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313</w:t>
            </w:r>
          </w:p>
        </w:tc>
        <w:tc>
          <w:tcPr>
            <w:tcW w:w="2100" w:type="dxa"/>
            <w:tcBorders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422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 xml:space="preserve">CD4 T-cell count at </w:t>
            </w:r>
            <w:proofErr w:type="spellStart"/>
            <w:r w:rsidRPr="00814B20">
              <w:t>cART</w:t>
            </w:r>
            <w:proofErr w:type="spellEnd"/>
            <w:r w:rsidRPr="00814B20">
              <w:t xml:space="preserve"> initiation, median cells/</w:t>
            </w:r>
            <w:proofErr w:type="spellStart"/>
            <w:r>
              <w:rPr>
                <w:bCs/>
              </w:rPr>
              <w:t>μ</w:t>
            </w:r>
            <w:r w:rsidRPr="00814B20">
              <w:t>L</w:t>
            </w:r>
            <w:proofErr w:type="spellEnd"/>
            <w:r w:rsidRPr="00814B20">
              <w:t xml:space="preserve"> (IQR)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290 (170, 462)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139 (44, 231)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515CD3" w:rsidRDefault="003F3510" w:rsidP="00FA0D24">
            <w:pPr>
              <w:spacing w:after="0" w:line="240" w:lineRule="atLeast"/>
              <w:jc w:val="center"/>
              <w:rPr>
                <w:lang w:eastAsia="zh-CN"/>
              </w:rPr>
            </w:pPr>
            <w:r w:rsidRPr="00515CD3">
              <w:rPr>
                <w:lang w:eastAsia="zh-CN"/>
              </w:rPr>
              <w:t>206 (89, 359)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>Viral load</w:t>
            </w:r>
            <w:r w:rsidRPr="00814B20">
              <w:rPr>
                <w:vertAlign w:val="superscript"/>
              </w:rPr>
              <w:t xml:space="preserve"> </w:t>
            </w:r>
            <w:r w:rsidRPr="00814B20">
              <w:t xml:space="preserve">at </w:t>
            </w:r>
            <w:proofErr w:type="spellStart"/>
            <w:r w:rsidRPr="00814B20">
              <w:t>cART</w:t>
            </w:r>
            <w:proofErr w:type="spellEnd"/>
            <w:r w:rsidRPr="00814B20">
              <w:t xml:space="preserve"> initiation, median copies/</w:t>
            </w:r>
            <w:proofErr w:type="spellStart"/>
            <w:r w:rsidRPr="00814B20">
              <w:t>mL</w:t>
            </w:r>
            <w:proofErr w:type="spellEnd"/>
            <w:r w:rsidRPr="00814B20">
              <w:t xml:space="preserve"> (IQR)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88017 (21112, 306900)</w:t>
            </w: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86000 (19412, 329000)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515CD3" w:rsidRDefault="003F3510" w:rsidP="00FA0D24">
            <w:pPr>
              <w:spacing w:after="0" w:line="240" w:lineRule="atLeast"/>
              <w:jc w:val="center"/>
              <w:rPr>
                <w:lang w:eastAsia="zh-CN"/>
              </w:rPr>
            </w:pPr>
            <w:r w:rsidRPr="00515CD3">
              <w:rPr>
                <w:lang w:eastAsia="zh-CN"/>
              </w:rPr>
              <w:t>87600</w:t>
            </w:r>
            <w:r>
              <w:rPr>
                <w:rFonts w:hint="eastAsia"/>
              </w:rPr>
              <w:t xml:space="preserve"> </w:t>
            </w:r>
            <w:r w:rsidRPr="00515CD3">
              <w:rPr>
                <w:lang w:eastAsia="zh-CN"/>
              </w:rPr>
              <w:t>(20595,313500)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both"/>
            </w:pPr>
            <w:r w:rsidRPr="00814B20">
              <w:t xml:space="preserve">Initial </w:t>
            </w:r>
            <w:proofErr w:type="spellStart"/>
            <w:r w:rsidRPr="00814B20">
              <w:t>cART</w:t>
            </w:r>
            <w:proofErr w:type="spellEnd"/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noWrap/>
          </w:tcPr>
          <w:p w:rsidR="003F3510" w:rsidRPr="00814B20" w:rsidRDefault="003F3510" w:rsidP="00FA0D24">
            <w:pPr>
              <w:spacing w:after="0" w:line="240" w:lineRule="atLeast"/>
              <w:ind w:firstLine="537"/>
              <w:jc w:val="both"/>
            </w:pPr>
            <w:proofErr w:type="spellStart"/>
            <w:r w:rsidRPr="00814B20">
              <w:t>NRTIs+NNRTI</w:t>
            </w:r>
            <w:proofErr w:type="spellEnd"/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466 (45%)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702 (63%)</w:t>
            </w:r>
          </w:p>
        </w:tc>
        <w:tc>
          <w:tcPr>
            <w:tcW w:w="2100" w:type="dxa"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1168 (54%)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noWrap/>
          </w:tcPr>
          <w:p w:rsidR="003F3510" w:rsidRPr="00814B20" w:rsidRDefault="003F3510" w:rsidP="00FA0D24">
            <w:pPr>
              <w:spacing w:after="0" w:line="240" w:lineRule="atLeast"/>
              <w:ind w:firstLine="537"/>
              <w:jc w:val="both"/>
            </w:pPr>
            <w:proofErr w:type="spellStart"/>
            <w:r w:rsidRPr="00814B20">
              <w:t>NRTIs+PI</w:t>
            </w:r>
            <w:proofErr w:type="spellEnd"/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494 (48%)</w:t>
            </w:r>
          </w:p>
        </w:tc>
        <w:tc>
          <w:tcPr>
            <w:tcW w:w="2100" w:type="dxa"/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402 (36%)</w:t>
            </w:r>
          </w:p>
        </w:tc>
        <w:tc>
          <w:tcPr>
            <w:tcW w:w="2100" w:type="dxa"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896 (42%)</w:t>
            </w:r>
          </w:p>
        </w:tc>
      </w:tr>
      <w:tr w:rsidR="003F3510" w:rsidRPr="00814B20" w:rsidTr="00FA0D24">
        <w:trPr>
          <w:trHeight w:val="315"/>
        </w:trPr>
        <w:tc>
          <w:tcPr>
            <w:tcW w:w="3075" w:type="dxa"/>
            <w:tcBorders>
              <w:bottom w:val="single" w:sz="4" w:space="0" w:color="auto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ind w:firstLine="537"/>
              <w:jc w:val="both"/>
            </w:pPr>
            <w:r w:rsidRPr="00814B20">
              <w:t>Other combination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76   (7%)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noWrap/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17   (1%)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F3510" w:rsidRPr="00814B20" w:rsidRDefault="003F3510" w:rsidP="00FA0D24">
            <w:pPr>
              <w:spacing w:after="0" w:line="240" w:lineRule="atLeast"/>
              <w:jc w:val="center"/>
            </w:pPr>
            <w:r w:rsidRPr="00814B20">
              <w:t>93 (4%)</w:t>
            </w:r>
          </w:p>
        </w:tc>
      </w:tr>
    </w:tbl>
    <w:p w:rsidR="003F3510" w:rsidRDefault="003F3510" w:rsidP="003F3510">
      <w:r>
        <w:t xml:space="preserve">Data are frequencies and within cohort region percentages in parentheses, unless otherwise indicated. </w:t>
      </w:r>
      <w:proofErr w:type="spellStart"/>
      <w:proofErr w:type="gramStart"/>
      <w:r>
        <w:t>cART</w:t>
      </w:r>
      <w:proofErr w:type="spellEnd"/>
      <w:proofErr w:type="gramEnd"/>
      <w:r>
        <w:t xml:space="preserve">; combination antiretroviral treatment, IQR; </w:t>
      </w:r>
      <w:proofErr w:type="spellStart"/>
      <w:r>
        <w:t>interquatile</w:t>
      </w:r>
      <w:proofErr w:type="spellEnd"/>
      <w:r>
        <w:t xml:space="preserve"> range, NRTIs; nucleoside/nucleotide reverse transcriptase inhibitors, NNRTI; non-nucleoside reverse transcriptase inhibitor, PI; protease inhibitor</w:t>
      </w:r>
    </w:p>
    <w:p w:rsidR="00D86F5C" w:rsidRDefault="00D86F5C"/>
    <w:sectPr w:rsidR="00D86F5C" w:rsidSect="00D8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3510"/>
    <w:rsid w:val="003F3510"/>
    <w:rsid w:val="00D8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10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Wolters Kluwer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2011-01-25T16:11:00Z</dcterms:created>
  <dcterms:modified xsi:type="dcterms:W3CDTF">2011-01-25T16:11:00Z</dcterms:modified>
</cp:coreProperties>
</file>