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7F" w:rsidRPr="00621211" w:rsidRDefault="002D48B1" w:rsidP="00625C7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Supplemental Digital Content 1 - Table 1</w:t>
      </w:r>
      <w:r w:rsidR="00625C7F" w:rsidRPr="00621211">
        <w:rPr>
          <w:rFonts w:ascii="Arial" w:hAnsi="Arial" w:cs="Arial"/>
          <w:b/>
          <w:bCs/>
          <w:sz w:val="20"/>
          <w:szCs w:val="20"/>
        </w:rPr>
        <w:t xml:space="preserve">: Multivariable associations with </w:t>
      </w:r>
      <w:proofErr w:type="spellStart"/>
      <w:r w:rsidR="00625C7F" w:rsidRPr="00621211">
        <w:rPr>
          <w:rFonts w:ascii="Arial" w:hAnsi="Arial" w:cs="Arial"/>
          <w:b/>
          <w:bCs/>
          <w:sz w:val="20"/>
          <w:szCs w:val="20"/>
        </w:rPr>
        <w:t>virologic</w:t>
      </w:r>
      <w:proofErr w:type="spellEnd"/>
      <w:r w:rsidR="00625C7F" w:rsidRPr="00621211">
        <w:rPr>
          <w:rFonts w:ascii="Arial" w:hAnsi="Arial" w:cs="Arial"/>
          <w:b/>
          <w:bCs/>
          <w:sz w:val="20"/>
          <w:szCs w:val="20"/>
        </w:rPr>
        <w:t xml:space="preserve"> failure using different predictor variables in main model and different failure definitions  - Cox proportional hazards models stratified by site.</w:t>
      </w:r>
    </w:p>
    <w:p w:rsidR="004F7648" w:rsidRDefault="00625C7F" w:rsidP="00625C7F">
      <w:r>
        <w:rPr>
          <w:noProof/>
        </w:rPr>
        <w:drawing>
          <wp:inline distT="0" distB="0" distL="0" distR="0">
            <wp:extent cx="7534275" cy="5810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648" w:rsidSect="00625C7F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25C7F"/>
    <w:rsid w:val="002D48B1"/>
    <w:rsid w:val="004F7648"/>
    <w:rsid w:val="0062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Wolters Kluwer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2</cp:revision>
  <dcterms:created xsi:type="dcterms:W3CDTF">2011-02-02T16:29:00Z</dcterms:created>
  <dcterms:modified xsi:type="dcterms:W3CDTF">2011-02-02T16:30:00Z</dcterms:modified>
</cp:coreProperties>
</file>