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E8" w:rsidRDefault="008423E8" w:rsidP="00524E2B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Figure Supplemental Da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upplemental Data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2B" w:rsidRDefault="00524E2B" w:rsidP="00524E2B">
      <w:pPr>
        <w:spacing w:line="480" w:lineRule="auto"/>
      </w:pPr>
      <w:r w:rsidRPr="00C97E01">
        <w:rPr>
          <w:b/>
        </w:rPr>
        <w:lastRenderedPageBreak/>
        <w:t>Supplemental Digital Content 1:</w:t>
      </w:r>
      <w:r>
        <w:rPr>
          <w:b/>
        </w:rPr>
        <w:t xml:space="preserve">  </w:t>
      </w:r>
      <w:r>
        <w:rPr>
          <w:rFonts w:cs="Arial"/>
          <w:b/>
          <w:iCs/>
        </w:rPr>
        <w:t>Plasma sCD14, CCL2, and LPS</w:t>
      </w:r>
      <w:r w:rsidRPr="00283A9F">
        <w:rPr>
          <w:rFonts w:cs="Arial"/>
          <w:b/>
          <w:iCs/>
        </w:rPr>
        <w:t xml:space="preserve"> do not distinguish between subjects stratified by HAND clinical diagnosis</w:t>
      </w:r>
      <w:r>
        <w:rPr>
          <w:rFonts w:cs="Arial"/>
          <w:iCs/>
        </w:rPr>
        <w:t>. Subjects were grouped according to HAND diagnosis to compare plasma VL</w:t>
      </w:r>
      <w:r w:rsidRPr="0096564B">
        <w:rPr>
          <w:rFonts w:cs="Arial"/>
          <w:iCs/>
        </w:rPr>
        <w:t xml:space="preserve">, CD4 count, CD4 nadir, sCD14, </w:t>
      </w:r>
      <w:r>
        <w:rPr>
          <w:rFonts w:cs="Arial"/>
          <w:iCs/>
        </w:rPr>
        <w:t xml:space="preserve">CCL2, LPS and CSF VL between subjects with diagnosis of no impairment and each HAND diagnosis. No consistent differences were found in any markers. </w:t>
      </w:r>
      <w:r>
        <w:t xml:space="preserve">(VL, viral load; NCI, </w:t>
      </w:r>
      <w:proofErr w:type="spellStart"/>
      <w:r>
        <w:t>neurocognitive</w:t>
      </w:r>
      <w:proofErr w:type="spellEnd"/>
      <w:r>
        <w:t xml:space="preserve"> impairment; ANI, asymptomatic </w:t>
      </w:r>
      <w:proofErr w:type="spellStart"/>
      <w:r>
        <w:t>neurocognitive</w:t>
      </w:r>
      <w:proofErr w:type="spellEnd"/>
      <w:r>
        <w:t xml:space="preserve"> impairment; MCMD, minor cognitive-motor disorder; HAD, HIV-associated dementia; NPI-O, other neuropsychiatric impairment). </w:t>
      </w:r>
      <w:r w:rsidRPr="00447872">
        <w:t>Median values are indicated as horizontal lines. Statistical significance between groups was calculated using the two-tailed Mann-Whitney test; significant differences (p&lt;0.05) are indicated.</w:t>
      </w:r>
    </w:p>
    <w:p w:rsidR="009E6E38" w:rsidRDefault="009E6E38"/>
    <w:sectPr w:rsidR="009E6E38" w:rsidSect="00D511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24E2B"/>
    <w:rsid w:val="00524E2B"/>
    <w:rsid w:val="005C2592"/>
    <w:rsid w:val="008423E8"/>
    <w:rsid w:val="009E6E38"/>
    <w:rsid w:val="00D51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E2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3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3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668</Characters>
  <Application>Microsoft Office Word</Application>
  <DocSecurity>0</DocSecurity>
  <Lines>5</Lines>
  <Paragraphs>1</Paragraphs>
  <ScaleCrop>false</ScaleCrop>
  <Company>Wolters Kluwer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3</cp:revision>
  <dcterms:created xsi:type="dcterms:W3CDTF">2011-05-10T14:24:00Z</dcterms:created>
  <dcterms:modified xsi:type="dcterms:W3CDTF">2011-05-10T16:20:00Z</dcterms:modified>
</cp:coreProperties>
</file>