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2310" w:rsidRDefault="00E72310" w:rsidP="00AB5471">
      <w:pPr>
        <w:spacing w:line="480" w:lineRule="auto"/>
        <w:rPr>
          <w:b/>
        </w:rPr>
      </w:pPr>
      <w:r>
        <w:rPr>
          <w:b/>
          <w:noProof/>
        </w:rPr>
        <w:drawing>
          <wp:inline distT="0" distB="0" distL="0" distR="0">
            <wp:extent cx="5943600" cy="7691755"/>
            <wp:effectExtent l="19050" t="0" r="0" b="0"/>
            <wp:docPr id="1" name="Picture 0" descr="Figure Supplemental Dat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upplemental Data 2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471" w:rsidRPr="00262AF8" w:rsidRDefault="00AB5471" w:rsidP="00AB5471">
      <w:pPr>
        <w:spacing w:line="480" w:lineRule="auto"/>
      </w:pPr>
      <w:r w:rsidRPr="00C97E01">
        <w:rPr>
          <w:b/>
        </w:rPr>
        <w:lastRenderedPageBreak/>
        <w:t>Supplemental Digital Content 2:</w:t>
      </w:r>
      <w:r>
        <w:rPr>
          <w:b/>
        </w:rPr>
        <w:t xml:space="preserve">  </w:t>
      </w:r>
      <w:r w:rsidRPr="007D71C1">
        <w:rPr>
          <w:b/>
        </w:rPr>
        <w:t>HCV co-infection is associated with higher plasma LPS levels, but no difference in global T score</w:t>
      </w:r>
      <w:r>
        <w:rPr>
          <w:b/>
        </w:rPr>
        <w:t>s or plasma sCD14 levels</w:t>
      </w:r>
      <w:r w:rsidRPr="007D71C1">
        <w:rPr>
          <w:b/>
        </w:rPr>
        <w:t>.</w:t>
      </w:r>
      <w:r w:rsidRPr="00262AF8">
        <w:t xml:space="preserve"> Subjects were grou</w:t>
      </w:r>
      <w:r>
        <w:t xml:space="preserve">ped according to HCV </w:t>
      </w:r>
      <w:proofErr w:type="spellStart"/>
      <w:r w:rsidRPr="00262AF8">
        <w:t>serostatus</w:t>
      </w:r>
      <w:proofErr w:type="spellEnd"/>
      <w:r w:rsidRPr="00262AF8">
        <w:t xml:space="preserve"> in order to examine differences in CD4 count, na</w:t>
      </w:r>
      <w:r>
        <w:t>dir CD4 count, plasma VL, CSF VL</w:t>
      </w:r>
      <w:r w:rsidRPr="00262AF8">
        <w:t>, plasma sCD14, plasma CCL2, plasma LPS, and global T score. HCV+ subjects had higher plasma LPS than HCV- subjects (second row, thir</w:t>
      </w:r>
      <w:r>
        <w:t xml:space="preserve">d panel) and </w:t>
      </w:r>
      <w:r w:rsidRPr="00262AF8">
        <w:t xml:space="preserve">higher CD4 counts, </w:t>
      </w:r>
      <w:r>
        <w:t xml:space="preserve">higher </w:t>
      </w:r>
      <w:r w:rsidRPr="00262AF8">
        <w:t>nadir CD4 coun</w:t>
      </w:r>
      <w:r>
        <w:t>ts, and lower plasma VL</w:t>
      </w:r>
      <w:r w:rsidRPr="00262AF8">
        <w:t xml:space="preserve"> (t</w:t>
      </w:r>
      <w:r>
        <w:t xml:space="preserve">op row, first three panels), but there was no difference </w:t>
      </w:r>
      <w:r w:rsidRPr="00262AF8">
        <w:t xml:space="preserve">in global T scores between HCV+ and HCV- subjects (second row, far right panel). </w:t>
      </w:r>
      <w:proofErr w:type="gramStart"/>
      <w:r w:rsidRPr="00262AF8">
        <w:t>(VL, viral load).</w:t>
      </w:r>
      <w:proofErr w:type="gramEnd"/>
      <w:r w:rsidRPr="00262AF8">
        <w:t xml:space="preserve"> Median values are indicated as horizontal lines. Statistical significance between groups was calculated using the two-tailed Mann-Whitney test; significant differences (p&lt;0.05) are indicated.</w:t>
      </w:r>
    </w:p>
    <w:p w:rsidR="009E6E38" w:rsidRDefault="009E6E38"/>
    <w:sectPr w:rsidR="009E6E38" w:rsidSect="009E6E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B5471"/>
    <w:rsid w:val="003E6B14"/>
    <w:rsid w:val="009E6E38"/>
    <w:rsid w:val="00AB5471"/>
    <w:rsid w:val="00E723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547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23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31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126</Words>
  <Characters>723</Characters>
  <Application>Microsoft Office Word</Application>
  <DocSecurity>0</DocSecurity>
  <Lines>6</Lines>
  <Paragraphs>1</Paragraphs>
  <ScaleCrop>false</ScaleCrop>
  <Company>Wolters Kluwer</Company>
  <LinksUpToDate>false</LinksUpToDate>
  <CharactersWithSpaces>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KMyers</dc:creator>
  <cp:keywords/>
  <dc:description/>
  <cp:lastModifiedBy>KMyers</cp:lastModifiedBy>
  <cp:revision>2</cp:revision>
  <dcterms:created xsi:type="dcterms:W3CDTF">2011-05-10T14:24:00Z</dcterms:created>
  <dcterms:modified xsi:type="dcterms:W3CDTF">2011-05-10T16:20:00Z</dcterms:modified>
</cp:coreProperties>
</file>