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69F14" w14:textId="4D8DF4A8" w:rsidR="009A3952" w:rsidRPr="009A3952" w:rsidRDefault="00B50205" w:rsidP="009A3952">
      <w:pPr>
        <w:spacing w:after="0" w:line="480" w:lineRule="auto"/>
        <w:rPr>
          <w:rFonts w:ascii="Arial" w:hAnsi="Arial" w:cs="Arial"/>
          <w:b/>
          <w:bCs/>
          <w:u w:val="single"/>
        </w:rPr>
      </w:pPr>
      <w:r w:rsidRPr="00B50205">
        <w:rPr>
          <w:rFonts w:ascii="Arial" w:hAnsi="Arial"/>
          <w:b/>
          <w:u w:val="single"/>
        </w:rPr>
        <w:t xml:space="preserve">Supplemental Digital Content </w:t>
      </w:r>
      <w:r w:rsidR="00AB0B8E">
        <w:rPr>
          <w:rFonts w:ascii="Arial" w:hAnsi="Arial"/>
          <w:b/>
          <w:u w:val="single"/>
        </w:rPr>
        <w:t>3</w:t>
      </w:r>
      <w:r w:rsidR="009A3952" w:rsidRPr="00B50205">
        <w:rPr>
          <w:rFonts w:ascii="Arial" w:hAnsi="Arial" w:cs="Arial"/>
          <w:b/>
          <w:bCs/>
          <w:u w:val="single"/>
        </w:rPr>
        <w:t xml:space="preserve">. </w:t>
      </w:r>
      <w:r w:rsidR="009A3952" w:rsidRPr="009A3952">
        <w:rPr>
          <w:rFonts w:ascii="Arial" w:hAnsi="Arial" w:cs="Arial"/>
          <w:b/>
          <w:bCs/>
          <w:u w:val="single"/>
        </w:rPr>
        <w:t>Analysis of factors associated with linked partner infection.</w:t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530"/>
        <w:gridCol w:w="1260"/>
        <w:gridCol w:w="1260"/>
        <w:gridCol w:w="990"/>
        <w:gridCol w:w="1890"/>
        <w:gridCol w:w="900"/>
        <w:gridCol w:w="1980"/>
        <w:gridCol w:w="828"/>
      </w:tblGrid>
      <w:tr w:rsidR="009A3952" w:rsidRPr="000A763A" w14:paraId="4052AF0A" w14:textId="77777777" w:rsidTr="009A3952">
        <w:trPr>
          <w:trHeight w:val="11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E18420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CMBX12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B2DE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B036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b/>
              </w:rPr>
            </w:pPr>
            <w:r w:rsidRPr="000A763A">
              <w:rPr>
                <w:rFonts w:ascii="Arial" w:hAnsi="Arial" w:cs="CMBX12"/>
                <w:b/>
              </w:rPr>
              <w:t>Linked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DEFC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  <w:b/>
              </w:rPr>
            </w:pPr>
            <w:r w:rsidRPr="000A763A">
              <w:rPr>
                <w:rFonts w:ascii="Arial" w:hAnsi="Arial" w:cs="CMBX12"/>
                <w:b/>
              </w:rPr>
              <w:t>Unlinked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3B72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b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C4C59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Multivariate Model 1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9B431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Multivariate Model 2</w:t>
            </w:r>
          </w:p>
        </w:tc>
      </w:tr>
      <w:tr w:rsidR="009A3952" w:rsidRPr="000A763A" w14:paraId="35440302" w14:textId="77777777" w:rsidTr="009A3952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1FA69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CMBX12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05793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C7C8C" w14:textId="77777777" w:rsidR="009A3952" w:rsidRPr="00366E1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366E1F">
              <w:rPr>
                <w:rFonts w:ascii="Arial" w:hAnsi="Arial" w:cs="CMBX12"/>
              </w:rPr>
              <w:t>N=46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2A7AE" w14:textId="77777777" w:rsidR="009A3952" w:rsidRPr="00366E1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366E1F">
              <w:rPr>
                <w:rFonts w:ascii="Arial" w:hAnsi="Arial" w:cs="CMBX12"/>
              </w:rPr>
              <w:t>N=26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7871E" w14:textId="77777777" w:rsidR="009A3952" w:rsidRPr="000A763A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P</w:t>
            </w:r>
            <w:r w:rsidRPr="000A763A">
              <w:rPr>
                <w:rFonts w:ascii="Arial" w:hAnsi="Arial" w:cs="CMBX12"/>
                <w:b/>
              </w:rPr>
              <w:t xml:space="preserve"> </w:t>
            </w:r>
            <w:r>
              <w:rPr>
                <w:rFonts w:ascii="Arial" w:hAnsi="Arial" w:cs="CMBX12"/>
                <w:b/>
              </w:rPr>
              <w:t>value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7651F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OR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F48E8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 xml:space="preserve">P value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C9C76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OR (95% CI)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2CD7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P value</w:t>
            </w:r>
          </w:p>
        </w:tc>
      </w:tr>
      <w:tr w:rsidR="009A3952" w:rsidRPr="00FA3069" w14:paraId="31D27D0C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0D342179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Region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23F4C5D9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Africa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0056D3BA" w14:textId="77777777" w:rsidR="009A3952" w:rsidRPr="00CA173F" w:rsidDel="0070128B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39</w:t>
            </w:r>
            <w:r w:rsidRPr="00CA173F">
              <w:rPr>
                <w:rFonts w:ascii="Arial" w:hAnsi="Arial" w:cs="CMBX12"/>
              </w:rPr>
              <w:t xml:space="preserve"> (8</w:t>
            </w:r>
            <w:r>
              <w:rPr>
                <w:rFonts w:ascii="Arial" w:hAnsi="Arial" w:cs="CMBX12"/>
              </w:rPr>
              <w:t>5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1E053B66" w14:textId="77777777" w:rsidR="009A3952" w:rsidRPr="00CA173F" w:rsidDel="0070128B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23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88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49C46DB4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74</w:t>
            </w:r>
            <w:r>
              <w:rPr>
                <w:rFonts w:ascii="Arial" w:hAnsi="Arial" w:cs="CMBX12"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FB17CB8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70A48A8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50921625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0F685D5D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:rsidRPr="00FA3069" w14:paraId="4D7AD99E" w14:textId="77777777" w:rsidTr="009A3952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3FB0A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2ABFC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Asia</w:t>
            </w:r>
            <w:r>
              <w:rPr>
                <w:rFonts w:ascii="Arial" w:hAnsi="Arial" w:cs="CMBX12"/>
              </w:rPr>
              <w:t>/America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CDE66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7</w:t>
            </w:r>
            <w:r w:rsidRPr="00CA173F">
              <w:rPr>
                <w:rFonts w:ascii="Arial" w:hAnsi="Arial" w:cs="CMBX12"/>
              </w:rPr>
              <w:t xml:space="preserve"> (1</w:t>
            </w:r>
            <w:r>
              <w:rPr>
                <w:rFonts w:ascii="Arial" w:hAnsi="Arial" w:cs="CMBX12"/>
              </w:rPr>
              <w:t>5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CF8EC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12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657F7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7D97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3E20B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3B82F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DA40A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3FE2A606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7CFB4EE6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 xml:space="preserve">Index </w:t>
            </w:r>
            <w:r>
              <w:rPr>
                <w:rFonts w:ascii="Arial" w:hAnsi="Arial" w:cs="CMBX12"/>
              </w:rPr>
              <w:t>sex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500EB8DA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Male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5FD6613B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21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46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3E5CECB3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11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42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0DF167D2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81</w:t>
            </w:r>
            <w:r>
              <w:rPr>
                <w:rFonts w:ascii="Arial" w:hAnsi="Arial" w:cs="CMBX12"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128A023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E93FEB6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5E9F5519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21908247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3521C76D" w14:textId="77777777" w:rsidTr="009A3952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811E9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420C3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9C244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25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54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E73FB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15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58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456BF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0D32D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2D8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884A2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4FB84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206E9339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6BEC7D95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Couple type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6A9AA6ED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Male-M</w:t>
            </w:r>
            <w:r w:rsidRPr="00CA173F">
              <w:rPr>
                <w:rFonts w:ascii="Arial" w:hAnsi="Arial" w:cs="CMBX12"/>
              </w:rPr>
              <w:t>ale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4A02BE38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0 (0%)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6648484D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2 (</w:t>
            </w:r>
            <w:r>
              <w:rPr>
                <w:rFonts w:ascii="Arial" w:hAnsi="Arial" w:cs="CMBX12"/>
              </w:rPr>
              <w:t>8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7E0AA9A1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13</w:t>
            </w:r>
            <w:r>
              <w:rPr>
                <w:rFonts w:ascii="Arial" w:hAnsi="Arial" w:cs="CMBX12"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A1A88C2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6FD83AB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26B12771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7542D83D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00D59B99" w14:textId="77777777" w:rsidTr="009A3952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2BD4F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5641A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O</w:t>
            </w:r>
            <w:r w:rsidRPr="00CA173F">
              <w:rPr>
                <w:rFonts w:ascii="Arial" w:hAnsi="Arial" w:cs="CMBX12"/>
              </w:rPr>
              <w:t>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E2291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46</w:t>
            </w:r>
            <w:r w:rsidRPr="00CA173F">
              <w:rPr>
                <w:rFonts w:ascii="Arial" w:hAnsi="Arial" w:cs="CMBX12"/>
              </w:rPr>
              <w:t xml:space="preserve"> (100%)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10ECF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24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92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1F80A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54D22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CDF5A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15CE7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6089E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2C504B81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1DBEFC59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S</w:t>
            </w:r>
            <w:r w:rsidRPr="00CA173F">
              <w:rPr>
                <w:rFonts w:ascii="Arial" w:hAnsi="Arial" w:cs="CMBX12"/>
              </w:rPr>
              <w:t>tudy arm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42E3ABEA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E</w:t>
            </w:r>
            <w:r w:rsidRPr="00CA173F">
              <w:rPr>
                <w:rFonts w:ascii="Arial" w:hAnsi="Arial" w:cs="CMBX12"/>
              </w:rPr>
              <w:t>arly ART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3346FD39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7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456D4155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14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54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0B703A9D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  <w:r w:rsidRPr="00243697">
              <w:rPr>
                <w:rFonts w:ascii="Arial" w:hAnsi="Arial" w:cs="CMBX12"/>
                <w:b/>
              </w:rPr>
              <w:t>&lt;</w:t>
            </w:r>
            <w:r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243697">
              <w:rPr>
                <w:rFonts w:ascii="Arial" w:hAnsi="Arial" w:cs="CMBX12"/>
                <w:b/>
              </w:rPr>
              <w:t>0001</w:t>
            </w:r>
            <w:r w:rsidRPr="00243697">
              <w:rPr>
                <w:rFonts w:ascii="Arial" w:hAnsi="Arial" w:cs="CMBX12"/>
                <w:b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6B855F9E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07 (0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01, 0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94)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76B20E48" w14:textId="77777777" w:rsidR="009A3952" w:rsidRPr="00E5478E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  <w:r w:rsidRPr="00E5478E"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E5478E">
              <w:rPr>
                <w:rFonts w:ascii="Arial" w:hAnsi="Arial" w:cs="CMBX12"/>
                <w:b/>
              </w:rPr>
              <w:t>045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27DAD0ED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108DD5D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:rsidRPr="0037034C" w14:paraId="521F260C" w14:textId="77777777" w:rsidTr="009A3952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D5D85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97FFF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Delayed</w:t>
            </w:r>
            <w:r w:rsidRPr="00CA173F">
              <w:rPr>
                <w:rFonts w:ascii="Arial" w:hAnsi="Arial" w:cs="CMBX12"/>
              </w:rPr>
              <w:t xml:space="preserve"> 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03AD2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43</w:t>
            </w:r>
            <w:r w:rsidRPr="00CA173F">
              <w:rPr>
                <w:rFonts w:ascii="Arial" w:hAnsi="Arial" w:cs="CMBX12"/>
              </w:rPr>
              <w:t xml:space="preserve"> (9</w:t>
            </w:r>
            <w:r>
              <w:rPr>
                <w:rFonts w:ascii="Arial" w:hAnsi="Arial" w:cs="CMBX12"/>
              </w:rPr>
              <w:t>3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D5452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12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46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892F3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A40DC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6DD76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AD1C9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CCAE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6961A5B3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10037759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 xml:space="preserve">Index on ART 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700654C4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Yes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3DEECF53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8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17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0D948131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21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81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152CE6B5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  <w:r w:rsidRPr="00243697">
              <w:rPr>
                <w:rFonts w:ascii="Arial" w:hAnsi="Arial" w:cs="CMBX12"/>
                <w:b/>
              </w:rPr>
              <w:t>&lt;</w:t>
            </w:r>
            <w:r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243697">
              <w:rPr>
                <w:rFonts w:ascii="Arial" w:hAnsi="Arial" w:cs="CMBX12"/>
                <w:b/>
              </w:rPr>
              <w:t>0001</w:t>
            </w:r>
            <w:r w:rsidRPr="00243697">
              <w:rPr>
                <w:rFonts w:ascii="Arial" w:hAnsi="Arial" w:cs="CMBX12"/>
                <w:b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69B602D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41C5A7EB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56C7A8BA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44A0D6EA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02CEEF3C" w14:textId="77777777" w:rsidTr="009A3952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A3EF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 xml:space="preserve">at </w:t>
            </w:r>
            <w:r w:rsidRPr="00CA173F">
              <w:rPr>
                <w:rFonts w:ascii="Arial" w:hAnsi="Arial" w:cs="CMBX12"/>
              </w:rPr>
              <w:t>SC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3F4D8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4E752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38</w:t>
            </w:r>
            <w:r w:rsidRPr="00CA173F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83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B215C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5</w:t>
            </w:r>
            <w:r>
              <w:rPr>
                <w:rFonts w:ascii="Arial" w:hAnsi="Arial" w:cs="CMBX12"/>
                <w:vertAlign w:val="superscript"/>
              </w:rPr>
              <w:t>c</w:t>
            </w:r>
            <w:r>
              <w:rPr>
                <w:rFonts w:ascii="Arial" w:hAnsi="Arial" w:cs="CMBX12"/>
              </w:rPr>
              <w:t xml:space="preserve"> (19</w:t>
            </w:r>
            <w:r w:rsidRPr="00CA173F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BA7E8" w14:textId="77777777" w:rsidR="009A3952" w:rsidRPr="00FB389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52ED2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20953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CA998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2EA2E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:rsidRPr="001866A6" w14:paraId="17B3FF0B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BC8279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Index VL &gt;400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4634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No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3F77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4 (9%)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7466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21 (88%)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1416C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  <w:b/>
              </w:rPr>
              <w:t>&lt;0</w:t>
            </w:r>
            <w:r>
              <w:rPr>
                <w:rFonts w:ascii="Arial" w:hAnsi="Arial" w:cs="Arial"/>
                <w:bCs/>
              </w:rPr>
              <w:t>.</w:t>
            </w:r>
            <w:r w:rsidRPr="001866A6">
              <w:rPr>
                <w:rFonts w:ascii="Arial" w:hAnsi="Arial" w:cs="CMBX12"/>
                <w:b/>
              </w:rPr>
              <w:t>0001</w:t>
            </w:r>
            <w:r w:rsidRPr="001866A6">
              <w:rPr>
                <w:rFonts w:ascii="Arial" w:hAnsi="Arial" w:cs="CMBX12"/>
                <w:b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87BA4D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Ref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15BB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  <w:r w:rsidRPr="001866A6"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1866A6">
              <w:rPr>
                <w:rFonts w:ascii="Arial" w:hAnsi="Arial" w:cs="CMBX12"/>
                <w:b/>
              </w:rPr>
              <w:t>0006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658724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Not included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E529B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:rsidRPr="001866A6" w14:paraId="1AE51C1F" w14:textId="77777777" w:rsidTr="009A3952"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4C10B3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at SC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99CB6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6DCB5B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39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1F48B6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1866A6">
              <w:rPr>
                <w:rFonts w:ascii="Arial" w:hAnsi="Arial" w:cs="CMBX12"/>
              </w:rPr>
              <w:t>3 (13%)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35421D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361DC3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  <w:b/>
              </w:rPr>
            </w:pPr>
            <w:r w:rsidRPr="001866A6">
              <w:rPr>
                <w:rFonts w:ascii="Arial" w:hAnsi="Arial" w:cs="CMBX12"/>
                <w:b/>
              </w:rPr>
              <w:t>157 (8</w:t>
            </w:r>
            <w:r>
              <w:rPr>
                <w:rFonts w:ascii="Arial" w:hAnsi="Arial" w:cs="CMBX12"/>
                <w:b/>
              </w:rPr>
              <w:t>.</w:t>
            </w:r>
            <w:r w:rsidRPr="001866A6">
              <w:rPr>
                <w:rFonts w:ascii="Arial" w:hAnsi="Arial" w:cs="CMBX12"/>
                <w:b/>
              </w:rPr>
              <w:t>8, &gt;999)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20A9C4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1D9B92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E601F0" w14:textId="77777777" w:rsidR="009A3952" w:rsidRPr="001866A6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14:paraId="3091D158" w14:textId="77777777" w:rsidTr="009A3952">
        <w:tc>
          <w:tcPr>
            <w:tcW w:w="1800" w:type="dxa"/>
            <w:tcBorders>
              <w:left w:val="nil"/>
              <w:right w:val="nil"/>
            </w:tcBorders>
          </w:tcPr>
          <w:p w14:paraId="6274931F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 xml:space="preserve">Index </w:t>
            </w:r>
            <w:r>
              <w:rPr>
                <w:rFonts w:ascii="Arial" w:hAnsi="Arial" w:cs="CMBX12"/>
              </w:rPr>
              <w:t>log</w:t>
            </w:r>
            <w:r w:rsidRPr="008E6163">
              <w:rPr>
                <w:rFonts w:ascii="Arial" w:hAnsi="Arial" w:cs="CMBX12"/>
                <w:vertAlign w:val="subscript"/>
              </w:rPr>
              <w:t>10</w:t>
            </w:r>
            <w:r>
              <w:rPr>
                <w:rFonts w:ascii="Arial" w:hAnsi="Arial" w:cs="CMBX12"/>
              </w:rPr>
              <w:t xml:space="preserve">VL </w:t>
            </w:r>
          </w:p>
          <w:p w14:paraId="2D3CFF81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at SC</w:t>
            </w:r>
            <w:r>
              <w:rPr>
                <w:rFonts w:ascii="Arial" w:hAnsi="Arial" w:cs="CMBX12"/>
                <w:vertAlign w:val="superscript"/>
              </w:rPr>
              <w:t>d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822B947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Median</w:t>
            </w:r>
          </w:p>
          <w:p w14:paraId="072AA23A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(IQR)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99E3ED9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4.93</w:t>
            </w:r>
          </w:p>
          <w:p w14:paraId="16DDD204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(4.11, 5.25)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6CEAC5B" w14:textId="77777777" w:rsidR="009A3952" w:rsidRPr="00986A5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986A5D">
              <w:rPr>
                <w:rFonts w:ascii="Arial" w:hAnsi="Arial" w:cs="CMBX12"/>
              </w:rPr>
              <w:t>2.60</w:t>
            </w:r>
          </w:p>
          <w:p w14:paraId="51B71525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986A5D">
              <w:rPr>
                <w:rFonts w:ascii="Arial" w:hAnsi="Arial" w:cs="CMBX12"/>
              </w:rPr>
              <w:t>(2.60, 2.60)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7B31078" w14:textId="77777777" w:rsidR="009A3952" w:rsidRPr="00243697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b/>
              </w:rPr>
            </w:pPr>
            <w:r w:rsidRPr="00243697">
              <w:rPr>
                <w:rFonts w:ascii="Arial" w:hAnsi="Arial" w:cs="CMBX12"/>
                <w:b/>
              </w:rPr>
              <w:t>&lt;</w:t>
            </w:r>
            <w:r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243697">
              <w:rPr>
                <w:rFonts w:ascii="Arial" w:hAnsi="Arial" w:cs="CMBX12"/>
                <w:b/>
              </w:rPr>
              <w:t>0001</w:t>
            </w:r>
            <w:r w:rsidRPr="00243697">
              <w:rPr>
                <w:rFonts w:ascii="Arial" w:hAnsi="Arial" w:cs="CMBX12"/>
                <w:b/>
                <w:vertAlign w:val="superscript"/>
              </w:rPr>
              <w:t>b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2B8BB83E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Not included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A27E4B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77CF653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294DAE">
              <w:rPr>
                <w:rFonts w:ascii="Arial" w:hAnsi="Arial" w:cs="CMBX12"/>
                <w:b/>
              </w:rPr>
              <w:t>12</w:t>
            </w:r>
            <w:r>
              <w:rPr>
                <w:rFonts w:ascii="Arial" w:hAnsi="Arial" w:cs="CMBX12"/>
                <w:b/>
              </w:rPr>
              <w:t>.</w:t>
            </w:r>
            <w:r w:rsidRPr="00294DAE">
              <w:rPr>
                <w:rFonts w:ascii="Arial" w:hAnsi="Arial" w:cs="CMBX12"/>
                <w:b/>
              </w:rPr>
              <w:t>85 (3</w:t>
            </w:r>
            <w:r>
              <w:rPr>
                <w:rFonts w:ascii="Arial" w:hAnsi="Arial" w:cs="CMBX12"/>
                <w:b/>
              </w:rPr>
              <w:t>.</w:t>
            </w:r>
            <w:r w:rsidRPr="00294DAE">
              <w:rPr>
                <w:rFonts w:ascii="Arial" w:hAnsi="Arial" w:cs="CMBX12"/>
                <w:b/>
              </w:rPr>
              <w:t>76, 43</w:t>
            </w:r>
            <w:r>
              <w:rPr>
                <w:rFonts w:ascii="Arial" w:hAnsi="Arial" w:cs="CMBX12"/>
                <w:b/>
              </w:rPr>
              <w:t>.</w:t>
            </w:r>
            <w:r w:rsidRPr="00294DAE">
              <w:rPr>
                <w:rFonts w:ascii="Arial" w:hAnsi="Arial" w:cs="CMBX12"/>
                <w:b/>
              </w:rPr>
              <w:t>99)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14:paraId="7002A571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 w:rsidRPr="00D80C53">
              <w:rPr>
                <w:rFonts w:ascii="Arial" w:hAnsi="Arial" w:cs="CMBX12"/>
                <w:b/>
              </w:rPr>
              <w:t>&lt;0</w:t>
            </w:r>
            <w:r>
              <w:rPr>
                <w:rFonts w:ascii="Arial" w:hAnsi="Arial" w:cs="Arial"/>
                <w:bCs/>
              </w:rPr>
              <w:t>.</w:t>
            </w:r>
            <w:r w:rsidRPr="00D80C53">
              <w:rPr>
                <w:rFonts w:ascii="Arial" w:hAnsi="Arial" w:cs="CMBX12"/>
                <w:b/>
              </w:rPr>
              <w:t>0001</w:t>
            </w:r>
          </w:p>
        </w:tc>
      </w:tr>
      <w:tr w:rsidR="009A3952" w14:paraId="124D8381" w14:textId="77777777" w:rsidTr="009A3952">
        <w:trPr>
          <w:trHeight w:val="638"/>
        </w:trPr>
        <w:tc>
          <w:tcPr>
            <w:tcW w:w="1800" w:type="dxa"/>
            <w:tcBorders>
              <w:left w:val="nil"/>
              <w:right w:val="nil"/>
            </w:tcBorders>
          </w:tcPr>
          <w:p w14:paraId="6518E905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Index CD4</w:t>
            </w:r>
            <w:r>
              <w:rPr>
                <w:rFonts w:ascii="Arial" w:hAnsi="Arial" w:cs="CMBX12"/>
              </w:rPr>
              <w:t xml:space="preserve"> </w:t>
            </w:r>
          </w:p>
          <w:p w14:paraId="07B04CAC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at SC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17A0C86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Median</w:t>
            </w:r>
          </w:p>
          <w:p w14:paraId="123F2056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(IQR)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AC84ACD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379</w:t>
            </w:r>
          </w:p>
          <w:p w14:paraId="10EA5FDC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(308, 476</w:t>
            </w:r>
            <w:r w:rsidRPr="00CA173F">
              <w:rPr>
                <w:rFonts w:ascii="Arial" w:hAnsi="Arial" w:cs="CMBX12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A6C360B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540</w:t>
            </w:r>
          </w:p>
          <w:p w14:paraId="74620388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(484</w:t>
            </w:r>
            <w:r w:rsidRPr="00CA173F">
              <w:rPr>
                <w:rFonts w:ascii="Arial" w:hAnsi="Arial" w:cs="CMBX12"/>
              </w:rPr>
              <w:t>,</w:t>
            </w:r>
            <w:r>
              <w:rPr>
                <w:rFonts w:ascii="Arial" w:hAnsi="Arial" w:cs="CMBX12"/>
              </w:rPr>
              <w:t xml:space="preserve"> 683</w:t>
            </w:r>
            <w:r w:rsidRPr="00CA173F">
              <w:rPr>
                <w:rFonts w:ascii="Arial" w:hAnsi="Arial" w:cs="CMBX12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F2E79CE" w14:textId="77777777" w:rsidR="009A3952" w:rsidRPr="00243697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243697">
              <w:rPr>
                <w:rFonts w:ascii="Arial" w:hAnsi="Arial" w:cs="CMBX12"/>
                <w:b/>
              </w:rPr>
              <w:t>0002</w:t>
            </w:r>
            <w:r w:rsidRPr="00243697">
              <w:rPr>
                <w:rFonts w:ascii="Arial" w:hAnsi="Arial" w:cs="CMBX12"/>
                <w:b/>
                <w:vertAlign w:val="superscript"/>
              </w:rPr>
              <w:t>b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503C859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31 (0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10, 0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CMBX12"/>
              </w:rPr>
              <w:t>91)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D29E98E" w14:textId="77777777" w:rsidR="009A3952" w:rsidRPr="00E5478E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b/>
              </w:rPr>
            </w:pPr>
            <w:r w:rsidRPr="00E5478E"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E5478E">
              <w:rPr>
                <w:rFonts w:ascii="Arial" w:hAnsi="Arial" w:cs="CMBX12"/>
                <w:b/>
              </w:rPr>
              <w:t>033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BF1C3A7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14:paraId="74EBBA0D" w14:textId="77777777" w:rsidR="009A3952" w:rsidRPr="00D80C53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b/>
              </w:rPr>
            </w:pPr>
          </w:p>
        </w:tc>
      </w:tr>
      <w:tr w:rsidR="009A3952" w14:paraId="2A7C0073" w14:textId="77777777" w:rsidTr="009A3952">
        <w:trPr>
          <w:trHeight w:val="584"/>
        </w:trPr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42BAAC3A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 xml:space="preserve">Yrs enrollment </w:t>
            </w:r>
          </w:p>
          <w:p w14:paraId="0E6E0809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to SC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70861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Median</w:t>
            </w:r>
          </w:p>
          <w:p w14:paraId="1049332E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(IQR)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D1931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1.5</w:t>
            </w:r>
          </w:p>
          <w:p w14:paraId="39FC5075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(0.8, 2.2</w:t>
            </w:r>
            <w:r w:rsidRPr="00CA173F">
              <w:rPr>
                <w:rFonts w:ascii="Arial" w:hAnsi="Arial" w:cs="CMBX12"/>
              </w:rPr>
              <w:t>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A76250" w14:textId="77777777" w:rsidR="009A3952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3.3</w:t>
            </w:r>
          </w:p>
          <w:p w14:paraId="73734750" w14:textId="77777777" w:rsidR="009A3952" w:rsidRPr="00CA173F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 w:rsidRPr="00CA173F">
              <w:rPr>
                <w:rFonts w:ascii="Arial" w:hAnsi="Arial" w:cs="CMBX12"/>
              </w:rPr>
              <w:t>(</w:t>
            </w:r>
            <w:r>
              <w:rPr>
                <w:rFonts w:ascii="Arial" w:hAnsi="Arial" w:cs="CMBX12"/>
              </w:rPr>
              <w:t>2.0</w:t>
            </w:r>
            <w:r w:rsidRPr="00CA173F">
              <w:rPr>
                <w:rFonts w:ascii="Arial" w:hAnsi="Arial" w:cs="CMBX12"/>
              </w:rPr>
              <w:t>,</w:t>
            </w:r>
            <w:r>
              <w:rPr>
                <w:rFonts w:ascii="Arial" w:hAnsi="Arial" w:cs="CMBX12"/>
              </w:rPr>
              <w:t xml:space="preserve"> 4.7</w:t>
            </w:r>
            <w:r w:rsidRPr="00CA173F">
              <w:rPr>
                <w:rFonts w:ascii="Arial" w:hAnsi="Arial" w:cs="CMBX12"/>
              </w:rPr>
              <w:t>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2883C75E" w14:textId="77777777" w:rsidR="009A3952" w:rsidRPr="00243697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b/>
              </w:rPr>
            </w:pPr>
            <w:r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243697">
              <w:rPr>
                <w:rFonts w:ascii="Arial" w:hAnsi="Arial" w:cs="CMBX12"/>
                <w:b/>
              </w:rPr>
              <w:t>0003</w:t>
            </w:r>
            <w:r w:rsidRPr="00243697">
              <w:rPr>
                <w:rFonts w:ascii="Arial" w:hAnsi="Arial" w:cs="CMBX12"/>
                <w:b/>
                <w:vertAlign w:val="superscript"/>
              </w:rPr>
              <w:t>b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62842C0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398E774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BF3EC63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14:paraId="77C061FC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:rsidRPr="000B1F18" w14:paraId="4D639BE2" w14:textId="77777777" w:rsidTr="009A3952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22A1803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S</w:t>
            </w:r>
            <w:r w:rsidRPr="000B1F18">
              <w:rPr>
                <w:rFonts w:ascii="Arial" w:hAnsi="Arial" w:cs="CMBX12"/>
              </w:rPr>
              <w:t>ex partners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53E81BEE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0B1F18">
              <w:rPr>
                <w:rFonts w:ascii="Arial" w:hAnsi="Arial" w:cs="CMBX12"/>
              </w:rPr>
              <w:t>&gt;1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A846895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 xml:space="preserve">0 </w:t>
            </w:r>
            <w:r w:rsidRPr="000B1F18">
              <w:rPr>
                <w:rFonts w:ascii="Arial" w:hAnsi="Arial" w:cs="CMBX12"/>
              </w:rPr>
              <w:t>(</w:t>
            </w:r>
            <w:r>
              <w:rPr>
                <w:rFonts w:ascii="Arial" w:hAnsi="Arial" w:cs="CMBX12"/>
              </w:rPr>
              <w:t>0</w:t>
            </w:r>
            <w:r w:rsidRPr="000B1F18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14ACDDEB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5 (19</w:t>
            </w:r>
            <w:r w:rsidRPr="000B1F18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46CA4647" w14:textId="77777777" w:rsidR="009A3952" w:rsidRPr="00E5478E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b/>
                <w:u w:val="single"/>
              </w:rPr>
            </w:pPr>
            <w:r w:rsidRPr="00E5478E">
              <w:rPr>
                <w:rFonts w:ascii="Arial" w:hAnsi="Arial" w:cs="CMBX12"/>
                <w:b/>
              </w:rPr>
              <w:t>0</w:t>
            </w:r>
            <w:r>
              <w:rPr>
                <w:rFonts w:ascii="Arial" w:hAnsi="Arial" w:cs="CMBX12"/>
                <w:b/>
              </w:rPr>
              <w:t>.</w:t>
            </w:r>
            <w:r w:rsidRPr="00E5478E">
              <w:rPr>
                <w:rFonts w:ascii="Arial" w:hAnsi="Arial" w:cs="CMBX12"/>
                <w:b/>
              </w:rPr>
              <w:t>007</w:t>
            </w:r>
            <w:r w:rsidRPr="00E5478E">
              <w:rPr>
                <w:rFonts w:ascii="Arial" w:hAnsi="Arial" w:cs="CMBX12"/>
                <w:b/>
                <w:vertAlign w:val="superscript"/>
              </w:rPr>
              <w:t>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8F6FDB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66F385C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43D1D8B8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14:paraId="6473E6A1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</w:p>
        </w:tc>
      </w:tr>
      <w:tr w:rsidR="009A3952" w:rsidRPr="000B1F18" w14:paraId="197E8787" w14:textId="77777777" w:rsidTr="009A395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600E70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≤3</w:t>
            </w:r>
            <w:r w:rsidRPr="000B1F18">
              <w:rPr>
                <w:rFonts w:ascii="Arial" w:hAnsi="Arial" w:cs="CMBX12"/>
              </w:rPr>
              <w:t xml:space="preserve"> </w:t>
            </w:r>
            <w:r>
              <w:rPr>
                <w:rFonts w:ascii="Arial" w:hAnsi="Arial" w:cs="CMBX12"/>
              </w:rPr>
              <w:t>months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16904A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0B1F18">
              <w:rPr>
                <w:rFonts w:ascii="Arial" w:hAnsi="Arial" w:cs="CMBX12"/>
              </w:rPr>
              <w:t xml:space="preserve">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A4A2A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41</w:t>
            </w:r>
            <w:r w:rsidRPr="000B1F18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89</w:t>
            </w:r>
            <w:r w:rsidRPr="000B1F18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C060D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19</w:t>
            </w:r>
            <w:r w:rsidRPr="000B1F18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73</w:t>
            </w:r>
            <w:r w:rsidRPr="000B1F18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DD90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30CA09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38441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B561F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7B3A76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u w:val="single"/>
              </w:rPr>
            </w:pPr>
          </w:p>
        </w:tc>
      </w:tr>
      <w:tr w:rsidR="009A3952" w14:paraId="5C2BC8C7" w14:textId="77777777" w:rsidTr="009A3952"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6220489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CMBX12"/>
              </w:rPr>
            </w:pPr>
            <w:r w:rsidRPr="000B1F18">
              <w:rPr>
                <w:rFonts w:ascii="Arial" w:hAnsi="Arial" w:cs="CMBX12"/>
              </w:rPr>
              <w:t>before SC</w:t>
            </w:r>
            <w:r>
              <w:rPr>
                <w:rFonts w:ascii="Arial" w:hAnsi="Arial" w:cs="CMBX12"/>
                <w:vertAlign w:val="superscript"/>
              </w:rPr>
              <w:t>e</w:t>
            </w:r>
            <w:r w:rsidRPr="000B1F18">
              <w:rPr>
                <w:rFonts w:ascii="Arial" w:hAnsi="Arial" w:cs="CMBX12"/>
              </w:rPr>
              <w:t xml:space="preserve">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0214C1FB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CMBX12"/>
              </w:rPr>
            </w:pPr>
            <w:r w:rsidRPr="000B1F18">
              <w:rPr>
                <w:rFonts w:ascii="Arial" w:hAnsi="Arial" w:cs="CMBX1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1627539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3</w:t>
            </w:r>
            <w:r w:rsidRPr="000B1F18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7</w:t>
            </w:r>
            <w:r w:rsidRPr="000B1F18">
              <w:rPr>
                <w:rFonts w:ascii="Arial" w:hAnsi="Arial" w:cs="CMBX12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9381101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Arial" w:hAnsi="Arial" w:cs="CMBX12"/>
              </w:rPr>
            </w:pPr>
            <w:r>
              <w:rPr>
                <w:rFonts w:ascii="Arial" w:hAnsi="Arial" w:cs="CMBX12"/>
              </w:rPr>
              <w:t>2</w:t>
            </w:r>
            <w:r w:rsidRPr="000B1F18">
              <w:rPr>
                <w:rFonts w:ascii="Arial" w:hAnsi="Arial" w:cs="CMBX12"/>
              </w:rPr>
              <w:t xml:space="preserve"> (</w:t>
            </w:r>
            <w:r>
              <w:rPr>
                <w:rFonts w:ascii="Arial" w:hAnsi="Arial" w:cs="CMBX12"/>
              </w:rPr>
              <w:t>8</w:t>
            </w:r>
            <w:r w:rsidRPr="000B1F18">
              <w:rPr>
                <w:rFonts w:ascii="Arial" w:hAnsi="Arial" w:cs="CMBX12"/>
              </w:rPr>
              <w:t>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26F14987" w14:textId="77777777" w:rsidR="009A3952" w:rsidRPr="000B1F18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19E84AE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954C960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4BE2A44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CMBX12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14:paraId="5E6823A1" w14:textId="77777777" w:rsidR="009A3952" w:rsidRPr="003A246D" w:rsidRDefault="009A3952" w:rsidP="009A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CMBX12"/>
                <w:u w:val="single"/>
              </w:rPr>
            </w:pPr>
          </w:p>
        </w:tc>
      </w:tr>
    </w:tbl>
    <w:p w14:paraId="0AC094D5" w14:textId="77777777" w:rsidR="005645EB" w:rsidRDefault="005645EB" w:rsidP="009A39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A66FEF" w14:textId="77777777" w:rsidR="005645EB" w:rsidRDefault="005645EB" w:rsidP="009A39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1B61B4" w14:textId="158ABF0F" w:rsidR="009A3952" w:rsidRDefault="009A3952" w:rsidP="009A3952">
      <w:pPr>
        <w:spacing w:after="0" w:line="240" w:lineRule="auto"/>
        <w:rPr>
          <w:rFonts w:ascii="Arial" w:hAnsi="Arial" w:cs="Arial"/>
          <w:b/>
          <w:bCs/>
        </w:rPr>
      </w:pPr>
      <w:r w:rsidRPr="005645EB">
        <w:rPr>
          <w:rFonts w:ascii="Arial" w:hAnsi="Arial" w:cs="Arial"/>
          <w:b/>
          <w:bCs/>
        </w:rPr>
        <w:t>Legend for Supplementary Table:</w:t>
      </w:r>
    </w:p>
    <w:p w14:paraId="3232557D" w14:textId="77777777" w:rsidR="005645EB" w:rsidRPr="005645EB" w:rsidRDefault="005645EB" w:rsidP="009A3952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28289D7D" w14:textId="00D39E67" w:rsidR="009A3952" w:rsidRPr="005645EB" w:rsidRDefault="009A3952" w:rsidP="00A35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CMBX12"/>
        </w:rPr>
      </w:pPr>
      <w:r w:rsidRPr="005645EB">
        <w:rPr>
          <w:rFonts w:ascii="Arial" w:hAnsi="Arial" w:cs="CMBX12"/>
        </w:rPr>
        <w:t>Results are shown for univariate analyses and two multivariate models performed using backward stepwise regression. Multivariate model 1 used the binary variable for viral load (&lt;400 or ≥400 HIV RNA copies/mL); multivariate model 2 used the continuous variable for viral load (log</w:t>
      </w:r>
      <w:r w:rsidRPr="005645EB">
        <w:rPr>
          <w:rFonts w:ascii="Arial" w:hAnsi="Arial" w:cs="CMBX12"/>
          <w:vertAlign w:val="subscript"/>
        </w:rPr>
        <w:t>10</w:t>
      </w:r>
      <w:r w:rsidRPr="005645EB">
        <w:rPr>
          <w:rFonts w:ascii="Arial" w:hAnsi="Arial" w:cs="CMBX12"/>
        </w:rPr>
        <w:t xml:space="preserve"> HIV RNA copies/mL). Significance was defined as </w:t>
      </w:r>
      <w:r w:rsidR="00C64D0A" w:rsidRPr="005645EB">
        <w:rPr>
          <w:rFonts w:ascii="Arial" w:hAnsi="Arial" w:cs="CMBX12"/>
        </w:rPr>
        <w:t>p</w:t>
      </w:r>
      <w:r w:rsidRPr="005645EB">
        <w:rPr>
          <w:rFonts w:ascii="Arial" w:hAnsi="Arial" w:cs="CMBX12"/>
        </w:rPr>
        <w:t xml:space="preserve"> &lt;0.05 (bold text). CD4 cell count data were analyzed per 100 cells/mm</w:t>
      </w:r>
      <w:r w:rsidRPr="005645EB">
        <w:rPr>
          <w:rFonts w:ascii="Arial" w:hAnsi="Arial" w:cs="CMBX12"/>
          <w:vertAlign w:val="superscript"/>
        </w:rPr>
        <w:t>3</w:t>
      </w:r>
      <w:r w:rsidRPr="005645EB">
        <w:rPr>
          <w:rFonts w:ascii="Arial" w:hAnsi="Arial" w:cs="CMBX12"/>
        </w:rPr>
        <w:t xml:space="preserve"> increment; continuous viral load data were analyzed per log</w:t>
      </w:r>
      <w:r w:rsidRPr="005645EB">
        <w:rPr>
          <w:rFonts w:ascii="Arial" w:hAnsi="Arial" w:cs="CMBX12"/>
          <w:vertAlign w:val="subscript"/>
        </w:rPr>
        <w:t>10</w:t>
      </w:r>
      <w:r w:rsidRPr="005645EB">
        <w:rPr>
          <w:rFonts w:ascii="Arial" w:hAnsi="Arial" w:cs="CMBX12"/>
        </w:rPr>
        <w:t xml:space="preserve"> increment. Seven participants were excluded from the multivariate analysis because of missing index viral load and/or CD4 cell count data at seroconversion visit (five were missing viral load data; six were missing CD4 cell count data). Factors that remained associated with linked infection in the multivariate models are </w:t>
      </w:r>
      <w:r w:rsidRPr="005645EB">
        <w:rPr>
          <w:rFonts w:ascii="Arial" w:hAnsi="Arial" w:cs="CMBX12"/>
        </w:rPr>
        <w:lastRenderedPageBreak/>
        <w:t>shown. ART: antiretroviral therapy; SC: seroconversion; IQR: interquartile range; VL: HIV viral load, copies/mL; CD4 cell count: cells/mm</w:t>
      </w:r>
      <w:r w:rsidRPr="005645EB">
        <w:rPr>
          <w:rFonts w:ascii="Arial" w:hAnsi="Arial" w:cs="CMBX12"/>
          <w:vertAlign w:val="superscript"/>
        </w:rPr>
        <w:t>3</w:t>
      </w:r>
      <w:r w:rsidRPr="005645EB">
        <w:rPr>
          <w:rFonts w:ascii="Arial" w:hAnsi="Arial" w:cs="CMBX12"/>
        </w:rPr>
        <w:t>; Yrs: years; OR: odds ratio; CI: confidence intervals.</w:t>
      </w:r>
    </w:p>
    <w:p w14:paraId="12E669CB" w14:textId="77777777" w:rsidR="00A35BE0" w:rsidRPr="005645EB" w:rsidRDefault="00A35BE0" w:rsidP="00A35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MBX12"/>
        </w:rPr>
      </w:pPr>
    </w:p>
    <w:p w14:paraId="392E89CB" w14:textId="67209544" w:rsidR="009A3952" w:rsidRPr="005645EB" w:rsidRDefault="009A3952" w:rsidP="00A35BE0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MBX12"/>
        </w:rPr>
      </w:pPr>
      <w:r w:rsidRPr="005645EB">
        <w:rPr>
          <w:rFonts w:ascii="Arial" w:hAnsi="Arial" w:cs="CMBX12"/>
          <w:vertAlign w:val="superscript"/>
        </w:rPr>
        <w:t xml:space="preserve">a </w:t>
      </w:r>
      <w:r w:rsidR="00C64D0A" w:rsidRPr="005645EB">
        <w:rPr>
          <w:rFonts w:ascii="Arial" w:hAnsi="Arial" w:cs="CMBX12"/>
        </w:rPr>
        <w:t>p</w:t>
      </w:r>
      <w:r w:rsidRPr="005645EB">
        <w:rPr>
          <w:rFonts w:ascii="Arial" w:hAnsi="Arial" w:cs="CMBX12"/>
        </w:rPr>
        <w:t>-value from Fisher’s exact test.</w:t>
      </w:r>
    </w:p>
    <w:p w14:paraId="4969123A" w14:textId="1191EE27" w:rsidR="009A3952" w:rsidRPr="005645EB" w:rsidRDefault="009A3952" w:rsidP="00A35BE0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MBX12"/>
        </w:rPr>
      </w:pPr>
      <w:r w:rsidRPr="005645EB">
        <w:rPr>
          <w:rFonts w:ascii="Arial" w:hAnsi="Arial" w:cs="CMBX12"/>
          <w:vertAlign w:val="superscript"/>
        </w:rPr>
        <w:t xml:space="preserve">b </w:t>
      </w:r>
      <w:r w:rsidR="00C64D0A" w:rsidRPr="005645EB">
        <w:rPr>
          <w:rFonts w:ascii="Arial" w:hAnsi="Arial" w:cs="CMBX12"/>
        </w:rPr>
        <w:t>p</w:t>
      </w:r>
      <w:r w:rsidRPr="005645EB">
        <w:rPr>
          <w:rFonts w:ascii="Arial" w:hAnsi="Arial" w:cs="CMBX12"/>
        </w:rPr>
        <w:t>-value from Wilcoxon Rank-Sum test.</w:t>
      </w:r>
    </w:p>
    <w:p w14:paraId="5EED20F9" w14:textId="77777777" w:rsidR="009A3952" w:rsidRPr="005645EB" w:rsidRDefault="009A3952" w:rsidP="00A35BE0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MBX12"/>
        </w:rPr>
      </w:pPr>
      <w:r w:rsidRPr="005645EB">
        <w:rPr>
          <w:rFonts w:ascii="Arial" w:hAnsi="Arial" w:cs="CMBX12"/>
          <w:vertAlign w:val="superscript"/>
        </w:rPr>
        <w:t xml:space="preserve">c </w:t>
      </w:r>
      <w:r w:rsidRPr="005645EB">
        <w:rPr>
          <w:rFonts w:ascii="Arial" w:hAnsi="Arial" w:cs="CMBX12"/>
        </w:rPr>
        <w:t xml:space="preserve">Two index participants were on ART due to pregnancy. They were considered to be not on ART at the time of seroconversion. </w:t>
      </w:r>
    </w:p>
    <w:p w14:paraId="4A16CB7F" w14:textId="77777777" w:rsidR="009A3952" w:rsidRPr="005645EB" w:rsidRDefault="009A3952" w:rsidP="00A35BE0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CMBX12"/>
        </w:rPr>
      </w:pPr>
      <w:r w:rsidRPr="005645EB">
        <w:rPr>
          <w:rFonts w:ascii="Arial" w:hAnsi="Arial" w:cs="CMBX12"/>
          <w:vertAlign w:val="superscript"/>
        </w:rPr>
        <w:t xml:space="preserve">d </w:t>
      </w:r>
      <w:r w:rsidRPr="005645EB">
        <w:rPr>
          <w:rFonts w:ascii="Arial" w:hAnsi="Arial" w:cs="CMBX12"/>
        </w:rPr>
        <w:t>Viral load values &lt;400 copies/mL were assigned a value of 399 copies/mL (equivalent to 2.60 log</w:t>
      </w:r>
      <w:r w:rsidRPr="005645EB">
        <w:rPr>
          <w:rFonts w:ascii="Arial" w:hAnsi="Arial" w:cs="CMBX12"/>
          <w:vertAlign w:val="subscript"/>
        </w:rPr>
        <w:t>10</w:t>
      </w:r>
      <w:r w:rsidRPr="005645EB">
        <w:rPr>
          <w:rFonts w:ascii="Arial" w:hAnsi="Arial" w:cs="CMBX12"/>
        </w:rPr>
        <w:t xml:space="preserve"> copies/mL); 25 index viral load results obtained at the time of seroconversion were &lt;400 copies/mL, including 4/43 results for couples with linked infection; 21/24 results for couples with unlinked infection. </w:t>
      </w:r>
    </w:p>
    <w:p w14:paraId="67899536" w14:textId="77777777" w:rsidR="009A3952" w:rsidRPr="005645EB" w:rsidRDefault="009A3952" w:rsidP="00A35BE0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360" w:hanging="360"/>
      </w:pPr>
      <w:r w:rsidRPr="005645EB">
        <w:rPr>
          <w:rFonts w:ascii="Arial" w:hAnsi="Arial" w:cs="CMBX12"/>
          <w:vertAlign w:val="superscript"/>
        </w:rPr>
        <w:t xml:space="preserve">e </w:t>
      </w:r>
      <w:r w:rsidRPr="005645EB">
        <w:rPr>
          <w:rFonts w:ascii="Arial" w:hAnsi="Arial" w:cs="CMBX12"/>
        </w:rPr>
        <w:t>Two partners with linked infection did not provide information about the number of sex partners in the 3 months before seroconversion.</w:t>
      </w:r>
    </w:p>
    <w:p w14:paraId="465FEBED" w14:textId="4BFCE6C1" w:rsidR="00893B16" w:rsidRDefault="00893B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893B16" w:rsidSect="005645E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091F6" w14:textId="77777777" w:rsidR="0093482D" w:rsidRDefault="0093482D" w:rsidP="00096A74">
      <w:pPr>
        <w:spacing w:after="0" w:line="240" w:lineRule="auto"/>
      </w:pPr>
      <w:r>
        <w:separator/>
      </w:r>
    </w:p>
  </w:endnote>
  <w:endnote w:type="continuationSeparator" w:id="0">
    <w:p w14:paraId="78D5C2D6" w14:textId="77777777" w:rsidR="0093482D" w:rsidRDefault="0093482D" w:rsidP="0009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149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71F3049" w14:textId="77777777" w:rsidR="00893B16" w:rsidRPr="001F7E77" w:rsidRDefault="00893B16" w:rsidP="001F7E77">
        <w:pPr>
          <w:pStyle w:val="Footer"/>
          <w:jc w:val="center"/>
          <w:rPr>
            <w:rFonts w:ascii="Arial" w:hAnsi="Arial" w:cs="Arial"/>
          </w:rPr>
        </w:pPr>
        <w:r w:rsidRPr="001F7E77">
          <w:rPr>
            <w:rFonts w:ascii="Arial" w:hAnsi="Arial" w:cs="Arial"/>
          </w:rPr>
          <w:fldChar w:fldCharType="begin"/>
        </w:r>
        <w:r w:rsidRPr="001F7E77">
          <w:rPr>
            <w:rFonts w:ascii="Arial" w:hAnsi="Arial" w:cs="Arial"/>
          </w:rPr>
          <w:instrText xml:space="preserve"> PAGE   \* MERGEFORMAT </w:instrText>
        </w:r>
        <w:r w:rsidRPr="001F7E77">
          <w:rPr>
            <w:rFonts w:ascii="Arial" w:hAnsi="Arial" w:cs="Arial"/>
          </w:rPr>
          <w:fldChar w:fldCharType="separate"/>
        </w:r>
        <w:r w:rsidR="005645EB">
          <w:rPr>
            <w:rFonts w:ascii="Arial" w:hAnsi="Arial" w:cs="Arial"/>
            <w:noProof/>
          </w:rPr>
          <w:t>2</w:t>
        </w:r>
        <w:r w:rsidRPr="001F7E77">
          <w:rPr>
            <w:rFonts w:ascii="Arial" w:hAnsi="Arial" w:cs="Arial"/>
            <w:noProof/>
          </w:rPr>
          <w:fldChar w:fldCharType="end"/>
        </w:r>
      </w:p>
    </w:sdtContent>
  </w:sdt>
  <w:p w14:paraId="528C0E26" w14:textId="77777777" w:rsidR="00893B16" w:rsidRPr="00832368" w:rsidRDefault="00893B16" w:rsidP="00F87C88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E7814" w14:textId="77777777" w:rsidR="0093482D" w:rsidRDefault="0093482D" w:rsidP="00096A74">
      <w:pPr>
        <w:spacing w:after="0" w:line="240" w:lineRule="auto"/>
      </w:pPr>
      <w:r>
        <w:separator/>
      </w:r>
    </w:p>
  </w:footnote>
  <w:footnote w:type="continuationSeparator" w:id="0">
    <w:p w14:paraId="0F5BF7E1" w14:textId="77777777" w:rsidR="0093482D" w:rsidRDefault="0093482D" w:rsidP="0009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CA6"/>
    <w:multiLevelType w:val="hybridMultilevel"/>
    <w:tmpl w:val="8C5E5D64"/>
    <w:lvl w:ilvl="0" w:tplc="B41C425E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C2F1E"/>
    <w:multiLevelType w:val="hybridMultilevel"/>
    <w:tmpl w:val="C0C8690C"/>
    <w:lvl w:ilvl="0" w:tplc="55D67A88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C4080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8226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10FA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605DC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E054A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406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D076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688F8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8C7BA3"/>
    <w:multiLevelType w:val="hybridMultilevel"/>
    <w:tmpl w:val="3F5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8B3"/>
    <w:multiLevelType w:val="hybridMultilevel"/>
    <w:tmpl w:val="D47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A5"/>
    <w:multiLevelType w:val="hybridMultilevel"/>
    <w:tmpl w:val="CA6C0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44343"/>
    <w:multiLevelType w:val="hybridMultilevel"/>
    <w:tmpl w:val="D9E22E70"/>
    <w:lvl w:ilvl="0" w:tplc="0AF6D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2AE24A29"/>
    <w:multiLevelType w:val="hybridMultilevel"/>
    <w:tmpl w:val="B55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012"/>
    <w:multiLevelType w:val="hybridMultilevel"/>
    <w:tmpl w:val="059EC122"/>
    <w:lvl w:ilvl="0" w:tplc="CA0EF82A">
      <w:start w:val="4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357B007F"/>
    <w:multiLevelType w:val="hybridMultilevel"/>
    <w:tmpl w:val="B00C4A6C"/>
    <w:lvl w:ilvl="0" w:tplc="BCC8B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1D34"/>
    <w:multiLevelType w:val="hybridMultilevel"/>
    <w:tmpl w:val="41A02618"/>
    <w:lvl w:ilvl="0" w:tplc="D7DE1F96">
      <w:start w:val="1"/>
      <w:numFmt w:val="bullet"/>
      <w:pStyle w:val="Abbrevi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A5404"/>
    <w:multiLevelType w:val="hybridMultilevel"/>
    <w:tmpl w:val="CF5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6614E"/>
    <w:multiLevelType w:val="hybridMultilevel"/>
    <w:tmpl w:val="8C0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03277"/>
    <w:multiLevelType w:val="hybridMultilevel"/>
    <w:tmpl w:val="8436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3334"/>
    <w:multiLevelType w:val="hybridMultilevel"/>
    <w:tmpl w:val="042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93A3D"/>
    <w:multiLevelType w:val="hybridMultilevel"/>
    <w:tmpl w:val="D07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0D47"/>
    <w:multiLevelType w:val="hybridMultilevel"/>
    <w:tmpl w:val="29A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9292D"/>
    <w:multiLevelType w:val="hybridMultilevel"/>
    <w:tmpl w:val="AC56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C0C35"/>
    <w:multiLevelType w:val="hybridMultilevel"/>
    <w:tmpl w:val="E4D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7488"/>
    <w:multiLevelType w:val="hybridMultilevel"/>
    <w:tmpl w:val="D876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731"/>
    <w:multiLevelType w:val="hybridMultilevel"/>
    <w:tmpl w:val="7E864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40DFF"/>
    <w:multiLevelType w:val="hybridMultilevel"/>
    <w:tmpl w:val="DCA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307C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3035"/>
    <w:multiLevelType w:val="hybridMultilevel"/>
    <w:tmpl w:val="04D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20"/>
  </w:num>
  <w:num w:numId="16">
    <w:abstractNumId w:val="12"/>
  </w:num>
  <w:num w:numId="17">
    <w:abstractNumId w:val="21"/>
  </w:num>
  <w:num w:numId="18">
    <w:abstractNumId w:val="21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8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17"/>
    <w:rsid w:val="00013F8F"/>
    <w:rsid w:val="000167AA"/>
    <w:rsid w:val="00025F71"/>
    <w:rsid w:val="00025F9E"/>
    <w:rsid w:val="000311A1"/>
    <w:rsid w:val="0003390D"/>
    <w:rsid w:val="00040C25"/>
    <w:rsid w:val="0004409C"/>
    <w:rsid w:val="00053346"/>
    <w:rsid w:val="000547BC"/>
    <w:rsid w:val="00055BD0"/>
    <w:rsid w:val="0006466C"/>
    <w:rsid w:val="0007179A"/>
    <w:rsid w:val="00081918"/>
    <w:rsid w:val="000819D7"/>
    <w:rsid w:val="0008726D"/>
    <w:rsid w:val="00096A74"/>
    <w:rsid w:val="000B0544"/>
    <w:rsid w:val="000B2568"/>
    <w:rsid w:val="000C5DE0"/>
    <w:rsid w:val="000E1358"/>
    <w:rsid w:val="000F027F"/>
    <w:rsid w:val="000F297D"/>
    <w:rsid w:val="00100272"/>
    <w:rsid w:val="00101BF0"/>
    <w:rsid w:val="00123681"/>
    <w:rsid w:val="0013023F"/>
    <w:rsid w:val="001616D8"/>
    <w:rsid w:val="00176CE6"/>
    <w:rsid w:val="00190380"/>
    <w:rsid w:val="00190931"/>
    <w:rsid w:val="00195878"/>
    <w:rsid w:val="001B043D"/>
    <w:rsid w:val="001C51B1"/>
    <w:rsid w:val="001D6748"/>
    <w:rsid w:val="001E1292"/>
    <w:rsid w:val="001E3A6E"/>
    <w:rsid w:val="001F1F9E"/>
    <w:rsid w:val="001F7E77"/>
    <w:rsid w:val="00204B33"/>
    <w:rsid w:val="00230D08"/>
    <w:rsid w:val="00235378"/>
    <w:rsid w:val="00235AAF"/>
    <w:rsid w:val="002438AF"/>
    <w:rsid w:val="00247BDC"/>
    <w:rsid w:val="00263C18"/>
    <w:rsid w:val="00271162"/>
    <w:rsid w:val="002839BF"/>
    <w:rsid w:val="002D41FE"/>
    <w:rsid w:val="002E7687"/>
    <w:rsid w:val="002F07EF"/>
    <w:rsid w:val="002F2D1F"/>
    <w:rsid w:val="002F4A38"/>
    <w:rsid w:val="002F54CA"/>
    <w:rsid w:val="0030024B"/>
    <w:rsid w:val="00304984"/>
    <w:rsid w:val="0031040C"/>
    <w:rsid w:val="003105DC"/>
    <w:rsid w:val="003278A6"/>
    <w:rsid w:val="00342B10"/>
    <w:rsid w:val="003529F9"/>
    <w:rsid w:val="00364032"/>
    <w:rsid w:val="00374080"/>
    <w:rsid w:val="00381BF8"/>
    <w:rsid w:val="00390316"/>
    <w:rsid w:val="003931FB"/>
    <w:rsid w:val="00393508"/>
    <w:rsid w:val="00394B67"/>
    <w:rsid w:val="003B0873"/>
    <w:rsid w:val="003C05CB"/>
    <w:rsid w:val="003F2C51"/>
    <w:rsid w:val="004033CA"/>
    <w:rsid w:val="004354FD"/>
    <w:rsid w:val="004567A6"/>
    <w:rsid w:val="00465A32"/>
    <w:rsid w:val="004679B3"/>
    <w:rsid w:val="0047096E"/>
    <w:rsid w:val="00476615"/>
    <w:rsid w:val="0048785F"/>
    <w:rsid w:val="004A00A3"/>
    <w:rsid w:val="004A0840"/>
    <w:rsid w:val="004B3979"/>
    <w:rsid w:val="004B7A4C"/>
    <w:rsid w:val="004C734F"/>
    <w:rsid w:val="004C7BB4"/>
    <w:rsid w:val="004D4355"/>
    <w:rsid w:val="004D4A71"/>
    <w:rsid w:val="004D58BE"/>
    <w:rsid w:val="004E0E24"/>
    <w:rsid w:val="004E42CD"/>
    <w:rsid w:val="004F7B5C"/>
    <w:rsid w:val="005036D7"/>
    <w:rsid w:val="00511896"/>
    <w:rsid w:val="0052715D"/>
    <w:rsid w:val="005326A4"/>
    <w:rsid w:val="005408FC"/>
    <w:rsid w:val="00547AD7"/>
    <w:rsid w:val="005515F5"/>
    <w:rsid w:val="00557675"/>
    <w:rsid w:val="005579C1"/>
    <w:rsid w:val="005645EB"/>
    <w:rsid w:val="005717EB"/>
    <w:rsid w:val="005A486D"/>
    <w:rsid w:val="005B0E74"/>
    <w:rsid w:val="005B2CD3"/>
    <w:rsid w:val="005C0E4A"/>
    <w:rsid w:val="005C413E"/>
    <w:rsid w:val="005D0900"/>
    <w:rsid w:val="005E3372"/>
    <w:rsid w:val="005E7AD2"/>
    <w:rsid w:val="005F2AC0"/>
    <w:rsid w:val="005F3C17"/>
    <w:rsid w:val="00601B0E"/>
    <w:rsid w:val="00607A6F"/>
    <w:rsid w:val="00610DEF"/>
    <w:rsid w:val="006155A5"/>
    <w:rsid w:val="00615F65"/>
    <w:rsid w:val="0067433F"/>
    <w:rsid w:val="0069073B"/>
    <w:rsid w:val="0069675C"/>
    <w:rsid w:val="00697C57"/>
    <w:rsid w:val="006B25E5"/>
    <w:rsid w:val="006B61A9"/>
    <w:rsid w:val="006C23BC"/>
    <w:rsid w:val="006C29A6"/>
    <w:rsid w:val="006C77F8"/>
    <w:rsid w:val="006D1593"/>
    <w:rsid w:val="006D2B36"/>
    <w:rsid w:val="006D7E03"/>
    <w:rsid w:val="006E085B"/>
    <w:rsid w:val="006E1C3D"/>
    <w:rsid w:val="006E5D0D"/>
    <w:rsid w:val="006F7A3B"/>
    <w:rsid w:val="00707DF9"/>
    <w:rsid w:val="00725AE9"/>
    <w:rsid w:val="007323D0"/>
    <w:rsid w:val="00734757"/>
    <w:rsid w:val="00743017"/>
    <w:rsid w:val="007544E4"/>
    <w:rsid w:val="007640D6"/>
    <w:rsid w:val="007758BB"/>
    <w:rsid w:val="00786B01"/>
    <w:rsid w:val="007A1B66"/>
    <w:rsid w:val="007B77EF"/>
    <w:rsid w:val="007C0063"/>
    <w:rsid w:val="007C3F48"/>
    <w:rsid w:val="007C4FEC"/>
    <w:rsid w:val="007D2BD6"/>
    <w:rsid w:val="007E07BF"/>
    <w:rsid w:val="007F28A0"/>
    <w:rsid w:val="007F2917"/>
    <w:rsid w:val="00832368"/>
    <w:rsid w:val="00855967"/>
    <w:rsid w:val="00856671"/>
    <w:rsid w:val="00856E3C"/>
    <w:rsid w:val="00857B6E"/>
    <w:rsid w:val="008600A6"/>
    <w:rsid w:val="00862BDF"/>
    <w:rsid w:val="00866A6E"/>
    <w:rsid w:val="00875929"/>
    <w:rsid w:val="00893B16"/>
    <w:rsid w:val="0089707A"/>
    <w:rsid w:val="008B00B9"/>
    <w:rsid w:val="008B160E"/>
    <w:rsid w:val="008B67C9"/>
    <w:rsid w:val="008C0F33"/>
    <w:rsid w:val="008D6FAD"/>
    <w:rsid w:val="00900A6E"/>
    <w:rsid w:val="009021BD"/>
    <w:rsid w:val="00907161"/>
    <w:rsid w:val="00907E72"/>
    <w:rsid w:val="0093482D"/>
    <w:rsid w:val="00935928"/>
    <w:rsid w:val="00935EB7"/>
    <w:rsid w:val="00954D93"/>
    <w:rsid w:val="0096471D"/>
    <w:rsid w:val="00966EDD"/>
    <w:rsid w:val="00967ED2"/>
    <w:rsid w:val="00970AD2"/>
    <w:rsid w:val="00975BF7"/>
    <w:rsid w:val="0099186B"/>
    <w:rsid w:val="00994964"/>
    <w:rsid w:val="009A1368"/>
    <w:rsid w:val="009A3952"/>
    <w:rsid w:val="009A48E9"/>
    <w:rsid w:val="009C1504"/>
    <w:rsid w:val="009C32AF"/>
    <w:rsid w:val="009C404D"/>
    <w:rsid w:val="009D444C"/>
    <w:rsid w:val="009E054C"/>
    <w:rsid w:val="009F3B59"/>
    <w:rsid w:val="009F5276"/>
    <w:rsid w:val="00A13E53"/>
    <w:rsid w:val="00A35BE0"/>
    <w:rsid w:val="00A51200"/>
    <w:rsid w:val="00A52D80"/>
    <w:rsid w:val="00A640DF"/>
    <w:rsid w:val="00A65A83"/>
    <w:rsid w:val="00A718BF"/>
    <w:rsid w:val="00A7532B"/>
    <w:rsid w:val="00A82A71"/>
    <w:rsid w:val="00A867D8"/>
    <w:rsid w:val="00A86E73"/>
    <w:rsid w:val="00A904BE"/>
    <w:rsid w:val="00AB063F"/>
    <w:rsid w:val="00AB0B8E"/>
    <w:rsid w:val="00AC0A3D"/>
    <w:rsid w:val="00AF2AD9"/>
    <w:rsid w:val="00B11796"/>
    <w:rsid w:val="00B14FF4"/>
    <w:rsid w:val="00B17DFE"/>
    <w:rsid w:val="00B32B6A"/>
    <w:rsid w:val="00B43B21"/>
    <w:rsid w:val="00B50205"/>
    <w:rsid w:val="00B53D04"/>
    <w:rsid w:val="00B6200C"/>
    <w:rsid w:val="00B72E40"/>
    <w:rsid w:val="00B868D7"/>
    <w:rsid w:val="00B90301"/>
    <w:rsid w:val="00BB1F46"/>
    <w:rsid w:val="00BC7EDB"/>
    <w:rsid w:val="00BE1835"/>
    <w:rsid w:val="00BE4E24"/>
    <w:rsid w:val="00BF6B6B"/>
    <w:rsid w:val="00C01F48"/>
    <w:rsid w:val="00C12D57"/>
    <w:rsid w:val="00C21DCD"/>
    <w:rsid w:val="00C239DD"/>
    <w:rsid w:val="00C247B1"/>
    <w:rsid w:val="00C326E6"/>
    <w:rsid w:val="00C404EF"/>
    <w:rsid w:val="00C436EC"/>
    <w:rsid w:val="00C4467A"/>
    <w:rsid w:val="00C64D0A"/>
    <w:rsid w:val="00C66902"/>
    <w:rsid w:val="00C67075"/>
    <w:rsid w:val="00C71A3E"/>
    <w:rsid w:val="00C769E7"/>
    <w:rsid w:val="00CB44E1"/>
    <w:rsid w:val="00CC64E2"/>
    <w:rsid w:val="00D02E1D"/>
    <w:rsid w:val="00D0649C"/>
    <w:rsid w:val="00D11F4F"/>
    <w:rsid w:val="00D126E7"/>
    <w:rsid w:val="00D21A34"/>
    <w:rsid w:val="00D65EF9"/>
    <w:rsid w:val="00D67D76"/>
    <w:rsid w:val="00D70349"/>
    <w:rsid w:val="00D714F4"/>
    <w:rsid w:val="00D736F4"/>
    <w:rsid w:val="00D755DC"/>
    <w:rsid w:val="00D87B19"/>
    <w:rsid w:val="00D9016D"/>
    <w:rsid w:val="00D93CA8"/>
    <w:rsid w:val="00DA5B7C"/>
    <w:rsid w:val="00DB2BBB"/>
    <w:rsid w:val="00DD57CC"/>
    <w:rsid w:val="00DE5B18"/>
    <w:rsid w:val="00DF3856"/>
    <w:rsid w:val="00E13C8A"/>
    <w:rsid w:val="00E267A0"/>
    <w:rsid w:val="00E4044C"/>
    <w:rsid w:val="00E41173"/>
    <w:rsid w:val="00E4339A"/>
    <w:rsid w:val="00E57B0F"/>
    <w:rsid w:val="00E63AD3"/>
    <w:rsid w:val="00E65C90"/>
    <w:rsid w:val="00E711B6"/>
    <w:rsid w:val="00E753EE"/>
    <w:rsid w:val="00E84665"/>
    <w:rsid w:val="00E9345A"/>
    <w:rsid w:val="00EA1CCD"/>
    <w:rsid w:val="00EA4250"/>
    <w:rsid w:val="00EA7838"/>
    <w:rsid w:val="00EA7B11"/>
    <w:rsid w:val="00ED5778"/>
    <w:rsid w:val="00EE49E3"/>
    <w:rsid w:val="00EF0EB0"/>
    <w:rsid w:val="00EF35D9"/>
    <w:rsid w:val="00F05204"/>
    <w:rsid w:val="00F07B6C"/>
    <w:rsid w:val="00F1329A"/>
    <w:rsid w:val="00F215F1"/>
    <w:rsid w:val="00F2363E"/>
    <w:rsid w:val="00F25D64"/>
    <w:rsid w:val="00F40C43"/>
    <w:rsid w:val="00F44000"/>
    <w:rsid w:val="00F47D10"/>
    <w:rsid w:val="00F81190"/>
    <w:rsid w:val="00F86CDD"/>
    <w:rsid w:val="00F87C88"/>
    <w:rsid w:val="00FC61AD"/>
    <w:rsid w:val="00FF2008"/>
    <w:rsid w:val="00FF2CD8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C60BD"/>
  <w15:docId w15:val="{54E459AF-7461-42F1-98A3-A669314E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F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04EF"/>
    <w:pPr>
      <w:keepNext/>
      <w:keepLines/>
      <w:tabs>
        <w:tab w:val="left" w:pos="-1440"/>
      </w:tabs>
      <w:spacing w:after="240" w:line="240" w:lineRule="auto"/>
      <w:outlineLvl w:val="1"/>
    </w:pPr>
    <w:rPr>
      <w:rFonts w:ascii="Times New Roman Bold" w:eastAsia="Times New Roman" w:hAnsi="Times New Roman Bold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04EF"/>
    <w:rPr>
      <w:rFonts w:ascii="Times New Roman Bold" w:hAnsi="Times New Roman Bold" w:cs="Times New Roman"/>
      <w:b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7F2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DE0"/>
    <w:pPr>
      <w:ind w:left="720"/>
      <w:contextualSpacing/>
    </w:pPr>
  </w:style>
  <w:style w:type="paragraph" w:customStyle="1" w:styleId="BulletList">
    <w:name w:val="Bullet List"/>
    <w:basedOn w:val="Normal"/>
    <w:uiPriority w:val="99"/>
    <w:rsid w:val="00AF2AD9"/>
    <w:pPr>
      <w:tabs>
        <w:tab w:val="num" w:pos="1440"/>
      </w:tabs>
      <w:spacing w:before="120" w:after="120" w:line="240" w:lineRule="auto"/>
      <w:ind w:left="1440" w:hanging="360"/>
    </w:pPr>
    <w:rPr>
      <w:rFonts w:ascii="Times New Roman" w:eastAsia="Times New Roman" w:hAnsi="Times New Roman"/>
      <w:noProof/>
      <w:color w:val="000000"/>
      <w:sz w:val="24"/>
      <w:szCs w:val="20"/>
    </w:rPr>
  </w:style>
  <w:style w:type="paragraph" w:customStyle="1" w:styleId="Abbreviations">
    <w:name w:val="Abbreviations"/>
    <w:basedOn w:val="Normal"/>
    <w:uiPriority w:val="99"/>
    <w:rsid w:val="00AF2AD9"/>
    <w:pPr>
      <w:numPr>
        <w:numId w:val="3"/>
      </w:numPr>
      <w:spacing w:after="0" w:line="240" w:lineRule="auto"/>
    </w:pPr>
    <w:rPr>
      <w:rFonts w:ascii="Times New Roman" w:eastAsia="Times New Roman" w:hAnsi="Times New Roman"/>
      <w:noProof/>
      <w:color w:val="000000"/>
      <w:sz w:val="24"/>
      <w:szCs w:val="20"/>
    </w:rPr>
  </w:style>
  <w:style w:type="paragraph" w:customStyle="1" w:styleId="Style18">
    <w:name w:val="Style 18"/>
    <w:basedOn w:val="Normal"/>
    <w:uiPriority w:val="99"/>
    <w:rsid w:val="007640D6"/>
    <w:pPr>
      <w:widowControl w:val="0"/>
      <w:tabs>
        <w:tab w:val="left" w:pos="8316"/>
      </w:tabs>
      <w:spacing w:before="120" w:after="396" w:line="240" w:lineRule="auto"/>
    </w:pPr>
    <w:rPr>
      <w:rFonts w:ascii="Times New Roman" w:eastAsia="Times New Roman" w:hAnsi="Times New Roman"/>
      <w:noProof/>
      <w:color w:val="000000"/>
      <w:sz w:val="24"/>
      <w:szCs w:val="20"/>
    </w:rPr>
  </w:style>
  <w:style w:type="character" w:customStyle="1" w:styleId="1">
    <w:name w:val="1"/>
    <w:uiPriority w:val="99"/>
    <w:rsid w:val="007640D6"/>
  </w:style>
  <w:style w:type="paragraph" w:styleId="NoSpacing">
    <w:name w:val="No Spacing"/>
    <w:uiPriority w:val="99"/>
    <w:qFormat/>
    <w:rsid w:val="00040C25"/>
    <w:rPr>
      <w:lang w:val="en-ZW"/>
    </w:rPr>
  </w:style>
  <w:style w:type="paragraph" w:styleId="PlainText">
    <w:name w:val="Plain Text"/>
    <w:basedOn w:val="Normal"/>
    <w:link w:val="PlainTextChar"/>
    <w:uiPriority w:val="99"/>
    <w:semiHidden/>
    <w:rsid w:val="00040C2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C25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uiPriority w:val="99"/>
    <w:rsid w:val="00040C25"/>
  </w:style>
  <w:style w:type="paragraph" w:styleId="BalloonText">
    <w:name w:val="Balloon Text"/>
    <w:basedOn w:val="Normal"/>
    <w:link w:val="BalloonTextChar"/>
    <w:uiPriority w:val="99"/>
    <w:semiHidden/>
    <w:rsid w:val="004D4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32B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semiHidden/>
    <w:rsid w:val="00F4400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F35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5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35D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9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A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A74"/>
    <w:rPr>
      <w:rFonts w:cs="Times New Roman"/>
    </w:rPr>
  </w:style>
  <w:style w:type="character" w:styleId="PageNumber">
    <w:name w:val="page number"/>
    <w:basedOn w:val="DefaultParagraphFont"/>
    <w:uiPriority w:val="99"/>
    <w:rsid w:val="00EE49E3"/>
    <w:rPr>
      <w:rFonts w:cs="Times New Roman"/>
    </w:rPr>
  </w:style>
  <w:style w:type="paragraph" w:styleId="List">
    <w:name w:val="List"/>
    <w:basedOn w:val="Normal"/>
    <w:uiPriority w:val="99"/>
    <w:rsid w:val="00C404EF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ullet">
    <w:name w:val="bullet"/>
    <w:basedOn w:val="Normal"/>
    <w:uiPriority w:val="99"/>
    <w:rsid w:val="00C404EF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F7B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1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D81-1C5E-43CF-9AAD-18A857CF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2414</Characters>
  <Application>Microsoft Office Word</Application>
  <DocSecurity>0</DocSecurity>
  <Lines>114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HPTN 052 NEJM Manuscript</vt:lpstr>
    </vt:vector>
  </TitlesOfParts>
  <Company>FHI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HPTN 052 NEJM Manuscript</dc:title>
  <dc:subject/>
  <dc:creator>tgamble</dc:creator>
  <cp:keywords/>
  <dc:description/>
  <cp:lastModifiedBy>Jessica Fogel</cp:lastModifiedBy>
  <cp:revision>3</cp:revision>
  <cp:lastPrinted>2011-06-13T19:02:00Z</cp:lastPrinted>
  <dcterms:created xsi:type="dcterms:W3CDTF">2016-09-06T18:30:00Z</dcterms:created>
  <dcterms:modified xsi:type="dcterms:W3CDTF">2016-09-06T18:32:00Z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1875654794</vt:i4>
  </property>
  <property fmtid="{D5CDD505-2E9C-101B-9397-08002B2CF9AE}" pid="3" name="_NewReviewCycle">
    <vt:lpwstr/>
  </property>
  <property fmtid="{D5CDD505-2E9C-101B-9397-08002B2CF9AE}" pid="4" name="_EmailSubject">
    <vt:lpwstr>ethics statement</vt:lpwstr>
  </property>
  <property fmtid="{D5CDD505-2E9C-101B-9397-08002B2CF9AE}" pid="5" name="_AuthorEmail">
    <vt:lpwstr>MMcCauley@fhi360.org</vt:lpwstr>
  </property>
  <property fmtid="{D5CDD505-2E9C-101B-9397-08002B2CF9AE}" pid="6" name="_AuthorEmailDisplayName">
    <vt:lpwstr>Marybeth McCauley</vt:lpwstr>
  </property>
  <property fmtid="{D5CDD505-2E9C-101B-9397-08002B2CF9AE}" pid="7" name="_ReviewingToolsShownOnce">
    <vt:lpwstr/>
  </property>
</Properties>
</file>