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1B7" w:rsidRPr="006E442E" w:rsidRDefault="00C361B7" w:rsidP="00C361B7">
      <w:pPr>
        <w:pStyle w:val="Heading2"/>
        <w:pageBreakBefore/>
        <w:rPr>
          <w:rFonts w:ascii="Calibri" w:hAnsi="Calibri"/>
        </w:rPr>
      </w:pPr>
      <w:r w:rsidRPr="006E442E">
        <w:rPr>
          <w:rFonts w:ascii="Calibri" w:hAnsi="Calibri"/>
        </w:rPr>
        <w:t>Supplementary Table 1.  Summary of RT Resistance Mutations Detected Pretreatment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4"/>
        <w:gridCol w:w="2020"/>
        <w:gridCol w:w="1814"/>
        <w:gridCol w:w="1762"/>
      </w:tblGrid>
      <w:tr w:rsidR="00C361B7" w:rsidRPr="00AA5D0C" w:rsidTr="00B85CA1">
        <w:trPr>
          <w:trHeight w:val="132"/>
        </w:trPr>
        <w:tc>
          <w:tcPr>
            <w:tcW w:w="2008" w:type="pct"/>
            <w:vMerge w:val="restar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:rsidR="00C361B7" w:rsidRPr="00AA5D0C" w:rsidRDefault="00C361B7" w:rsidP="00B85CA1">
            <w:pPr>
              <w:rPr>
                <w:rFonts w:ascii="Calibri" w:hAnsi="Calibri"/>
                <w:b/>
              </w:rPr>
            </w:pPr>
            <w:r w:rsidRPr="00AA5D0C">
              <w:rPr>
                <w:rFonts w:ascii="Calibri" w:hAnsi="Calibri"/>
                <w:b/>
                <w:bCs/>
              </w:rPr>
              <w:t xml:space="preserve">Mutation </w:t>
            </w:r>
            <w:proofErr w:type="spellStart"/>
            <w:r w:rsidRPr="00AA5D0C">
              <w:rPr>
                <w:rFonts w:ascii="Calibri" w:hAnsi="Calibri"/>
                <w:b/>
                <w:bCs/>
              </w:rPr>
              <w:t>Class</w:t>
            </w:r>
            <w:r w:rsidRPr="00AA5D0C">
              <w:rPr>
                <w:rFonts w:ascii="Calibri" w:hAnsi="Calibri"/>
                <w:b/>
                <w:bCs/>
                <w:vertAlign w:val="superscript"/>
              </w:rPr>
              <w:t>a</w:t>
            </w:r>
            <w:proofErr w:type="spellEnd"/>
          </w:p>
        </w:tc>
        <w:tc>
          <w:tcPr>
            <w:tcW w:w="2992" w:type="pct"/>
            <w:gridSpan w:val="3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bottom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  <w:b/>
              </w:rPr>
            </w:pPr>
            <w:r w:rsidRPr="00AA5D0C">
              <w:rPr>
                <w:rFonts w:ascii="Calibri" w:hAnsi="Calibri"/>
                <w:b/>
                <w:bCs/>
              </w:rPr>
              <w:t>Number of Subjects n (%)</w:t>
            </w:r>
          </w:p>
        </w:tc>
      </w:tr>
      <w:tr w:rsidR="00C361B7" w:rsidRPr="00AA5D0C" w:rsidTr="00B85CA1">
        <w:trPr>
          <w:trHeight w:val="389"/>
        </w:trPr>
        <w:tc>
          <w:tcPr>
            <w:tcW w:w="2008" w:type="pct"/>
            <w:vMerge/>
            <w:shd w:val="clear" w:color="auto" w:fill="auto"/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  <w:b/>
              </w:rPr>
            </w:pPr>
            <w:r w:rsidRPr="00AA5D0C">
              <w:rPr>
                <w:rFonts w:ascii="Calibri" w:hAnsi="Calibri"/>
                <w:b/>
              </w:rPr>
              <w:t>E/C/F/TAF+DRV</w:t>
            </w:r>
            <w:r w:rsidRPr="00AA5D0C">
              <w:rPr>
                <w:rFonts w:ascii="Calibri" w:hAnsi="Calibri"/>
                <w:b/>
              </w:rPr>
              <w:br/>
              <w:t>(N = 89)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  <w:b/>
              </w:rPr>
            </w:pPr>
            <w:r w:rsidRPr="00AA5D0C">
              <w:rPr>
                <w:rFonts w:ascii="Calibri" w:hAnsi="Calibri"/>
                <w:b/>
              </w:rPr>
              <w:t>Baseline Regimens</w:t>
            </w:r>
          </w:p>
          <w:p w:rsidR="00C361B7" w:rsidRPr="00AA5D0C" w:rsidRDefault="00C361B7" w:rsidP="00B85CA1">
            <w:pPr>
              <w:jc w:val="center"/>
              <w:rPr>
                <w:rFonts w:ascii="Calibri" w:hAnsi="Calibri"/>
                <w:b/>
              </w:rPr>
            </w:pPr>
            <w:r w:rsidRPr="00AA5D0C">
              <w:rPr>
                <w:rFonts w:ascii="Calibri" w:hAnsi="Calibri"/>
                <w:b/>
              </w:rPr>
              <w:t>(N = 46)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  <w:b/>
              </w:rPr>
            </w:pPr>
            <w:r w:rsidRPr="00AA5D0C">
              <w:rPr>
                <w:rFonts w:ascii="Calibri" w:hAnsi="Calibri"/>
                <w:b/>
              </w:rPr>
              <w:t>All</w:t>
            </w:r>
          </w:p>
          <w:p w:rsidR="00C361B7" w:rsidRPr="00AA5D0C" w:rsidRDefault="00C361B7" w:rsidP="00B85CA1">
            <w:pPr>
              <w:jc w:val="center"/>
              <w:rPr>
                <w:rFonts w:ascii="Calibri" w:hAnsi="Calibri"/>
                <w:b/>
              </w:rPr>
            </w:pPr>
            <w:r w:rsidRPr="00AA5D0C">
              <w:rPr>
                <w:rFonts w:ascii="Calibri" w:hAnsi="Calibri"/>
                <w:b/>
              </w:rPr>
              <w:t>(N = 135)</w:t>
            </w:r>
          </w:p>
        </w:tc>
      </w:tr>
      <w:tr w:rsidR="00C361B7" w:rsidRPr="00AA5D0C" w:rsidTr="00B85CA1">
        <w:trPr>
          <w:trHeight w:val="132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>Number of Subjects With Data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89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46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135</w:t>
            </w:r>
          </w:p>
        </w:tc>
      </w:tr>
      <w:tr w:rsidR="00C361B7" w:rsidRPr="00AA5D0C" w:rsidTr="00B85CA1">
        <w:trPr>
          <w:trHeight w:val="132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>NNRTI-Associated; n (%)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79 (88.8)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40 (87)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119 (88.1)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>Average Number of NNRTI-R Mutations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2.2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2.5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2.3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V90I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8 (9.0)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5 (10.9)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13 (9.6)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A98G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4 (4.5)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3 (6.5)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7 (5.2)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L100I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11 (12.4)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8 (17.4)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19 (14.1)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K101E/H/P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13 (14.6)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2 (4.3)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15 (11.1)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K103N/S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51 (57.3)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34 (73.9)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85 (63.0)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V106A/I/M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10 (11.2)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 (2.2)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11 (8.1)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V108I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14 (15.7)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11 (23.9)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25 (18.5)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E138A/G/K/Q/R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6 (6.7)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3 (6.5)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9 (6.7)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V179D/F/L/T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8 (9.0)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2 (4.3)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10 (7.4)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Y181C/I/V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14 (15.7)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12 (26.1)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26 (19.3)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Y188C/H/L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10 (11.2)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 (2.2)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11 (8.1)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G190A/E/Q/S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14 (15.7)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5 (10.9)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19 (14.1)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H221Y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6 (6.7)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7 (15.2)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13 (9.6)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P225H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8 (9.0)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5 (10.9)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13 (9.6)</w:t>
            </w:r>
          </w:p>
        </w:tc>
      </w:tr>
      <w:tr w:rsidR="00C361B7" w:rsidRPr="00AA5D0C" w:rsidTr="00B85CA1">
        <w:trPr>
          <w:trHeight w:val="132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>NRTI-Associated; n (%)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84 (94.4)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44 (95.7)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128 (94.8)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>Average Number of NRTI-R Mutations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2.6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2.5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2.6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TAMs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39 (43.8)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18 (39.1)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57 (42.2)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M41L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19 (21.3)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5 (10.9)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24 (17.8)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E44D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3 (3.4)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3 (2.2)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A62V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3 (3.4)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5 (10.9)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8 (5.9)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K65R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18 (20.2)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14 (30.4)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32 (23.7)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D67N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12 (13.5)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6 (13)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18 (13.3)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T69D/N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6 (6.7)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 (2.2)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7 (5.2)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T69 Insertion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K70E/R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14 (15.7)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9 (19.6)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23 (17)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L74I/V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14 (15.7)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8 (17.4)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22 (16.3)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V75I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3 (3.4)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3 (2.2)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F77L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 (1.1)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 (0.7)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Y115F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4 (4.5)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2 (4.3)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6 (4.4)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V118I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10 (11.2)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5 (10.9)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15 (11.1)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Q151M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M184V/I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76 (85.4)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36 (78.3)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112 (83)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L210W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8 (9)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2 (4.3)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10 (7.4)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T215Y/F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19 (21.3)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7 (15.2)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26 (19.3)</w:t>
            </w:r>
          </w:p>
        </w:tc>
      </w:tr>
      <w:tr w:rsidR="00C361B7" w:rsidRPr="00AA5D0C" w:rsidTr="00B85CA1">
        <w:trPr>
          <w:trHeight w:val="184"/>
        </w:trPr>
        <w:tc>
          <w:tcPr>
            <w:tcW w:w="2008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Cs/>
              </w:rPr>
              <w:t xml:space="preserve">  K219E/N/Q/R</w:t>
            </w:r>
          </w:p>
        </w:tc>
        <w:tc>
          <w:tcPr>
            <w:tcW w:w="108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12 (13.5)</w:t>
            </w:r>
          </w:p>
        </w:tc>
        <w:tc>
          <w:tcPr>
            <w:tcW w:w="970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10 (21.7)</w:t>
            </w:r>
          </w:p>
        </w:tc>
        <w:tc>
          <w:tcPr>
            <w:tcW w:w="942" w:type="pct"/>
            <w:shd w:val="clear" w:color="auto" w:fill="auto"/>
            <w:tcMar>
              <w:top w:w="15" w:type="dxa"/>
              <w:left w:w="67" w:type="dxa"/>
              <w:bottom w:w="0" w:type="dxa"/>
              <w:right w:w="67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22 (16.3)</w:t>
            </w:r>
          </w:p>
        </w:tc>
      </w:tr>
    </w:tbl>
    <w:p w:rsidR="00C361B7" w:rsidRPr="000528CB" w:rsidRDefault="00C361B7" w:rsidP="00C361B7">
      <w:pPr>
        <w:rPr>
          <w:rFonts w:ascii="Calibri" w:hAnsi="Calibri"/>
        </w:rPr>
      </w:pPr>
    </w:p>
    <w:p w:rsidR="00C361B7" w:rsidRPr="000528CB" w:rsidRDefault="00C361B7" w:rsidP="00C361B7">
      <w:pPr>
        <w:rPr>
          <w:rFonts w:ascii="Calibri" w:hAnsi="Calibri"/>
        </w:rPr>
      </w:pPr>
      <w:r w:rsidRPr="000528CB">
        <w:rPr>
          <w:rFonts w:ascii="Calibri" w:hAnsi="Calibri"/>
        </w:rPr>
        <w:t>NNRTI = nonnucleoside reverse transcriptase inhibitor; NRTI = nucleoside/nucleotide reverse transcriptase inhibitor; −R = resistant</w:t>
      </w:r>
    </w:p>
    <w:p w:rsidR="00C361B7" w:rsidRPr="00AA5D0C" w:rsidRDefault="00C361B7" w:rsidP="00C361B7">
      <w:pPr>
        <w:rPr>
          <w:rFonts w:ascii="Calibri" w:hAnsi="Calibri"/>
        </w:rPr>
      </w:pPr>
    </w:p>
    <w:p w:rsidR="00C361B7" w:rsidRPr="006E442E" w:rsidRDefault="00C361B7" w:rsidP="00C361B7">
      <w:pPr>
        <w:pStyle w:val="Heading2"/>
        <w:pageBreakBefore/>
        <w:rPr>
          <w:rFonts w:ascii="Calibri" w:hAnsi="Calibri"/>
        </w:rPr>
      </w:pPr>
      <w:r w:rsidRPr="006E442E">
        <w:rPr>
          <w:rFonts w:ascii="Calibri" w:hAnsi="Calibri"/>
        </w:rPr>
        <w:lastRenderedPageBreak/>
        <w:t xml:space="preserve">Supplementary Table 2.  Pharmacokinetic </w:t>
      </w:r>
      <w:proofErr w:type="spellStart"/>
      <w:r w:rsidRPr="006E442E">
        <w:rPr>
          <w:rFonts w:ascii="Calibri" w:hAnsi="Calibri"/>
        </w:rPr>
        <w:t>Substudy</w:t>
      </w:r>
      <w:proofErr w:type="spellEnd"/>
      <w:r w:rsidRPr="006E442E">
        <w:rPr>
          <w:rFonts w:ascii="Calibri" w:hAnsi="Calibri"/>
        </w:rPr>
        <w:t xml:space="preserve"> Results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763"/>
        <w:gridCol w:w="2764"/>
        <w:gridCol w:w="1843"/>
        <w:gridCol w:w="1980"/>
      </w:tblGrid>
      <w:tr w:rsidR="00C361B7" w:rsidRPr="00AA5D0C" w:rsidTr="00B85CA1">
        <w:tc>
          <w:tcPr>
            <w:tcW w:w="28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</w:pPr>
            <w:r w:rsidRPr="000528CB"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  <w:t>Mean (%CV)</w:t>
            </w:r>
            <w:r w:rsidRPr="000528CB"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  <w:br/>
              <w:t>(N=15)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</w:pPr>
            <w:r w:rsidRPr="000528CB"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  <w:t>AUC</w:t>
            </w:r>
            <w:r w:rsidRPr="000528CB"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  <w:br/>
              <w:t>(</w:t>
            </w:r>
            <w:proofErr w:type="spellStart"/>
            <w:r w:rsidRPr="000528CB"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  <w:t>ng</w:t>
            </w:r>
            <w:r w:rsidRPr="009344B1">
              <w:rPr>
                <w:rFonts w:ascii="Calibri" w:hAnsi="Calibri"/>
                <w:sz w:val="20"/>
                <w:szCs w:val="20"/>
              </w:rPr>
              <w:t>•</w:t>
            </w:r>
            <w:r w:rsidRPr="000528CB"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  <w:t>h</w:t>
            </w:r>
            <w:proofErr w:type="spellEnd"/>
            <w:r w:rsidRPr="000528CB"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  <w:t>/mL)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</w:pPr>
            <w:proofErr w:type="spellStart"/>
            <w:r w:rsidRPr="000528CB"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  <w:t>C</w:t>
            </w:r>
            <w:r w:rsidRPr="000528CB">
              <w:rPr>
                <w:rFonts w:ascii="Calibri" w:hAnsi="Calibri" w:cs="Arial"/>
                <w:b/>
                <w:bCs/>
                <w:kern w:val="24"/>
                <w:sz w:val="20"/>
                <w:szCs w:val="20"/>
                <w:vertAlign w:val="subscript"/>
              </w:rPr>
              <w:t>max</w:t>
            </w:r>
            <w:proofErr w:type="spellEnd"/>
            <w:r w:rsidRPr="000528CB"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  <w:br/>
              <w:t>(ng/mL)</w:t>
            </w:r>
          </w:p>
        </w:tc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</w:pPr>
            <w:proofErr w:type="spellStart"/>
            <w:r w:rsidRPr="000528CB"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  <w:t>C</w:t>
            </w:r>
            <w:r w:rsidRPr="000528CB">
              <w:rPr>
                <w:rFonts w:ascii="Calibri" w:hAnsi="Calibri" w:cs="Arial"/>
                <w:b/>
                <w:bCs/>
                <w:kern w:val="24"/>
                <w:sz w:val="20"/>
                <w:szCs w:val="20"/>
                <w:vertAlign w:val="subscript"/>
              </w:rPr>
              <w:t>trough</w:t>
            </w:r>
            <w:proofErr w:type="spellEnd"/>
            <w:r w:rsidRPr="000528CB">
              <w:rPr>
                <w:rFonts w:ascii="Calibri" w:hAnsi="Calibri" w:cs="Arial"/>
                <w:b/>
                <w:bCs/>
                <w:kern w:val="24"/>
                <w:sz w:val="20"/>
                <w:szCs w:val="20"/>
              </w:rPr>
              <w:br/>
              <w:t>(ng/mL)</w:t>
            </w:r>
          </w:p>
        </w:tc>
      </w:tr>
      <w:tr w:rsidR="00C361B7" w:rsidRPr="00AA5D0C" w:rsidTr="00B85CA1">
        <w:tc>
          <w:tcPr>
            <w:tcW w:w="2862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EVG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26400 (44)</w:t>
            </w:r>
          </w:p>
        </w:tc>
        <w:tc>
          <w:tcPr>
            <w:tcW w:w="1890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2180 (35)</w:t>
            </w:r>
          </w:p>
        </w:tc>
        <w:tc>
          <w:tcPr>
            <w:tcW w:w="2034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464 (79)</w:t>
            </w:r>
          </w:p>
        </w:tc>
      </w:tr>
      <w:tr w:rsidR="00C361B7" w:rsidRPr="00AA5D0C" w:rsidTr="00B85CA1">
        <w:tc>
          <w:tcPr>
            <w:tcW w:w="2862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DRV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76500 (43)</w:t>
            </w:r>
          </w:p>
        </w:tc>
        <w:tc>
          <w:tcPr>
            <w:tcW w:w="1890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6670 (25)</w:t>
            </w:r>
          </w:p>
        </w:tc>
        <w:tc>
          <w:tcPr>
            <w:tcW w:w="2034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1250 (99)</w:t>
            </w:r>
          </w:p>
        </w:tc>
      </w:tr>
      <w:tr w:rsidR="00C361B7" w:rsidRPr="00AA5D0C" w:rsidTr="00B85CA1">
        <w:tc>
          <w:tcPr>
            <w:tcW w:w="2862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COBI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7900 (43)</w:t>
            </w:r>
          </w:p>
        </w:tc>
        <w:tc>
          <w:tcPr>
            <w:tcW w:w="1890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997 (30)</w:t>
            </w:r>
          </w:p>
        </w:tc>
        <w:tc>
          <w:tcPr>
            <w:tcW w:w="2034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36 (129)</w:t>
            </w:r>
          </w:p>
        </w:tc>
      </w:tr>
      <w:tr w:rsidR="00C361B7" w:rsidRPr="00AA5D0C" w:rsidTr="00B85CA1">
        <w:tc>
          <w:tcPr>
            <w:tcW w:w="2862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TAF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89.9 (45)</w:t>
            </w:r>
          </w:p>
        </w:tc>
        <w:tc>
          <w:tcPr>
            <w:tcW w:w="1890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98.1 (58)</w:t>
            </w:r>
          </w:p>
        </w:tc>
        <w:tc>
          <w:tcPr>
            <w:tcW w:w="2034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NA</w:t>
            </w:r>
          </w:p>
        </w:tc>
      </w:tr>
      <w:tr w:rsidR="00C361B7" w:rsidRPr="00AA5D0C" w:rsidTr="00B85CA1">
        <w:tc>
          <w:tcPr>
            <w:tcW w:w="286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TFV</w:t>
            </w:r>
          </w:p>
        </w:tc>
        <w:tc>
          <w:tcPr>
            <w:tcW w:w="2862" w:type="dxa"/>
            <w:shd w:val="clear" w:color="auto" w:fill="auto"/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367 (33)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19.3 (32)</w:t>
            </w:r>
          </w:p>
        </w:tc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61B7" w:rsidRPr="000528CB" w:rsidRDefault="00C361B7" w:rsidP="00B85CA1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528CB">
              <w:rPr>
                <w:rFonts w:ascii="Calibri" w:hAnsi="Calibri" w:cs="Arial"/>
                <w:color w:val="000000"/>
                <w:kern w:val="24"/>
                <w:sz w:val="20"/>
                <w:szCs w:val="20"/>
              </w:rPr>
              <w:t>13.0 (34)</w:t>
            </w:r>
          </w:p>
        </w:tc>
      </w:tr>
    </w:tbl>
    <w:p w:rsidR="00C361B7" w:rsidRDefault="00C361B7" w:rsidP="00C361B7">
      <w:pPr>
        <w:rPr>
          <w:rFonts w:ascii="Calibri" w:hAnsi="Calibri"/>
        </w:rPr>
      </w:pPr>
    </w:p>
    <w:p w:rsidR="00C361B7" w:rsidRDefault="00C361B7" w:rsidP="00C361B7">
      <w:pPr>
        <w:rPr>
          <w:rFonts w:ascii="Calibri" w:hAnsi="Calibri"/>
        </w:rPr>
      </w:pPr>
      <w:r>
        <w:rPr>
          <w:rFonts w:ascii="Calibri" w:hAnsi="Calibri"/>
        </w:rPr>
        <w:t xml:space="preserve">AUC was calculated using the </w:t>
      </w:r>
      <w:r w:rsidRPr="00F51BE0">
        <w:rPr>
          <w:rFonts w:ascii="Calibri" w:hAnsi="Calibri"/>
        </w:rPr>
        <w:t>linear up/log down trapezoidal rule</w:t>
      </w:r>
      <w:r>
        <w:rPr>
          <w:rFonts w:ascii="Calibri" w:hAnsi="Calibri"/>
        </w:rPr>
        <w:t>.</w:t>
      </w:r>
    </w:p>
    <w:p w:rsidR="00C361B7" w:rsidRPr="00AA5D0C" w:rsidRDefault="00C361B7" w:rsidP="00C361B7">
      <w:pPr>
        <w:rPr>
          <w:rFonts w:ascii="Calibri" w:hAnsi="Calibri"/>
        </w:rPr>
      </w:pPr>
    </w:p>
    <w:p w:rsidR="00C361B7" w:rsidRPr="00AA5D0C" w:rsidRDefault="00C361B7" w:rsidP="00C361B7">
      <w:pPr>
        <w:rPr>
          <w:rFonts w:ascii="Calibri" w:hAnsi="Calibri"/>
        </w:rPr>
      </w:pPr>
      <w:r>
        <w:rPr>
          <w:rFonts w:ascii="Calibri" w:hAnsi="Calibri"/>
        </w:rPr>
        <w:t xml:space="preserve">AUC = </w:t>
      </w:r>
      <w:r w:rsidRPr="009344B1">
        <w:rPr>
          <w:rFonts w:ascii="Calibri" w:hAnsi="Calibri"/>
        </w:rPr>
        <w:t>area under the plasma/serum concentration versus time curve</w:t>
      </w:r>
      <w:r>
        <w:rPr>
          <w:rFonts w:ascii="Calibri" w:hAnsi="Calibri"/>
        </w:rPr>
        <w:t xml:space="preserve">; </w:t>
      </w:r>
      <w:proofErr w:type="spellStart"/>
      <w:r w:rsidRPr="009344B1">
        <w:rPr>
          <w:rFonts w:ascii="Calibri" w:hAnsi="Calibri"/>
        </w:rPr>
        <w:t>Cmax</w:t>
      </w:r>
      <w:proofErr w:type="spellEnd"/>
      <w:r>
        <w:rPr>
          <w:rFonts w:ascii="Calibri" w:hAnsi="Calibri"/>
        </w:rPr>
        <w:t xml:space="preserve"> = </w:t>
      </w:r>
      <w:r w:rsidRPr="009344B1">
        <w:rPr>
          <w:rFonts w:ascii="Calibri" w:hAnsi="Calibri"/>
        </w:rPr>
        <w:t>maximum observed plasma concentration</w:t>
      </w:r>
      <w:r>
        <w:rPr>
          <w:rFonts w:ascii="Calibri" w:hAnsi="Calibri"/>
        </w:rPr>
        <w:t xml:space="preserve">; COBI = </w:t>
      </w:r>
      <w:proofErr w:type="spellStart"/>
      <w:r w:rsidRPr="00A666F6">
        <w:rPr>
          <w:rFonts w:ascii="Calibri" w:hAnsi="Calibri"/>
        </w:rPr>
        <w:t>cobicistat</w:t>
      </w:r>
      <w:proofErr w:type="spellEnd"/>
      <w:r>
        <w:rPr>
          <w:rFonts w:ascii="Calibri" w:hAnsi="Calibri"/>
        </w:rPr>
        <w:t>;</w:t>
      </w:r>
      <w:r w:rsidRPr="00A666F6">
        <w:rPr>
          <w:rFonts w:ascii="Calibri" w:hAnsi="Calibri"/>
        </w:rPr>
        <w:t xml:space="preserve"> </w:t>
      </w:r>
      <w:proofErr w:type="spellStart"/>
      <w:proofErr w:type="gramStart"/>
      <w:r w:rsidRPr="00A666F6">
        <w:rPr>
          <w:rFonts w:ascii="Calibri" w:hAnsi="Calibri"/>
        </w:rPr>
        <w:t>C</w:t>
      </w:r>
      <w:r w:rsidRPr="00A666F6">
        <w:rPr>
          <w:rFonts w:ascii="Calibri" w:hAnsi="Calibri"/>
          <w:vertAlign w:val="subscript"/>
        </w:rPr>
        <w:t>trough</w:t>
      </w:r>
      <w:proofErr w:type="spellEnd"/>
      <w:r w:rsidRPr="00A666F6">
        <w:rPr>
          <w:rFonts w:ascii="Calibri" w:hAnsi="Calibri"/>
        </w:rPr>
        <w:t xml:space="preserve">  =</w:t>
      </w:r>
      <w:proofErr w:type="gramEnd"/>
      <w:r w:rsidRPr="00A666F6">
        <w:rPr>
          <w:rFonts w:ascii="Calibri" w:hAnsi="Calibri"/>
        </w:rPr>
        <w:t xml:space="preserve"> trough plasma concentration</w:t>
      </w:r>
      <w:r>
        <w:rPr>
          <w:rFonts w:ascii="Calibri" w:hAnsi="Calibri"/>
        </w:rPr>
        <w:t xml:space="preserve">; </w:t>
      </w:r>
      <w:r w:rsidRPr="00A666F6">
        <w:rPr>
          <w:rFonts w:ascii="Calibri" w:hAnsi="Calibri"/>
        </w:rPr>
        <w:t xml:space="preserve">DRV = </w:t>
      </w:r>
      <w:proofErr w:type="spellStart"/>
      <w:r w:rsidRPr="00A666F6">
        <w:rPr>
          <w:rFonts w:ascii="Calibri" w:hAnsi="Calibri"/>
        </w:rPr>
        <w:t>darunavir</w:t>
      </w:r>
      <w:proofErr w:type="spellEnd"/>
      <w:r>
        <w:rPr>
          <w:rFonts w:ascii="Calibri" w:hAnsi="Calibri"/>
        </w:rPr>
        <w:t xml:space="preserve">; EVG = </w:t>
      </w:r>
      <w:proofErr w:type="spellStart"/>
      <w:r w:rsidRPr="00A666F6">
        <w:rPr>
          <w:rFonts w:ascii="Calibri" w:hAnsi="Calibri"/>
        </w:rPr>
        <w:t>elvitegravir</w:t>
      </w:r>
      <w:proofErr w:type="spellEnd"/>
      <w:r>
        <w:rPr>
          <w:rFonts w:ascii="Calibri" w:hAnsi="Calibri"/>
        </w:rPr>
        <w:t xml:space="preserve">; NA = not applicable; TAF = </w:t>
      </w:r>
      <w:proofErr w:type="spellStart"/>
      <w:r w:rsidRPr="00A666F6">
        <w:rPr>
          <w:rFonts w:ascii="Calibri" w:hAnsi="Calibri"/>
        </w:rPr>
        <w:t>tenofovir</w:t>
      </w:r>
      <w:proofErr w:type="spellEnd"/>
      <w:r w:rsidRPr="00A666F6">
        <w:rPr>
          <w:rFonts w:ascii="Calibri" w:hAnsi="Calibri"/>
        </w:rPr>
        <w:t xml:space="preserve"> </w:t>
      </w:r>
      <w:proofErr w:type="spellStart"/>
      <w:r w:rsidRPr="00A666F6">
        <w:rPr>
          <w:rFonts w:ascii="Calibri" w:hAnsi="Calibri"/>
        </w:rPr>
        <w:t>alafenamide</w:t>
      </w:r>
      <w:proofErr w:type="spellEnd"/>
      <w:r>
        <w:rPr>
          <w:rFonts w:ascii="Calibri" w:hAnsi="Calibri"/>
        </w:rPr>
        <w:t xml:space="preserve">; TFV = </w:t>
      </w:r>
      <w:proofErr w:type="spellStart"/>
      <w:r w:rsidRPr="00A666F6">
        <w:rPr>
          <w:rFonts w:ascii="Calibri" w:hAnsi="Calibri"/>
        </w:rPr>
        <w:t>tenofovir</w:t>
      </w:r>
      <w:proofErr w:type="spellEnd"/>
    </w:p>
    <w:p w:rsidR="00C361B7" w:rsidRPr="00AA5D0C" w:rsidRDefault="00C361B7" w:rsidP="00C361B7">
      <w:pPr>
        <w:pStyle w:val="Heading2"/>
        <w:pageBreakBefore/>
        <w:rPr>
          <w:rFonts w:ascii="Calibri" w:hAnsi="Calibri"/>
        </w:rPr>
      </w:pPr>
      <w:r w:rsidRPr="006E442E">
        <w:rPr>
          <w:rFonts w:ascii="Calibri" w:hAnsi="Calibri"/>
        </w:rPr>
        <w:lastRenderedPageBreak/>
        <w:t xml:space="preserve">Supplementary Figure 1.  Treatment Difference in </w:t>
      </w:r>
      <w:proofErr w:type="spellStart"/>
      <w:r w:rsidRPr="006E442E">
        <w:rPr>
          <w:rFonts w:ascii="Calibri" w:hAnsi="Calibri"/>
        </w:rPr>
        <w:t>Virologic</w:t>
      </w:r>
      <w:proofErr w:type="spellEnd"/>
      <w:r w:rsidRPr="006E442E">
        <w:rPr>
          <w:rFonts w:ascii="Calibri" w:hAnsi="Calibri"/>
        </w:rPr>
        <w:t xml:space="preserve"> Success at Week 48 by Subgroup</w:t>
      </w:r>
    </w:p>
    <w:p w:rsidR="00C361B7" w:rsidRPr="00AA5D0C" w:rsidRDefault="00C361B7" w:rsidP="00C361B7">
      <w:pPr>
        <w:rPr>
          <w:rFonts w:ascii="Calibri" w:hAnsi="Calibri"/>
          <w:sz w:val="24"/>
          <w:szCs w:val="24"/>
        </w:rPr>
      </w:pPr>
    </w:p>
    <w:p w:rsidR="00C361B7" w:rsidRDefault="00C361B7" w:rsidP="00C361B7">
      <w:r>
        <w:rPr>
          <w:noProof/>
        </w:rPr>
        <w:drawing>
          <wp:inline distT="0" distB="0" distL="0" distR="0" wp14:anchorId="6E95A809" wp14:editId="7E5C4705">
            <wp:extent cx="5385435" cy="2670175"/>
            <wp:effectExtent l="0" t="0" r="5715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5435" cy="267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61B7" w:rsidRDefault="00C361B7" w:rsidP="00C361B7"/>
    <w:p w:rsidR="00C361B7" w:rsidRDefault="00C361B7" w:rsidP="00C361B7">
      <w:pPr>
        <w:rPr>
          <w:rFonts w:ascii="Calibri" w:hAnsi="Calibri"/>
        </w:rPr>
      </w:pPr>
      <w:r w:rsidRPr="00A666F6">
        <w:rPr>
          <w:rFonts w:ascii="Calibri" w:hAnsi="Calibri"/>
        </w:rPr>
        <w:t>Relative to the vertical line at 0, differences on the right favor the E/C/F/TAF+DRV group and differences on the left favor the CR group.</w:t>
      </w:r>
    </w:p>
    <w:p w:rsidR="00C361B7" w:rsidRDefault="00C361B7" w:rsidP="00C361B7">
      <w:bookmarkStart w:id="0" w:name="_GoBack"/>
      <w:r>
        <w:br w:type="page"/>
      </w:r>
    </w:p>
    <w:bookmarkEnd w:id="0"/>
    <w:p w:rsidR="00C361B7" w:rsidRPr="006E442E" w:rsidRDefault="00C361B7" w:rsidP="00C361B7">
      <w:pPr>
        <w:pStyle w:val="Heading2"/>
        <w:pageBreakBefore/>
        <w:rPr>
          <w:rFonts w:ascii="Calibri" w:hAnsi="Calibri"/>
        </w:rPr>
      </w:pPr>
      <w:r w:rsidRPr="006E442E">
        <w:rPr>
          <w:rFonts w:ascii="Calibri" w:hAnsi="Calibri"/>
        </w:rPr>
        <w:lastRenderedPageBreak/>
        <w:t>Supplementary Table 3.  Summary of Serious Adverse Events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13"/>
        <w:gridCol w:w="1852"/>
        <w:gridCol w:w="1985"/>
      </w:tblGrid>
      <w:tr w:rsidR="00C361B7" w:rsidRPr="00AA5D0C" w:rsidTr="00B85CA1">
        <w:tc>
          <w:tcPr>
            <w:tcW w:w="57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bottom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  <w:b/>
                <w:bCs/>
              </w:rPr>
              <w:t>Serious Adverse Events by Preferred Term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  <w:b/>
                <w:bCs/>
              </w:rPr>
              <w:t>E/C/F/TAF + DRV</w:t>
            </w:r>
            <w:r w:rsidRPr="00AA5D0C">
              <w:rPr>
                <w:rFonts w:ascii="Calibri" w:hAnsi="Calibri"/>
                <w:b/>
                <w:bCs/>
              </w:rPr>
              <w:br/>
              <w:t>n=89</w:t>
            </w:r>
          </w:p>
        </w:tc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  <w:b/>
                <w:bCs/>
              </w:rPr>
              <w:t>Baseline Regimens</w:t>
            </w:r>
            <w:r w:rsidRPr="00AA5D0C">
              <w:rPr>
                <w:rFonts w:ascii="Calibri" w:hAnsi="Calibri"/>
                <w:b/>
                <w:bCs/>
              </w:rPr>
              <w:br/>
              <w:t>n=46</w:t>
            </w:r>
          </w:p>
        </w:tc>
      </w:tr>
      <w:tr w:rsidR="00C361B7" w:rsidRPr="00AA5D0C" w:rsidTr="00B85CA1">
        <w:tc>
          <w:tcPr>
            <w:tcW w:w="5724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Any Serious Adverse Event</w:t>
            </w:r>
          </w:p>
        </w:tc>
        <w:tc>
          <w:tcPr>
            <w:tcW w:w="1890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 (</w:t>
            </w:r>
            <w:r w:rsidRPr="00AA5D0C">
              <w:rPr>
                <w:rFonts w:ascii="Calibri" w:hAnsi="Calibri"/>
              </w:rPr>
              <w:t>10.1%)</w:t>
            </w:r>
          </w:p>
        </w:tc>
        <w:tc>
          <w:tcPr>
            <w:tcW w:w="2034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</w:t>
            </w:r>
            <w:r w:rsidRPr="00AA5D0C">
              <w:rPr>
                <w:rFonts w:ascii="Calibri" w:hAnsi="Calibri"/>
              </w:rPr>
              <w:t>2.2%)</w:t>
            </w:r>
          </w:p>
        </w:tc>
      </w:tr>
      <w:tr w:rsidR="00C361B7" w:rsidRPr="00AA5D0C" w:rsidTr="00B85CA1">
        <w:tc>
          <w:tcPr>
            <w:tcW w:w="5724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 xml:space="preserve">  Tachycardia, alcohol abuse, alcohol withdrawal syndrome, urinary tract infection</w:t>
            </w:r>
          </w:p>
        </w:tc>
        <w:tc>
          <w:tcPr>
            <w:tcW w:w="1890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</w:t>
            </w:r>
            <w:r w:rsidRPr="00AA5D0C">
              <w:rPr>
                <w:rFonts w:ascii="Calibri" w:hAnsi="Calibri"/>
              </w:rPr>
              <w:t>1.1%)</w:t>
            </w:r>
          </w:p>
        </w:tc>
        <w:tc>
          <w:tcPr>
            <w:tcW w:w="2034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</w:tr>
      <w:tr w:rsidR="00C361B7" w:rsidRPr="00AA5D0C" w:rsidTr="00B85CA1">
        <w:tc>
          <w:tcPr>
            <w:tcW w:w="5724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 xml:space="preserve">  </w:t>
            </w:r>
            <w:proofErr w:type="spellStart"/>
            <w:r w:rsidRPr="00AA5D0C">
              <w:rPr>
                <w:rFonts w:ascii="Calibri" w:hAnsi="Calibri"/>
              </w:rPr>
              <w:t>Hemorrhoidal</w:t>
            </w:r>
            <w:proofErr w:type="spellEnd"/>
            <w:r w:rsidRPr="00AA5D0C">
              <w:rPr>
                <w:rFonts w:ascii="Calibri" w:hAnsi="Calibri"/>
              </w:rPr>
              <w:t xml:space="preserve"> hemorrhage</w:t>
            </w:r>
          </w:p>
        </w:tc>
        <w:tc>
          <w:tcPr>
            <w:tcW w:w="1890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</w:t>
            </w:r>
            <w:r w:rsidRPr="00AA5D0C">
              <w:rPr>
                <w:rFonts w:ascii="Calibri" w:hAnsi="Calibri"/>
              </w:rPr>
              <w:t>1.1%)</w:t>
            </w:r>
          </w:p>
        </w:tc>
        <w:tc>
          <w:tcPr>
            <w:tcW w:w="2034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</w:tr>
      <w:tr w:rsidR="00C361B7" w:rsidRPr="00AA5D0C" w:rsidTr="00B85CA1">
        <w:tc>
          <w:tcPr>
            <w:tcW w:w="5724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 xml:space="preserve">  Small intestinal obstruction</w:t>
            </w:r>
          </w:p>
        </w:tc>
        <w:tc>
          <w:tcPr>
            <w:tcW w:w="1890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</w:t>
            </w:r>
            <w:r w:rsidRPr="00AA5D0C">
              <w:rPr>
                <w:rFonts w:ascii="Calibri" w:hAnsi="Calibri"/>
              </w:rPr>
              <w:t>1.1%)</w:t>
            </w:r>
          </w:p>
        </w:tc>
        <w:tc>
          <w:tcPr>
            <w:tcW w:w="2034" w:type="dxa"/>
            <w:shd w:val="clear" w:color="auto" w:fill="auto"/>
            <w:tcMar>
              <w:top w:w="58" w:type="dxa"/>
              <w:left w:w="144" w:type="dxa"/>
              <w:bottom w:w="58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</w:tr>
      <w:tr w:rsidR="00C361B7" w:rsidRPr="00AA5D0C" w:rsidTr="00B85CA1">
        <w:tc>
          <w:tcPr>
            <w:tcW w:w="57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 xml:space="preserve">  Non-cardiac chest pain, bronchitis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</w:t>
            </w:r>
            <w:r w:rsidRPr="00AA5D0C">
              <w:rPr>
                <w:rFonts w:ascii="Calibri" w:hAnsi="Calibri"/>
              </w:rPr>
              <w:t>1.1%)</w:t>
            </w:r>
          </w:p>
        </w:tc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</w:tr>
      <w:tr w:rsidR="00C361B7" w:rsidRPr="00AA5D0C" w:rsidTr="00B85CA1">
        <w:tc>
          <w:tcPr>
            <w:tcW w:w="57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 xml:space="preserve">  Cellulitis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</w:t>
            </w:r>
            <w:r w:rsidRPr="00AA5D0C">
              <w:rPr>
                <w:rFonts w:ascii="Calibri" w:hAnsi="Calibri"/>
              </w:rPr>
              <w:t>1.1%)</w:t>
            </w:r>
          </w:p>
        </w:tc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</w:tr>
      <w:tr w:rsidR="00C361B7" w:rsidRPr="00AA5D0C" w:rsidTr="00B85CA1">
        <w:tc>
          <w:tcPr>
            <w:tcW w:w="57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 xml:space="preserve">  Clostridium difficile colitis, </w:t>
            </w:r>
            <w:proofErr w:type="spellStart"/>
            <w:r w:rsidRPr="00AA5D0C">
              <w:rPr>
                <w:rFonts w:ascii="Calibri" w:hAnsi="Calibri"/>
              </w:rPr>
              <w:t>clostridial</w:t>
            </w:r>
            <w:proofErr w:type="spellEnd"/>
            <w:r w:rsidRPr="00AA5D0C">
              <w:rPr>
                <w:rFonts w:ascii="Calibri" w:hAnsi="Calibri"/>
              </w:rPr>
              <w:t xml:space="preserve"> gastroenteritis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</w:t>
            </w:r>
            <w:r w:rsidRPr="00AA5D0C">
              <w:rPr>
                <w:rFonts w:ascii="Calibri" w:hAnsi="Calibri"/>
              </w:rPr>
              <w:t>1.1%)</w:t>
            </w:r>
          </w:p>
        </w:tc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</w:tr>
      <w:tr w:rsidR="00C361B7" w:rsidRPr="00AA5D0C" w:rsidTr="00B85CA1">
        <w:tc>
          <w:tcPr>
            <w:tcW w:w="57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 xml:space="preserve">  Sepsis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</w:t>
            </w:r>
            <w:r w:rsidRPr="00AA5D0C">
              <w:rPr>
                <w:rFonts w:ascii="Calibri" w:hAnsi="Calibri"/>
              </w:rPr>
              <w:t>1.1%)</w:t>
            </w:r>
          </w:p>
        </w:tc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</w:tr>
      <w:tr w:rsidR="00C361B7" w:rsidRPr="00AA5D0C" w:rsidTr="00B85CA1">
        <w:tc>
          <w:tcPr>
            <w:tcW w:w="57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 xml:space="preserve">  Splenic rupture, retroperitoneal hemorrhage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</w:t>
            </w:r>
            <w:r w:rsidRPr="00AA5D0C">
              <w:rPr>
                <w:rFonts w:ascii="Calibri" w:hAnsi="Calibri"/>
              </w:rPr>
              <w:t>1.1%)</w:t>
            </w:r>
          </w:p>
        </w:tc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</w:tr>
      <w:tr w:rsidR="00C361B7" w:rsidRPr="00AA5D0C" w:rsidTr="00B85CA1">
        <w:tc>
          <w:tcPr>
            <w:tcW w:w="57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 xml:space="preserve">  Vascular </w:t>
            </w:r>
            <w:proofErr w:type="spellStart"/>
            <w:r w:rsidRPr="00AA5D0C">
              <w:rPr>
                <w:rFonts w:ascii="Calibri" w:hAnsi="Calibri"/>
              </w:rPr>
              <w:t>pseudoaneurysm</w:t>
            </w:r>
            <w:proofErr w:type="spellEnd"/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(</w:t>
            </w:r>
            <w:r w:rsidRPr="00AA5D0C">
              <w:rPr>
                <w:rFonts w:ascii="Calibri" w:hAnsi="Calibri"/>
              </w:rPr>
              <w:t>2.2%)</w:t>
            </w:r>
          </w:p>
        </w:tc>
      </w:tr>
      <w:tr w:rsidR="00C361B7" w:rsidRPr="00AA5D0C" w:rsidTr="00B85CA1">
        <w:tc>
          <w:tcPr>
            <w:tcW w:w="572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 xml:space="preserve">  Syncope, chest pain, chronic obstructive pulmonary disease</w:t>
            </w:r>
          </w:p>
        </w:tc>
        <w:tc>
          <w:tcPr>
            <w:tcW w:w="189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 xml:space="preserve">1 </w:t>
            </w:r>
            <w:proofErr w:type="gramStart"/>
            <w:r w:rsidRPr="00AA5D0C">
              <w:rPr>
                <w:rFonts w:ascii="Calibri" w:hAnsi="Calibri"/>
              </w:rPr>
              <w:t>( 1.1</w:t>
            </w:r>
            <w:proofErr w:type="gramEnd"/>
            <w:r w:rsidRPr="00AA5D0C">
              <w:rPr>
                <w:rFonts w:ascii="Calibri" w:hAnsi="Calibri"/>
              </w:rPr>
              <w:t>%</w:t>
            </w:r>
            <w:r>
              <w:rPr>
                <w:rFonts w:ascii="Calibri" w:hAnsi="Calibri"/>
              </w:rPr>
              <w:t>)</w:t>
            </w:r>
          </w:p>
        </w:tc>
        <w:tc>
          <w:tcPr>
            <w:tcW w:w="203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61B7" w:rsidRPr="00AA5D0C" w:rsidRDefault="00C361B7" w:rsidP="00B85CA1">
            <w:pPr>
              <w:jc w:val="center"/>
              <w:rPr>
                <w:rFonts w:ascii="Calibri" w:hAnsi="Calibri"/>
              </w:rPr>
            </w:pPr>
            <w:r w:rsidRPr="00AA5D0C">
              <w:rPr>
                <w:rFonts w:ascii="Calibri" w:hAnsi="Calibri"/>
              </w:rPr>
              <w:t>0</w:t>
            </w:r>
          </w:p>
        </w:tc>
      </w:tr>
    </w:tbl>
    <w:p w:rsidR="00C361B7" w:rsidRPr="00AA5D0C" w:rsidRDefault="00C361B7" w:rsidP="00C361B7">
      <w:pPr>
        <w:rPr>
          <w:rFonts w:ascii="Calibri" w:hAnsi="Calibri"/>
        </w:rPr>
      </w:pPr>
    </w:p>
    <w:p w:rsidR="00C361B7" w:rsidRDefault="00C361B7" w:rsidP="00C361B7">
      <w:pPr>
        <w:rPr>
          <w:rFonts w:ascii="Calibri" w:hAnsi="Calibri"/>
        </w:rPr>
      </w:pPr>
      <w:r w:rsidRPr="00AA5D0C">
        <w:rPr>
          <w:rFonts w:ascii="Calibri" w:hAnsi="Calibri"/>
        </w:rPr>
        <w:t xml:space="preserve">Adverse events were coded using </w:t>
      </w:r>
      <w:proofErr w:type="spellStart"/>
      <w:r w:rsidRPr="00AA5D0C">
        <w:rPr>
          <w:rFonts w:ascii="Calibri" w:hAnsi="Calibri"/>
        </w:rPr>
        <w:t>MedDRA</w:t>
      </w:r>
      <w:proofErr w:type="spellEnd"/>
      <w:r w:rsidRPr="00AA5D0C">
        <w:rPr>
          <w:rFonts w:ascii="Calibri" w:hAnsi="Calibri"/>
        </w:rPr>
        <w:t xml:space="preserve"> 18.0</w:t>
      </w:r>
      <w:r>
        <w:rPr>
          <w:rFonts w:ascii="Calibri" w:hAnsi="Calibri"/>
        </w:rPr>
        <w:t>.</w:t>
      </w:r>
    </w:p>
    <w:p w:rsidR="00C361B7" w:rsidRPr="00AA5D0C" w:rsidRDefault="00C361B7" w:rsidP="00C361B7">
      <w:pPr>
        <w:rPr>
          <w:rFonts w:ascii="Calibri" w:hAnsi="Calibri"/>
        </w:rPr>
      </w:pPr>
      <w:r w:rsidRPr="00A666F6">
        <w:rPr>
          <w:rFonts w:ascii="Calibri" w:hAnsi="Calibri"/>
        </w:rPr>
        <w:t xml:space="preserve">DRV = </w:t>
      </w:r>
      <w:proofErr w:type="spellStart"/>
      <w:r w:rsidRPr="00A666F6">
        <w:rPr>
          <w:rFonts w:ascii="Calibri" w:hAnsi="Calibri"/>
        </w:rPr>
        <w:t>darunavir</w:t>
      </w:r>
      <w:proofErr w:type="spellEnd"/>
      <w:r>
        <w:rPr>
          <w:rFonts w:ascii="Calibri" w:hAnsi="Calibri"/>
        </w:rPr>
        <w:t xml:space="preserve">; </w:t>
      </w:r>
      <w:r w:rsidRPr="00A666F6">
        <w:rPr>
          <w:rFonts w:ascii="Calibri" w:hAnsi="Calibri"/>
        </w:rPr>
        <w:t xml:space="preserve">E/C/F/TAF = </w:t>
      </w:r>
      <w:proofErr w:type="spellStart"/>
      <w:r w:rsidRPr="00A666F6">
        <w:rPr>
          <w:rFonts w:ascii="Calibri" w:hAnsi="Calibri"/>
        </w:rPr>
        <w:t>elvitegravir</w:t>
      </w:r>
      <w:proofErr w:type="spellEnd"/>
      <w:r w:rsidRPr="00A666F6">
        <w:rPr>
          <w:rFonts w:ascii="Calibri" w:hAnsi="Calibri"/>
        </w:rPr>
        <w:t>/</w:t>
      </w:r>
      <w:proofErr w:type="spellStart"/>
      <w:r w:rsidRPr="00A666F6">
        <w:rPr>
          <w:rFonts w:ascii="Calibri" w:hAnsi="Calibri"/>
        </w:rPr>
        <w:t>cobicistat</w:t>
      </w:r>
      <w:proofErr w:type="spellEnd"/>
      <w:r w:rsidRPr="00A666F6">
        <w:rPr>
          <w:rFonts w:ascii="Calibri" w:hAnsi="Calibri"/>
        </w:rPr>
        <w:t>/</w:t>
      </w:r>
      <w:proofErr w:type="spellStart"/>
      <w:r w:rsidRPr="00A666F6">
        <w:rPr>
          <w:rFonts w:ascii="Calibri" w:hAnsi="Calibri"/>
        </w:rPr>
        <w:t>emtricitabine</w:t>
      </w:r>
      <w:proofErr w:type="spellEnd"/>
      <w:r w:rsidRPr="00A666F6">
        <w:rPr>
          <w:rFonts w:ascii="Calibri" w:hAnsi="Calibri"/>
        </w:rPr>
        <w:t>/</w:t>
      </w:r>
      <w:proofErr w:type="spellStart"/>
      <w:r w:rsidRPr="00A666F6">
        <w:rPr>
          <w:rFonts w:ascii="Calibri" w:hAnsi="Calibri"/>
        </w:rPr>
        <w:t>tenofovir</w:t>
      </w:r>
      <w:proofErr w:type="spellEnd"/>
      <w:r w:rsidRPr="00A666F6">
        <w:rPr>
          <w:rFonts w:ascii="Calibri" w:hAnsi="Calibri"/>
        </w:rPr>
        <w:t xml:space="preserve"> </w:t>
      </w:r>
      <w:proofErr w:type="spellStart"/>
      <w:r w:rsidRPr="00A666F6">
        <w:rPr>
          <w:rFonts w:ascii="Calibri" w:hAnsi="Calibri"/>
        </w:rPr>
        <w:t>alafenamide</w:t>
      </w:r>
      <w:proofErr w:type="spellEnd"/>
    </w:p>
    <w:p w:rsidR="003F5E02" w:rsidRPr="00A666F6" w:rsidRDefault="003F5E02" w:rsidP="003F5E02">
      <w:pPr>
        <w:rPr>
          <w:rFonts w:ascii="Calibri" w:hAnsi="Calibri"/>
        </w:rPr>
      </w:pPr>
    </w:p>
    <w:sectPr w:rsidR="003F5E02" w:rsidRPr="00A666F6" w:rsidSect="006D1026">
      <w:footerReference w:type="default" r:id="rId7"/>
      <w:pgSz w:w="12240" w:h="15840"/>
      <w:pgMar w:top="1440" w:right="1440" w:bottom="1440" w:left="1440" w:header="720" w:footer="720" w:gutter="0"/>
      <w:pgNumType w:start="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87" w:rsidRDefault="001D4787">
      <w:r>
        <w:separator/>
      </w:r>
    </w:p>
  </w:endnote>
  <w:endnote w:type="continuationSeparator" w:id="0">
    <w:p w:rsidR="001D4787" w:rsidRDefault="001D4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3B24" w:rsidRDefault="00E769F5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361B7">
      <w:rPr>
        <w:noProof/>
      </w:rPr>
      <w:t>7</w:t>
    </w:r>
    <w:r>
      <w:rPr>
        <w:noProof/>
      </w:rPr>
      <w:fldChar w:fldCharType="end"/>
    </w:r>
  </w:p>
  <w:p w:rsidR="000A3B24" w:rsidRDefault="001D47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87" w:rsidRDefault="001D4787">
      <w:r>
        <w:separator/>
      </w:r>
    </w:p>
  </w:footnote>
  <w:footnote w:type="continuationSeparator" w:id="0">
    <w:p w:rsidR="001D4787" w:rsidRDefault="001D47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E02"/>
    <w:rsid w:val="00003CE3"/>
    <w:rsid w:val="00016506"/>
    <w:rsid w:val="00026175"/>
    <w:rsid w:val="0003556C"/>
    <w:rsid w:val="00037B3F"/>
    <w:rsid w:val="000431A8"/>
    <w:rsid w:val="000472B0"/>
    <w:rsid w:val="00050E2A"/>
    <w:rsid w:val="00052253"/>
    <w:rsid w:val="00053641"/>
    <w:rsid w:val="000600FA"/>
    <w:rsid w:val="00060F2B"/>
    <w:rsid w:val="00061AD3"/>
    <w:rsid w:val="00061D49"/>
    <w:rsid w:val="00063860"/>
    <w:rsid w:val="00070861"/>
    <w:rsid w:val="00073CAB"/>
    <w:rsid w:val="000743A9"/>
    <w:rsid w:val="0007757D"/>
    <w:rsid w:val="0007787A"/>
    <w:rsid w:val="00080215"/>
    <w:rsid w:val="00080556"/>
    <w:rsid w:val="00081A70"/>
    <w:rsid w:val="0009244A"/>
    <w:rsid w:val="00095575"/>
    <w:rsid w:val="000A195E"/>
    <w:rsid w:val="000A3FCB"/>
    <w:rsid w:val="000A7C6D"/>
    <w:rsid w:val="000B5F0C"/>
    <w:rsid w:val="000C27BA"/>
    <w:rsid w:val="000D239C"/>
    <w:rsid w:val="000D4B6D"/>
    <w:rsid w:val="000E3E9D"/>
    <w:rsid w:val="000E7580"/>
    <w:rsid w:val="000F1D7B"/>
    <w:rsid w:val="0010456B"/>
    <w:rsid w:val="001069AE"/>
    <w:rsid w:val="001362EF"/>
    <w:rsid w:val="00144A7A"/>
    <w:rsid w:val="00166E6A"/>
    <w:rsid w:val="00181878"/>
    <w:rsid w:val="00183A9C"/>
    <w:rsid w:val="00192294"/>
    <w:rsid w:val="00195A4D"/>
    <w:rsid w:val="001A1B2C"/>
    <w:rsid w:val="001B1095"/>
    <w:rsid w:val="001B2ABE"/>
    <w:rsid w:val="001C2185"/>
    <w:rsid w:val="001C449E"/>
    <w:rsid w:val="001D1A4F"/>
    <w:rsid w:val="001D2ED8"/>
    <w:rsid w:val="001D4787"/>
    <w:rsid w:val="001E5AE9"/>
    <w:rsid w:val="001E7959"/>
    <w:rsid w:val="00211F9E"/>
    <w:rsid w:val="00222807"/>
    <w:rsid w:val="00227EAB"/>
    <w:rsid w:val="0023373A"/>
    <w:rsid w:val="00250565"/>
    <w:rsid w:val="00257070"/>
    <w:rsid w:val="002579B4"/>
    <w:rsid w:val="00265870"/>
    <w:rsid w:val="00267D7B"/>
    <w:rsid w:val="0027100E"/>
    <w:rsid w:val="002841F3"/>
    <w:rsid w:val="002864CB"/>
    <w:rsid w:val="002A689E"/>
    <w:rsid w:val="002B02E0"/>
    <w:rsid w:val="002C192C"/>
    <w:rsid w:val="002C1AAB"/>
    <w:rsid w:val="002C53F9"/>
    <w:rsid w:val="002C6238"/>
    <w:rsid w:val="002D07C6"/>
    <w:rsid w:val="002D217F"/>
    <w:rsid w:val="002E1FEF"/>
    <w:rsid w:val="002E53F2"/>
    <w:rsid w:val="002E6701"/>
    <w:rsid w:val="002E6C69"/>
    <w:rsid w:val="002E76C9"/>
    <w:rsid w:val="002F4D73"/>
    <w:rsid w:val="002F4F1A"/>
    <w:rsid w:val="00300354"/>
    <w:rsid w:val="0030656D"/>
    <w:rsid w:val="00307A01"/>
    <w:rsid w:val="00320223"/>
    <w:rsid w:val="0032045D"/>
    <w:rsid w:val="00320603"/>
    <w:rsid w:val="00320A47"/>
    <w:rsid w:val="00323517"/>
    <w:rsid w:val="00324BB4"/>
    <w:rsid w:val="00325884"/>
    <w:rsid w:val="00335BF8"/>
    <w:rsid w:val="0034146A"/>
    <w:rsid w:val="0034404C"/>
    <w:rsid w:val="00353830"/>
    <w:rsid w:val="00355876"/>
    <w:rsid w:val="00355D14"/>
    <w:rsid w:val="0035783A"/>
    <w:rsid w:val="00361DEE"/>
    <w:rsid w:val="003669C6"/>
    <w:rsid w:val="00367682"/>
    <w:rsid w:val="003721AF"/>
    <w:rsid w:val="00380719"/>
    <w:rsid w:val="003856BB"/>
    <w:rsid w:val="00395871"/>
    <w:rsid w:val="003A3D5A"/>
    <w:rsid w:val="003B4A00"/>
    <w:rsid w:val="003B5094"/>
    <w:rsid w:val="003C18A9"/>
    <w:rsid w:val="003C3CEE"/>
    <w:rsid w:val="003D46BF"/>
    <w:rsid w:val="003D54E2"/>
    <w:rsid w:val="003E3FF9"/>
    <w:rsid w:val="003F5B45"/>
    <w:rsid w:val="003F5E02"/>
    <w:rsid w:val="00400320"/>
    <w:rsid w:val="00410AA4"/>
    <w:rsid w:val="004346E3"/>
    <w:rsid w:val="004461B4"/>
    <w:rsid w:val="00456A70"/>
    <w:rsid w:val="0046141B"/>
    <w:rsid w:val="00465AE9"/>
    <w:rsid w:val="004727E9"/>
    <w:rsid w:val="00473BAB"/>
    <w:rsid w:val="00473C21"/>
    <w:rsid w:val="0048643D"/>
    <w:rsid w:val="00490683"/>
    <w:rsid w:val="00490C72"/>
    <w:rsid w:val="0049342F"/>
    <w:rsid w:val="00494B26"/>
    <w:rsid w:val="00497F1A"/>
    <w:rsid w:val="004A05F1"/>
    <w:rsid w:val="004A10F2"/>
    <w:rsid w:val="004B0BC8"/>
    <w:rsid w:val="004B764A"/>
    <w:rsid w:val="004C60CC"/>
    <w:rsid w:val="004C6173"/>
    <w:rsid w:val="004C6D67"/>
    <w:rsid w:val="004D1C70"/>
    <w:rsid w:val="004D3D13"/>
    <w:rsid w:val="004E1193"/>
    <w:rsid w:val="004E6CEA"/>
    <w:rsid w:val="004F3A97"/>
    <w:rsid w:val="00503954"/>
    <w:rsid w:val="00514839"/>
    <w:rsid w:val="00515290"/>
    <w:rsid w:val="00515781"/>
    <w:rsid w:val="00520B36"/>
    <w:rsid w:val="00520D39"/>
    <w:rsid w:val="005213BF"/>
    <w:rsid w:val="00524510"/>
    <w:rsid w:val="005249D0"/>
    <w:rsid w:val="0054104A"/>
    <w:rsid w:val="00542DE7"/>
    <w:rsid w:val="0054379F"/>
    <w:rsid w:val="00547DFA"/>
    <w:rsid w:val="00553AB5"/>
    <w:rsid w:val="00562BDC"/>
    <w:rsid w:val="00562C69"/>
    <w:rsid w:val="0057088E"/>
    <w:rsid w:val="0058311E"/>
    <w:rsid w:val="0059626E"/>
    <w:rsid w:val="005A14E5"/>
    <w:rsid w:val="005C4F9A"/>
    <w:rsid w:val="005C5579"/>
    <w:rsid w:val="005D4BF5"/>
    <w:rsid w:val="005E2420"/>
    <w:rsid w:val="005E6C8A"/>
    <w:rsid w:val="005E7D34"/>
    <w:rsid w:val="005F3152"/>
    <w:rsid w:val="005F6AEC"/>
    <w:rsid w:val="00602632"/>
    <w:rsid w:val="00625EC9"/>
    <w:rsid w:val="00641BC5"/>
    <w:rsid w:val="00652F9C"/>
    <w:rsid w:val="0065403F"/>
    <w:rsid w:val="0066635B"/>
    <w:rsid w:val="006664DA"/>
    <w:rsid w:val="00672C68"/>
    <w:rsid w:val="006744C1"/>
    <w:rsid w:val="00684352"/>
    <w:rsid w:val="00685FC9"/>
    <w:rsid w:val="0068794E"/>
    <w:rsid w:val="00687A17"/>
    <w:rsid w:val="00690643"/>
    <w:rsid w:val="006946B8"/>
    <w:rsid w:val="00694789"/>
    <w:rsid w:val="00696DA3"/>
    <w:rsid w:val="006975A8"/>
    <w:rsid w:val="006A0BEB"/>
    <w:rsid w:val="006A3183"/>
    <w:rsid w:val="006B5CB3"/>
    <w:rsid w:val="006B67B1"/>
    <w:rsid w:val="006C4B27"/>
    <w:rsid w:val="006C654A"/>
    <w:rsid w:val="006C7AAC"/>
    <w:rsid w:val="006E1D61"/>
    <w:rsid w:val="006E4364"/>
    <w:rsid w:val="006F3C6D"/>
    <w:rsid w:val="006F4918"/>
    <w:rsid w:val="00700737"/>
    <w:rsid w:val="00703294"/>
    <w:rsid w:val="0070329B"/>
    <w:rsid w:val="00704223"/>
    <w:rsid w:val="007062FB"/>
    <w:rsid w:val="007075D7"/>
    <w:rsid w:val="00727EE5"/>
    <w:rsid w:val="00745023"/>
    <w:rsid w:val="0075711D"/>
    <w:rsid w:val="00763A61"/>
    <w:rsid w:val="007710CE"/>
    <w:rsid w:val="00772AA4"/>
    <w:rsid w:val="00776287"/>
    <w:rsid w:val="00784A13"/>
    <w:rsid w:val="00793436"/>
    <w:rsid w:val="00797E96"/>
    <w:rsid w:val="007A2ECF"/>
    <w:rsid w:val="007A3E33"/>
    <w:rsid w:val="007A778E"/>
    <w:rsid w:val="007A79BD"/>
    <w:rsid w:val="007C2CDF"/>
    <w:rsid w:val="007C74D3"/>
    <w:rsid w:val="007D7C3C"/>
    <w:rsid w:val="007E4C6F"/>
    <w:rsid w:val="007F14F3"/>
    <w:rsid w:val="007F2C38"/>
    <w:rsid w:val="007F2E58"/>
    <w:rsid w:val="0080162B"/>
    <w:rsid w:val="0080252B"/>
    <w:rsid w:val="00806CC7"/>
    <w:rsid w:val="00822344"/>
    <w:rsid w:val="008279ED"/>
    <w:rsid w:val="00831DA8"/>
    <w:rsid w:val="00836CD6"/>
    <w:rsid w:val="008415EC"/>
    <w:rsid w:val="00846214"/>
    <w:rsid w:val="00850048"/>
    <w:rsid w:val="0085317D"/>
    <w:rsid w:val="008575B8"/>
    <w:rsid w:val="00862DB9"/>
    <w:rsid w:val="008668B6"/>
    <w:rsid w:val="00873B1A"/>
    <w:rsid w:val="00874CE2"/>
    <w:rsid w:val="008779A4"/>
    <w:rsid w:val="00880059"/>
    <w:rsid w:val="00881725"/>
    <w:rsid w:val="008A69DE"/>
    <w:rsid w:val="008B698E"/>
    <w:rsid w:val="008D1266"/>
    <w:rsid w:val="008E1D56"/>
    <w:rsid w:val="008F2468"/>
    <w:rsid w:val="00901D97"/>
    <w:rsid w:val="00902FBC"/>
    <w:rsid w:val="00906C0C"/>
    <w:rsid w:val="00916982"/>
    <w:rsid w:val="009305CE"/>
    <w:rsid w:val="00931A03"/>
    <w:rsid w:val="00941F13"/>
    <w:rsid w:val="0095504B"/>
    <w:rsid w:val="00956A70"/>
    <w:rsid w:val="00967714"/>
    <w:rsid w:val="00967BB1"/>
    <w:rsid w:val="00967F76"/>
    <w:rsid w:val="00970A5E"/>
    <w:rsid w:val="0097733C"/>
    <w:rsid w:val="0099196F"/>
    <w:rsid w:val="009962D7"/>
    <w:rsid w:val="009A40CB"/>
    <w:rsid w:val="009A5CEE"/>
    <w:rsid w:val="009B30CB"/>
    <w:rsid w:val="009B5F30"/>
    <w:rsid w:val="009C0DD1"/>
    <w:rsid w:val="009C2C9F"/>
    <w:rsid w:val="009C7C2D"/>
    <w:rsid w:val="009D358C"/>
    <w:rsid w:val="009D732A"/>
    <w:rsid w:val="00A068F9"/>
    <w:rsid w:val="00A13A0C"/>
    <w:rsid w:val="00A141DB"/>
    <w:rsid w:val="00A22A58"/>
    <w:rsid w:val="00A2469B"/>
    <w:rsid w:val="00A2709A"/>
    <w:rsid w:val="00A30894"/>
    <w:rsid w:val="00A359FA"/>
    <w:rsid w:val="00A560BB"/>
    <w:rsid w:val="00A57CED"/>
    <w:rsid w:val="00A637B4"/>
    <w:rsid w:val="00A8782B"/>
    <w:rsid w:val="00A96B12"/>
    <w:rsid w:val="00AA54E8"/>
    <w:rsid w:val="00AA5F84"/>
    <w:rsid w:val="00AB0A44"/>
    <w:rsid w:val="00AB4BC0"/>
    <w:rsid w:val="00AC5582"/>
    <w:rsid w:val="00AC64AC"/>
    <w:rsid w:val="00AD2373"/>
    <w:rsid w:val="00AD51D4"/>
    <w:rsid w:val="00AE52F0"/>
    <w:rsid w:val="00AF3B46"/>
    <w:rsid w:val="00AF6822"/>
    <w:rsid w:val="00B02747"/>
    <w:rsid w:val="00B0380A"/>
    <w:rsid w:val="00B063DA"/>
    <w:rsid w:val="00B1181A"/>
    <w:rsid w:val="00B22D4D"/>
    <w:rsid w:val="00B27470"/>
    <w:rsid w:val="00B30A0D"/>
    <w:rsid w:val="00B31E25"/>
    <w:rsid w:val="00B37446"/>
    <w:rsid w:val="00B40538"/>
    <w:rsid w:val="00B460A3"/>
    <w:rsid w:val="00B513AE"/>
    <w:rsid w:val="00B526D0"/>
    <w:rsid w:val="00B625C5"/>
    <w:rsid w:val="00B646DC"/>
    <w:rsid w:val="00B67F89"/>
    <w:rsid w:val="00B742BD"/>
    <w:rsid w:val="00B81456"/>
    <w:rsid w:val="00B826FE"/>
    <w:rsid w:val="00BA0C64"/>
    <w:rsid w:val="00BA158F"/>
    <w:rsid w:val="00BA3C88"/>
    <w:rsid w:val="00BB3138"/>
    <w:rsid w:val="00BB59CC"/>
    <w:rsid w:val="00BD35D1"/>
    <w:rsid w:val="00BD6A7A"/>
    <w:rsid w:val="00BF3D8C"/>
    <w:rsid w:val="00C1061F"/>
    <w:rsid w:val="00C35E05"/>
    <w:rsid w:val="00C361B7"/>
    <w:rsid w:val="00C3735D"/>
    <w:rsid w:val="00C405CA"/>
    <w:rsid w:val="00C421AF"/>
    <w:rsid w:val="00C53F2C"/>
    <w:rsid w:val="00C60E89"/>
    <w:rsid w:val="00C63239"/>
    <w:rsid w:val="00C665BF"/>
    <w:rsid w:val="00C72064"/>
    <w:rsid w:val="00C77241"/>
    <w:rsid w:val="00C778D4"/>
    <w:rsid w:val="00C8049B"/>
    <w:rsid w:val="00CA1138"/>
    <w:rsid w:val="00CA40E8"/>
    <w:rsid w:val="00CB1CB0"/>
    <w:rsid w:val="00CB2F12"/>
    <w:rsid w:val="00CD4B42"/>
    <w:rsid w:val="00CD6326"/>
    <w:rsid w:val="00CE0EDD"/>
    <w:rsid w:val="00CE43F6"/>
    <w:rsid w:val="00CF1E80"/>
    <w:rsid w:val="00D05545"/>
    <w:rsid w:val="00D065C6"/>
    <w:rsid w:val="00D16473"/>
    <w:rsid w:val="00D208C6"/>
    <w:rsid w:val="00D244F2"/>
    <w:rsid w:val="00D26F00"/>
    <w:rsid w:val="00D32C67"/>
    <w:rsid w:val="00D527B8"/>
    <w:rsid w:val="00D54256"/>
    <w:rsid w:val="00D57BC6"/>
    <w:rsid w:val="00D65598"/>
    <w:rsid w:val="00D65E60"/>
    <w:rsid w:val="00D67197"/>
    <w:rsid w:val="00D70AB6"/>
    <w:rsid w:val="00D711DF"/>
    <w:rsid w:val="00D82A84"/>
    <w:rsid w:val="00D860DA"/>
    <w:rsid w:val="00DA668F"/>
    <w:rsid w:val="00DA6763"/>
    <w:rsid w:val="00DC71D5"/>
    <w:rsid w:val="00DD04D9"/>
    <w:rsid w:val="00DD3A66"/>
    <w:rsid w:val="00DD6826"/>
    <w:rsid w:val="00DE365E"/>
    <w:rsid w:val="00E06837"/>
    <w:rsid w:val="00E15168"/>
    <w:rsid w:val="00E218C7"/>
    <w:rsid w:val="00E22AFB"/>
    <w:rsid w:val="00E3285E"/>
    <w:rsid w:val="00E33B72"/>
    <w:rsid w:val="00E371D1"/>
    <w:rsid w:val="00E37B72"/>
    <w:rsid w:val="00E46320"/>
    <w:rsid w:val="00E514E6"/>
    <w:rsid w:val="00E51659"/>
    <w:rsid w:val="00E52A75"/>
    <w:rsid w:val="00E53F04"/>
    <w:rsid w:val="00E615D5"/>
    <w:rsid w:val="00E62395"/>
    <w:rsid w:val="00E63168"/>
    <w:rsid w:val="00E65290"/>
    <w:rsid w:val="00E65972"/>
    <w:rsid w:val="00E731E0"/>
    <w:rsid w:val="00E769F5"/>
    <w:rsid w:val="00E818AE"/>
    <w:rsid w:val="00E81CC5"/>
    <w:rsid w:val="00E91D98"/>
    <w:rsid w:val="00E924CD"/>
    <w:rsid w:val="00E94199"/>
    <w:rsid w:val="00E95866"/>
    <w:rsid w:val="00EA4D27"/>
    <w:rsid w:val="00EA706C"/>
    <w:rsid w:val="00EB0844"/>
    <w:rsid w:val="00ED5C1B"/>
    <w:rsid w:val="00ED77C8"/>
    <w:rsid w:val="00EE31EE"/>
    <w:rsid w:val="00EE4C6D"/>
    <w:rsid w:val="00EE761F"/>
    <w:rsid w:val="00EF0C68"/>
    <w:rsid w:val="00F0122C"/>
    <w:rsid w:val="00F026D6"/>
    <w:rsid w:val="00F139B7"/>
    <w:rsid w:val="00F165A6"/>
    <w:rsid w:val="00F17581"/>
    <w:rsid w:val="00F211B8"/>
    <w:rsid w:val="00F21DD1"/>
    <w:rsid w:val="00F31390"/>
    <w:rsid w:val="00F42AF2"/>
    <w:rsid w:val="00F45DE1"/>
    <w:rsid w:val="00F543EA"/>
    <w:rsid w:val="00F556C3"/>
    <w:rsid w:val="00F55A47"/>
    <w:rsid w:val="00F62366"/>
    <w:rsid w:val="00F76DD1"/>
    <w:rsid w:val="00F92AEF"/>
    <w:rsid w:val="00F95A8D"/>
    <w:rsid w:val="00FA1802"/>
    <w:rsid w:val="00FA508D"/>
    <w:rsid w:val="00FA7119"/>
    <w:rsid w:val="00FC31DF"/>
    <w:rsid w:val="00FC5A0C"/>
    <w:rsid w:val="00FC76C9"/>
    <w:rsid w:val="00FD648F"/>
    <w:rsid w:val="00FD739D"/>
    <w:rsid w:val="00FE2252"/>
    <w:rsid w:val="00FE698A"/>
    <w:rsid w:val="00FF589C"/>
    <w:rsid w:val="00FF6155"/>
    <w:rsid w:val="00FF68AF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EB242B-01BF-4000-9E64-40CDF3554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5E02"/>
    <w:rPr>
      <w:rFonts w:eastAsia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5E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Heading1"/>
    <w:next w:val="Normal"/>
    <w:link w:val="Heading2Char"/>
    <w:qFormat/>
    <w:rsid w:val="003F5E02"/>
    <w:pPr>
      <w:spacing w:before="0" w:after="240"/>
      <w:outlineLvl w:val="1"/>
    </w:pPr>
    <w:rPr>
      <w:rFonts w:ascii="Times New Roman Bold" w:eastAsia="Arial Unicode MS" w:hAnsi="Times New Roman Bold" w:cs="Times New Roman"/>
      <w:bCs w:val="0"/>
      <w:snapToGrid w:val="0"/>
      <w:color w:val="000000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3F5E02"/>
    <w:rPr>
      <w:rFonts w:ascii="Times New Roman Bold" w:eastAsia="Arial Unicode MS" w:hAnsi="Times New Roman Bold"/>
      <w:b/>
      <w:snapToGrid w:val="0"/>
      <w:color w:val="000000"/>
      <w:kern w:val="28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F5E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5E02"/>
    <w:rPr>
      <w:rFonts w:eastAsia="Calibri"/>
    </w:rPr>
  </w:style>
  <w:style w:type="paragraph" w:styleId="CommentText">
    <w:name w:val="annotation text"/>
    <w:basedOn w:val="Normal"/>
    <w:link w:val="CommentTextChar"/>
    <w:uiPriority w:val="99"/>
    <w:unhideWhenUsed/>
    <w:rsid w:val="003F5E02"/>
  </w:style>
  <w:style w:type="character" w:customStyle="1" w:styleId="CommentTextChar">
    <w:name w:val="Comment Text Char"/>
    <w:basedOn w:val="DefaultParagraphFont"/>
    <w:link w:val="CommentText"/>
    <w:uiPriority w:val="99"/>
    <w:rsid w:val="003F5E02"/>
    <w:rPr>
      <w:rFonts w:eastAsia="Calibri"/>
    </w:rPr>
  </w:style>
  <w:style w:type="paragraph" w:styleId="NormalWeb">
    <w:name w:val="Normal (Web)"/>
    <w:basedOn w:val="Normal"/>
    <w:uiPriority w:val="99"/>
    <w:unhideWhenUsed/>
    <w:rsid w:val="003F5E02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5E02"/>
    <w:pPr>
      <w:ind w:left="720"/>
    </w:pPr>
    <w:rPr>
      <w:rFonts w:ascii="Calibri" w:hAnsi="Calibri"/>
      <w:sz w:val="22"/>
      <w:szCs w:val="22"/>
    </w:rPr>
  </w:style>
  <w:style w:type="paragraph" w:customStyle="1" w:styleId="SectionCoverTitle">
    <w:name w:val="Section Cover Title"/>
    <w:basedOn w:val="Normal"/>
    <w:next w:val="Normal"/>
    <w:rsid w:val="003F5E02"/>
    <w:pPr>
      <w:jc w:val="center"/>
      <w:outlineLvl w:val="0"/>
    </w:pPr>
    <w:rPr>
      <w:rFonts w:eastAsia="Times New Roman"/>
      <w:b/>
      <w:caps/>
      <w:color w:val="000000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F5E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E0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Gilead Sciences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Kido</dc:creator>
  <cp:lastModifiedBy>Laura Anderson</cp:lastModifiedBy>
  <cp:revision>3</cp:revision>
  <dcterms:created xsi:type="dcterms:W3CDTF">2016-09-21T18:44:00Z</dcterms:created>
  <dcterms:modified xsi:type="dcterms:W3CDTF">2016-09-21T18:47:00Z</dcterms:modified>
</cp:coreProperties>
</file>