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59" w:rsidRDefault="00356059" w:rsidP="00060D12">
      <w:pPr>
        <w:pStyle w:val="Ttulo1"/>
        <w:tabs>
          <w:tab w:val="left" w:pos="3912"/>
        </w:tabs>
        <w:spacing w:line="480" w:lineRule="auto"/>
        <w:ind w:left="3912" w:hanging="3912"/>
        <w:jc w:val="both"/>
        <w:rPr>
          <w:rFonts w:asciiTheme="minorHAnsi" w:hAnsiTheme="minorHAnsi"/>
          <w:color w:val="auto"/>
          <w:shd w:val="clear" w:color="auto" w:fill="FFFFFF"/>
        </w:rPr>
      </w:pPr>
      <w:r w:rsidRPr="00853856">
        <w:rPr>
          <w:rFonts w:asciiTheme="minorHAnsi" w:hAnsiTheme="minorHAnsi"/>
          <w:color w:val="auto"/>
          <w:shd w:val="clear" w:color="auto" w:fill="FFFFFF"/>
        </w:rPr>
        <w:t>Supplementary data</w:t>
      </w:r>
    </w:p>
    <w:p w:rsidR="00356059" w:rsidRDefault="00356059" w:rsidP="00662503">
      <w:pPr>
        <w:jc w:val="both"/>
        <w:rPr>
          <w:b/>
          <w:sz w:val="24"/>
          <w:u w:val="single"/>
        </w:rPr>
      </w:pPr>
      <w:r w:rsidRPr="004C4186">
        <w:rPr>
          <w:b/>
          <w:sz w:val="24"/>
          <w:u w:val="single"/>
        </w:rPr>
        <w:t>Detailed Methodology</w:t>
      </w:r>
    </w:p>
    <w:p w:rsidR="00356059" w:rsidRPr="004C4186" w:rsidRDefault="00356059" w:rsidP="00662503">
      <w:pPr>
        <w:jc w:val="both"/>
        <w:rPr>
          <w:b/>
          <w:sz w:val="24"/>
        </w:rPr>
      </w:pPr>
      <w:r>
        <w:rPr>
          <w:b/>
          <w:sz w:val="24"/>
        </w:rPr>
        <w:t>General antibody-subtypes quantification</w:t>
      </w:r>
    </w:p>
    <w:p w:rsidR="00356059" w:rsidRPr="00D92C8E" w:rsidRDefault="00356059" w:rsidP="00662503">
      <w:pPr>
        <w:spacing w:line="480" w:lineRule="auto"/>
        <w:ind w:firstLine="567"/>
        <w:jc w:val="both"/>
        <w:rPr>
          <w:rFonts w:cs="Calibri"/>
          <w:color w:val="000000"/>
          <w:sz w:val="24"/>
          <w:szCs w:val="24"/>
        </w:rPr>
      </w:pPr>
      <w:r w:rsidRPr="00F27EF8">
        <w:rPr>
          <w:rFonts w:cs="Calibri"/>
          <w:color w:val="000000"/>
          <w:sz w:val="24"/>
          <w:szCs w:val="24"/>
        </w:rPr>
        <w:t xml:space="preserve">96 well </w:t>
      </w:r>
      <w:proofErr w:type="spellStart"/>
      <w:r w:rsidRPr="00F27EF8">
        <w:rPr>
          <w:rFonts w:cs="Calibri"/>
          <w:color w:val="000000"/>
          <w:sz w:val="24"/>
          <w:szCs w:val="24"/>
        </w:rPr>
        <w:t>MicroWell</w:t>
      </w:r>
      <w:proofErr w:type="spellEnd"/>
      <w:r w:rsidRPr="00F27EF8">
        <w:rPr>
          <w:rFonts w:cs="Calibri"/>
          <w:color w:val="000000"/>
          <w:sz w:val="24"/>
          <w:szCs w:val="24"/>
        </w:rPr>
        <w:t xml:space="preserve">™ </w:t>
      </w:r>
      <w:proofErr w:type="spellStart"/>
      <w:r w:rsidRPr="00F27EF8">
        <w:rPr>
          <w:rFonts w:cs="Calibri"/>
          <w:color w:val="000000"/>
          <w:sz w:val="24"/>
          <w:szCs w:val="24"/>
        </w:rPr>
        <w:t>MaxiSorp</w:t>
      </w:r>
      <w:proofErr w:type="spellEnd"/>
      <w:r w:rsidRPr="008F6AFF">
        <w:rPr>
          <w:rFonts w:cs="Calibri"/>
          <w:color w:val="000000"/>
          <w:sz w:val="24"/>
          <w:szCs w:val="24"/>
        </w:rPr>
        <w:t>™ flat bottom plates (</w:t>
      </w:r>
      <w:r>
        <w:rPr>
          <w:rFonts w:cs="Calibri"/>
          <w:color w:val="000000"/>
          <w:sz w:val="24"/>
          <w:szCs w:val="24"/>
        </w:rPr>
        <w:t>Nunc</w:t>
      </w:r>
      <w:r w:rsidRPr="008F6AFF">
        <w:rPr>
          <w:rFonts w:cs="Calibri"/>
          <w:color w:val="000000"/>
          <w:sz w:val="24"/>
          <w:szCs w:val="24"/>
        </w:rPr>
        <w:t xml:space="preserve">) were coated with </w:t>
      </w:r>
      <w:r>
        <w:rPr>
          <w:rFonts w:cs="Calibri"/>
          <w:color w:val="000000"/>
          <w:sz w:val="24"/>
          <w:szCs w:val="24"/>
        </w:rPr>
        <w:t xml:space="preserve">polyclonal </w:t>
      </w:r>
      <w:proofErr w:type="spellStart"/>
      <w:r>
        <w:rPr>
          <w:rFonts w:cs="Calibri"/>
          <w:color w:val="000000"/>
          <w:sz w:val="24"/>
          <w:szCs w:val="24"/>
        </w:rPr>
        <w:t>affini</w:t>
      </w:r>
      <w:r w:rsidRPr="008F6AFF">
        <w:rPr>
          <w:rFonts w:cs="Calibri"/>
          <w:color w:val="000000"/>
          <w:sz w:val="24"/>
          <w:szCs w:val="24"/>
        </w:rPr>
        <w:t>pur</w:t>
      </w:r>
      <w:r>
        <w:rPr>
          <w:rFonts w:cs="Calibri"/>
          <w:color w:val="000000"/>
          <w:sz w:val="24"/>
          <w:szCs w:val="24"/>
        </w:rPr>
        <w:t>e</w:t>
      </w:r>
      <w:proofErr w:type="spellEnd"/>
      <w:r w:rsidRPr="008F6AFF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goat</w:t>
      </w:r>
      <w:r w:rsidRPr="008F6AFF">
        <w:rPr>
          <w:rFonts w:cs="Calibri"/>
          <w:color w:val="000000"/>
          <w:sz w:val="24"/>
          <w:szCs w:val="24"/>
        </w:rPr>
        <w:t xml:space="preserve"> anti-h</w:t>
      </w:r>
      <w:r>
        <w:rPr>
          <w:rFonts w:cs="Calibri"/>
          <w:color w:val="000000"/>
          <w:sz w:val="24"/>
          <w:szCs w:val="24"/>
        </w:rPr>
        <w:t>uman IgA</w:t>
      </w:r>
      <w:r w:rsidRPr="008F6AFF">
        <w:rPr>
          <w:rFonts w:cs="Calibri"/>
          <w:color w:val="000000"/>
          <w:sz w:val="24"/>
          <w:szCs w:val="24"/>
        </w:rPr>
        <w:t xml:space="preserve"> antibody </w:t>
      </w:r>
      <w:r>
        <w:rPr>
          <w:rFonts w:cs="Calibri"/>
          <w:color w:val="000000"/>
          <w:sz w:val="24"/>
          <w:szCs w:val="24"/>
        </w:rPr>
        <w:t>α-</w:t>
      </w:r>
      <w:r w:rsidRPr="004D13CD">
        <w:rPr>
          <w:rFonts w:cs="Calibri"/>
          <w:color w:val="000000"/>
          <w:sz w:val="24"/>
          <w:szCs w:val="24"/>
        </w:rPr>
        <w:t xml:space="preserve">Chain Specific </w:t>
      </w:r>
      <w:r w:rsidRPr="008F6AFF">
        <w:rPr>
          <w:rFonts w:cs="Calibri"/>
          <w:color w:val="000000"/>
          <w:sz w:val="24"/>
          <w:szCs w:val="24"/>
        </w:rPr>
        <w:t>(</w:t>
      </w:r>
      <w:r>
        <w:rPr>
          <w:rFonts w:cs="Calibri"/>
          <w:color w:val="000000"/>
          <w:sz w:val="24"/>
          <w:szCs w:val="24"/>
        </w:rPr>
        <w:t xml:space="preserve">Jackson </w:t>
      </w:r>
      <w:proofErr w:type="spellStart"/>
      <w:r>
        <w:rPr>
          <w:rFonts w:cs="Calibri"/>
          <w:color w:val="000000"/>
          <w:sz w:val="24"/>
          <w:szCs w:val="24"/>
        </w:rPr>
        <w:t>Immunoresearch</w:t>
      </w:r>
      <w:proofErr w:type="spellEnd"/>
      <w:r>
        <w:rPr>
          <w:rFonts w:cs="Calibri"/>
          <w:color w:val="000000"/>
          <w:sz w:val="24"/>
          <w:szCs w:val="24"/>
        </w:rPr>
        <w:t xml:space="preserve">), </w:t>
      </w:r>
      <w:r w:rsidRPr="008F6AFF">
        <w:rPr>
          <w:rFonts w:cs="Calibri"/>
          <w:color w:val="000000"/>
          <w:sz w:val="24"/>
          <w:szCs w:val="24"/>
        </w:rPr>
        <w:t xml:space="preserve"> mouse anti-human </w:t>
      </w:r>
      <w:proofErr w:type="spellStart"/>
      <w:r w:rsidRPr="008F6AFF">
        <w:rPr>
          <w:rFonts w:cs="Calibri"/>
          <w:color w:val="000000"/>
          <w:sz w:val="24"/>
          <w:szCs w:val="24"/>
        </w:rPr>
        <w:t>IgM</w:t>
      </w:r>
      <w:proofErr w:type="spellEnd"/>
      <w:r w:rsidRPr="008F6AFF">
        <w:rPr>
          <w:rFonts w:cs="Calibri"/>
          <w:color w:val="000000"/>
          <w:sz w:val="24"/>
          <w:szCs w:val="24"/>
        </w:rPr>
        <w:t xml:space="preserve"> antibody</w:t>
      </w:r>
      <w:r>
        <w:rPr>
          <w:rFonts w:cs="Calibri"/>
          <w:color w:val="000000"/>
          <w:sz w:val="24"/>
          <w:szCs w:val="24"/>
        </w:rPr>
        <w:t xml:space="preserve"> (</w:t>
      </w:r>
      <w:r w:rsidRPr="008F6AFF">
        <w:rPr>
          <w:rFonts w:cs="Calibri"/>
          <w:color w:val="000000"/>
          <w:sz w:val="24"/>
          <w:szCs w:val="24"/>
        </w:rPr>
        <w:t>clone G20-127</w:t>
      </w:r>
      <w:r>
        <w:rPr>
          <w:rFonts w:cs="Calibri"/>
          <w:color w:val="000000"/>
          <w:sz w:val="24"/>
          <w:szCs w:val="24"/>
        </w:rPr>
        <w:t xml:space="preserve"> )</w:t>
      </w:r>
      <w:r w:rsidRPr="008F6AFF">
        <w:rPr>
          <w:rFonts w:cs="Calibri"/>
          <w:color w:val="000000"/>
          <w:sz w:val="24"/>
          <w:szCs w:val="24"/>
        </w:rPr>
        <w:t xml:space="preserve"> (BD </w:t>
      </w:r>
      <w:proofErr w:type="spellStart"/>
      <w:r w:rsidRPr="008F6AFF">
        <w:rPr>
          <w:rFonts w:cs="Calibri"/>
          <w:color w:val="000000"/>
          <w:sz w:val="24"/>
          <w:szCs w:val="24"/>
        </w:rPr>
        <w:t>Pharmingen</w:t>
      </w:r>
      <w:proofErr w:type="spellEnd"/>
      <w:r w:rsidRPr="008F6AFF">
        <w:rPr>
          <w:rFonts w:cs="Calibri"/>
          <w:color w:val="000000"/>
          <w:sz w:val="24"/>
          <w:szCs w:val="24"/>
        </w:rPr>
        <w:t>™), mouse anti-h</w:t>
      </w:r>
      <w:r>
        <w:rPr>
          <w:rFonts w:cs="Calibri"/>
          <w:color w:val="000000"/>
          <w:sz w:val="24"/>
          <w:szCs w:val="24"/>
        </w:rPr>
        <w:t>uman IgG1</w:t>
      </w:r>
      <w:r w:rsidRPr="008F6AFF">
        <w:rPr>
          <w:rFonts w:cs="Calibri"/>
          <w:color w:val="000000"/>
          <w:sz w:val="24"/>
          <w:szCs w:val="24"/>
        </w:rPr>
        <w:t xml:space="preserve"> antibody </w:t>
      </w:r>
      <w:r>
        <w:rPr>
          <w:rFonts w:cs="Calibri"/>
          <w:color w:val="000000"/>
          <w:sz w:val="24"/>
          <w:szCs w:val="24"/>
        </w:rPr>
        <w:t xml:space="preserve">(clone </w:t>
      </w:r>
      <w:r w:rsidRPr="004D13CD">
        <w:rPr>
          <w:rFonts w:cs="Calibri"/>
          <w:color w:val="000000"/>
          <w:sz w:val="24"/>
          <w:szCs w:val="24"/>
        </w:rPr>
        <w:t xml:space="preserve">HP6069 </w:t>
      </w:r>
      <w:r>
        <w:rPr>
          <w:rFonts w:cs="Calibri"/>
          <w:color w:val="000000"/>
          <w:sz w:val="24"/>
          <w:szCs w:val="24"/>
        </w:rPr>
        <w:t xml:space="preserve">) </w:t>
      </w:r>
      <w:r w:rsidRPr="008F6AFF">
        <w:rPr>
          <w:rFonts w:cs="Calibri"/>
          <w:color w:val="000000"/>
          <w:sz w:val="24"/>
          <w:szCs w:val="24"/>
        </w:rPr>
        <w:t>(</w:t>
      </w:r>
      <w:r>
        <w:rPr>
          <w:rFonts w:cs="Calibri"/>
          <w:color w:val="000000"/>
          <w:sz w:val="24"/>
          <w:szCs w:val="24"/>
        </w:rPr>
        <w:t>Life technology,)</w:t>
      </w:r>
      <w:r w:rsidRPr="008F6AFF">
        <w:rPr>
          <w:rFonts w:cs="Calibri"/>
          <w:color w:val="000000"/>
          <w:sz w:val="24"/>
          <w:szCs w:val="24"/>
        </w:rPr>
        <w:t xml:space="preserve"> mouse anti-human IgG2 antibody</w:t>
      </w:r>
      <w:r>
        <w:rPr>
          <w:rFonts w:cs="Calibri"/>
          <w:color w:val="000000"/>
          <w:sz w:val="24"/>
          <w:szCs w:val="24"/>
        </w:rPr>
        <w:t xml:space="preserve"> (</w:t>
      </w:r>
      <w:r w:rsidRPr="008F6AFF">
        <w:rPr>
          <w:rFonts w:cs="Calibri"/>
          <w:color w:val="000000"/>
          <w:sz w:val="24"/>
          <w:szCs w:val="24"/>
        </w:rPr>
        <w:t>clone G18-21</w:t>
      </w:r>
      <w:r>
        <w:rPr>
          <w:rFonts w:cs="Calibri"/>
          <w:color w:val="000000"/>
          <w:sz w:val="24"/>
          <w:szCs w:val="24"/>
        </w:rPr>
        <w:t xml:space="preserve"> )</w:t>
      </w:r>
      <w:r w:rsidRPr="008F6AFF">
        <w:rPr>
          <w:rFonts w:cs="Calibri"/>
          <w:color w:val="000000"/>
          <w:sz w:val="24"/>
          <w:szCs w:val="24"/>
        </w:rPr>
        <w:t xml:space="preserve"> (BD </w:t>
      </w:r>
      <w:proofErr w:type="spellStart"/>
      <w:r w:rsidRPr="008F6AFF">
        <w:rPr>
          <w:rFonts w:cs="Calibri"/>
          <w:color w:val="000000"/>
          <w:sz w:val="24"/>
          <w:szCs w:val="24"/>
        </w:rPr>
        <w:t>Pharmingen</w:t>
      </w:r>
      <w:proofErr w:type="spellEnd"/>
      <w:r w:rsidRPr="008F6AFF">
        <w:rPr>
          <w:rFonts w:cs="Calibri"/>
          <w:color w:val="000000"/>
          <w:sz w:val="24"/>
          <w:szCs w:val="24"/>
        </w:rPr>
        <w:t>™)</w:t>
      </w:r>
      <w:r>
        <w:rPr>
          <w:rFonts w:cs="Calibri"/>
          <w:color w:val="000000"/>
          <w:sz w:val="24"/>
          <w:szCs w:val="24"/>
        </w:rPr>
        <w:t>, mouse anti-h</w:t>
      </w:r>
      <w:r w:rsidRPr="001F02BF">
        <w:rPr>
          <w:rFonts w:cs="Calibri"/>
          <w:color w:val="000000"/>
          <w:sz w:val="24"/>
          <w:szCs w:val="24"/>
        </w:rPr>
        <w:t>uman IgG3 Hinge</w:t>
      </w:r>
      <w:r>
        <w:rPr>
          <w:rFonts w:cs="Calibri"/>
          <w:color w:val="000000"/>
          <w:sz w:val="24"/>
          <w:szCs w:val="24"/>
        </w:rPr>
        <w:t xml:space="preserve"> (clone </w:t>
      </w:r>
      <w:r w:rsidRPr="001F02BF">
        <w:rPr>
          <w:rFonts w:cs="Calibri"/>
          <w:color w:val="000000"/>
          <w:sz w:val="24"/>
          <w:szCs w:val="24"/>
        </w:rPr>
        <w:t xml:space="preserve">HP6050 </w:t>
      </w:r>
      <w:r>
        <w:rPr>
          <w:rFonts w:cs="Calibri"/>
          <w:color w:val="000000"/>
          <w:sz w:val="24"/>
          <w:szCs w:val="24"/>
        </w:rPr>
        <w:t>) (</w:t>
      </w:r>
      <w:proofErr w:type="spellStart"/>
      <w:r>
        <w:rPr>
          <w:rFonts w:cs="Calibri"/>
          <w:color w:val="000000"/>
          <w:sz w:val="24"/>
          <w:szCs w:val="24"/>
        </w:rPr>
        <w:t>SouthernBiotech</w:t>
      </w:r>
      <w:proofErr w:type="spellEnd"/>
      <w:r>
        <w:rPr>
          <w:rFonts w:cs="Calibri"/>
          <w:color w:val="000000"/>
          <w:sz w:val="24"/>
          <w:szCs w:val="24"/>
        </w:rPr>
        <w:t>),</w:t>
      </w:r>
      <w:r w:rsidRPr="001F02BF">
        <w:rPr>
          <w:rFonts w:cs="Calibri"/>
          <w:color w:val="000000"/>
          <w:sz w:val="24"/>
          <w:szCs w:val="24"/>
        </w:rPr>
        <w:t xml:space="preserve"> </w:t>
      </w:r>
      <w:r w:rsidRPr="008F6AFF">
        <w:rPr>
          <w:rFonts w:cs="Calibri"/>
          <w:color w:val="000000"/>
          <w:sz w:val="24"/>
          <w:szCs w:val="24"/>
        </w:rPr>
        <w:t>mouse anti-h</w:t>
      </w:r>
      <w:r>
        <w:rPr>
          <w:rFonts w:cs="Calibri"/>
          <w:color w:val="000000"/>
          <w:sz w:val="24"/>
          <w:szCs w:val="24"/>
        </w:rPr>
        <w:t>uman IgG4</w:t>
      </w:r>
      <w:r w:rsidRPr="008F6AFF">
        <w:rPr>
          <w:rFonts w:cs="Calibri"/>
          <w:color w:val="000000"/>
          <w:sz w:val="24"/>
          <w:szCs w:val="24"/>
        </w:rPr>
        <w:t xml:space="preserve"> antibody</w:t>
      </w:r>
      <w:r>
        <w:rPr>
          <w:rFonts w:cs="Calibri"/>
          <w:color w:val="000000"/>
          <w:sz w:val="24"/>
          <w:szCs w:val="24"/>
        </w:rPr>
        <w:t xml:space="preserve"> (</w:t>
      </w:r>
      <w:r w:rsidRPr="008F6AFF">
        <w:rPr>
          <w:rFonts w:cs="Calibri"/>
          <w:color w:val="000000"/>
          <w:sz w:val="24"/>
          <w:szCs w:val="24"/>
        </w:rPr>
        <w:t>clone G17-4</w:t>
      </w:r>
      <w:r>
        <w:rPr>
          <w:rFonts w:cs="Calibri"/>
          <w:color w:val="000000"/>
          <w:sz w:val="24"/>
          <w:szCs w:val="24"/>
        </w:rPr>
        <w:t xml:space="preserve"> )</w:t>
      </w:r>
      <w:r w:rsidRPr="008F6AFF">
        <w:rPr>
          <w:rFonts w:cs="Calibri"/>
          <w:color w:val="000000"/>
          <w:sz w:val="24"/>
          <w:szCs w:val="24"/>
        </w:rPr>
        <w:t xml:space="preserve"> (BD </w:t>
      </w:r>
      <w:proofErr w:type="spellStart"/>
      <w:r w:rsidRPr="008F6AFF">
        <w:rPr>
          <w:rFonts w:cs="Calibri"/>
          <w:color w:val="000000"/>
          <w:sz w:val="24"/>
          <w:szCs w:val="24"/>
        </w:rPr>
        <w:t>Pharmingen</w:t>
      </w:r>
      <w:proofErr w:type="spellEnd"/>
      <w:r w:rsidRPr="008F6AFF">
        <w:rPr>
          <w:rFonts w:cs="Calibri"/>
          <w:color w:val="000000"/>
          <w:sz w:val="24"/>
          <w:szCs w:val="24"/>
        </w:rPr>
        <w:t>™)</w:t>
      </w:r>
      <w:r>
        <w:rPr>
          <w:rFonts w:cs="Calibri"/>
          <w:color w:val="000000"/>
          <w:sz w:val="24"/>
          <w:szCs w:val="24"/>
        </w:rPr>
        <w:t xml:space="preserve"> or polyclonal </w:t>
      </w:r>
      <w:proofErr w:type="spellStart"/>
      <w:r w:rsidRPr="001F02BF">
        <w:rPr>
          <w:rFonts w:cs="Calibri"/>
          <w:color w:val="000000"/>
          <w:sz w:val="24"/>
          <w:szCs w:val="24"/>
        </w:rPr>
        <w:t>affinipure</w:t>
      </w:r>
      <w:proofErr w:type="spellEnd"/>
      <w:r w:rsidRPr="001F02BF">
        <w:rPr>
          <w:rFonts w:cs="Calibri"/>
          <w:color w:val="000000"/>
          <w:sz w:val="24"/>
          <w:szCs w:val="24"/>
        </w:rPr>
        <w:t xml:space="preserve"> F(ab')₂ fragment goat anti-human </w:t>
      </w:r>
      <w:proofErr w:type="spellStart"/>
      <w:r w:rsidRPr="001F02BF">
        <w:rPr>
          <w:rFonts w:cs="Calibri"/>
          <w:color w:val="000000"/>
          <w:sz w:val="24"/>
          <w:szCs w:val="24"/>
        </w:rPr>
        <w:t>IgG</w:t>
      </w:r>
      <w:proofErr w:type="spellEnd"/>
      <w:r w:rsidRPr="001F02BF">
        <w:rPr>
          <w:rFonts w:cs="Calibri"/>
          <w:color w:val="000000"/>
          <w:sz w:val="24"/>
          <w:szCs w:val="24"/>
        </w:rPr>
        <w:t xml:space="preserve">, </w:t>
      </w:r>
      <w:proofErr w:type="spellStart"/>
      <w:r w:rsidRPr="001F02BF">
        <w:rPr>
          <w:rFonts w:cs="Calibri"/>
          <w:color w:val="000000"/>
          <w:sz w:val="24"/>
          <w:szCs w:val="24"/>
        </w:rPr>
        <w:t>Fcγ</w:t>
      </w:r>
      <w:proofErr w:type="spellEnd"/>
      <w:r w:rsidRPr="001F02BF">
        <w:rPr>
          <w:rFonts w:cs="Calibri"/>
          <w:color w:val="000000"/>
          <w:sz w:val="24"/>
          <w:szCs w:val="24"/>
        </w:rPr>
        <w:t xml:space="preserve"> Fragment Specific</w:t>
      </w:r>
      <w:r w:rsidRPr="008F6AFF">
        <w:rPr>
          <w:rFonts w:cs="Calibri"/>
          <w:color w:val="000000"/>
          <w:sz w:val="24"/>
          <w:szCs w:val="24"/>
        </w:rPr>
        <w:t xml:space="preserve">. 0.05% </w:t>
      </w:r>
      <w:r w:rsidRPr="008F6AFF">
        <w:rPr>
          <w:rFonts w:cs="Calibri"/>
          <w:bCs/>
          <w:color w:val="000000"/>
          <w:sz w:val="24"/>
          <w:szCs w:val="24"/>
        </w:rPr>
        <w:t>Tween</w:t>
      </w:r>
      <w:r w:rsidRPr="008F6AFF">
        <w:rPr>
          <w:rFonts w:cs="Calibri"/>
          <w:bCs/>
          <w:color w:val="000000"/>
          <w:sz w:val="24"/>
          <w:szCs w:val="24"/>
          <w:vertAlign w:val="superscript"/>
        </w:rPr>
        <w:t>®</w:t>
      </w:r>
      <w:r w:rsidRPr="008F6AFF">
        <w:rPr>
          <w:rFonts w:cs="Calibri"/>
          <w:bCs/>
          <w:color w:val="000000"/>
          <w:sz w:val="24"/>
          <w:szCs w:val="24"/>
        </w:rPr>
        <w:t xml:space="preserve">20 </w:t>
      </w:r>
      <w:r w:rsidRPr="008F6AFF">
        <w:rPr>
          <w:rFonts w:cs="Calibri"/>
          <w:color w:val="000000"/>
          <w:sz w:val="24"/>
          <w:szCs w:val="24"/>
        </w:rPr>
        <w:t>(Sigma Aldrich) 1% BSA (Sigma Aldrich) in PBS</w:t>
      </w:r>
      <w:r>
        <w:rPr>
          <w:rFonts w:cs="Calibri"/>
          <w:color w:val="000000"/>
          <w:sz w:val="24"/>
          <w:szCs w:val="24"/>
        </w:rPr>
        <w:t xml:space="preserve"> </w:t>
      </w:r>
      <w:r w:rsidRPr="008F6AFF">
        <w:rPr>
          <w:rFonts w:cs="Calibri"/>
          <w:color w:val="000000"/>
          <w:sz w:val="24"/>
          <w:szCs w:val="24"/>
        </w:rPr>
        <w:t>was used as blocking solution</w:t>
      </w:r>
      <w:r>
        <w:rPr>
          <w:rFonts w:cs="Calibri"/>
          <w:color w:val="000000"/>
          <w:sz w:val="24"/>
          <w:szCs w:val="24"/>
        </w:rPr>
        <w:t>. Standard was prepared from N-</w:t>
      </w:r>
      <w:proofErr w:type="spellStart"/>
      <w:r>
        <w:rPr>
          <w:rFonts w:cs="Calibri"/>
          <w:color w:val="000000"/>
          <w:sz w:val="24"/>
          <w:szCs w:val="24"/>
        </w:rPr>
        <w:t>Prot</w:t>
      </w:r>
      <w:proofErr w:type="spellEnd"/>
      <w:r>
        <w:rPr>
          <w:rFonts w:cs="Calibri"/>
          <w:color w:val="000000"/>
          <w:sz w:val="24"/>
          <w:szCs w:val="24"/>
        </w:rPr>
        <w:t xml:space="preserve"> Standard Serum (Siemens, Healthcare Diagnostics). HRP-Goat anti human </w:t>
      </w:r>
      <w:proofErr w:type="spellStart"/>
      <w:r>
        <w:rPr>
          <w:rFonts w:cs="Calibri"/>
          <w:color w:val="000000"/>
          <w:sz w:val="24"/>
          <w:szCs w:val="24"/>
        </w:rPr>
        <w:t>Ig</w:t>
      </w:r>
      <w:proofErr w:type="spellEnd"/>
      <w:r w:rsidRPr="00F27EF8">
        <w:rPr>
          <w:rFonts w:cs="Calibri"/>
          <w:color w:val="000000"/>
          <w:sz w:val="24"/>
          <w:szCs w:val="24"/>
        </w:rPr>
        <w:t xml:space="preserve"> Fc-specific (Jackson-</w:t>
      </w:r>
      <w:proofErr w:type="spellStart"/>
      <w:r w:rsidRPr="00F27EF8">
        <w:rPr>
          <w:rFonts w:cs="Calibri"/>
          <w:color w:val="000000"/>
          <w:sz w:val="24"/>
          <w:szCs w:val="24"/>
        </w:rPr>
        <w:t>Immunoresearch</w:t>
      </w:r>
      <w:proofErr w:type="spellEnd"/>
      <w:r w:rsidRPr="00F27EF8">
        <w:rPr>
          <w:rFonts w:cs="Calibri"/>
          <w:color w:val="000000"/>
          <w:sz w:val="24"/>
          <w:szCs w:val="24"/>
        </w:rPr>
        <w:t>)</w:t>
      </w:r>
      <w:r>
        <w:rPr>
          <w:rFonts w:cs="Calibri"/>
          <w:color w:val="000000"/>
          <w:sz w:val="24"/>
          <w:szCs w:val="24"/>
        </w:rPr>
        <w:t xml:space="preserve"> was used as detection antibody, citrate diluted-OPD </w:t>
      </w:r>
      <w:r w:rsidRPr="00F27EF8">
        <w:rPr>
          <w:rFonts w:cs="Calibri"/>
          <w:color w:val="000000"/>
          <w:sz w:val="24"/>
          <w:szCs w:val="24"/>
        </w:rPr>
        <w:t>(Sigma Aldrich</w:t>
      </w:r>
      <w:r w:rsidRPr="00D92C8E">
        <w:rPr>
          <w:rFonts w:cs="Calibri"/>
          <w:color w:val="000000"/>
          <w:sz w:val="24"/>
          <w:szCs w:val="24"/>
        </w:rPr>
        <w:t>) as substrate</w:t>
      </w:r>
      <w:r>
        <w:rPr>
          <w:rFonts w:cs="Calibri"/>
          <w:color w:val="000000"/>
          <w:sz w:val="24"/>
          <w:szCs w:val="24"/>
        </w:rPr>
        <w:t xml:space="preserve"> </w:t>
      </w:r>
      <w:r w:rsidRPr="00D92C8E">
        <w:rPr>
          <w:rFonts w:cs="Calibri"/>
          <w:sz w:val="24"/>
          <w:szCs w:val="24"/>
        </w:rPr>
        <w:t xml:space="preserve">and 4N </w:t>
      </w:r>
      <w:r w:rsidRPr="00D92C8E">
        <w:rPr>
          <w:sz w:val="24"/>
          <w:szCs w:val="24"/>
          <w:shd w:val="clear" w:color="auto" w:fill="FFFFFF"/>
        </w:rPr>
        <w:t>H</w:t>
      </w:r>
      <w:r w:rsidRPr="00D92C8E">
        <w:rPr>
          <w:sz w:val="24"/>
          <w:szCs w:val="24"/>
          <w:shd w:val="clear" w:color="auto" w:fill="FFFFFF"/>
          <w:vertAlign w:val="subscript"/>
        </w:rPr>
        <w:t>2</w:t>
      </w:r>
      <w:r w:rsidRPr="00D92C8E">
        <w:rPr>
          <w:sz w:val="24"/>
          <w:szCs w:val="24"/>
          <w:shd w:val="clear" w:color="auto" w:fill="FFFFFF"/>
        </w:rPr>
        <w:t>SO</w:t>
      </w:r>
      <w:r w:rsidRPr="00D92C8E">
        <w:rPr>
          <w:sz w:val="24"/>
          <w:szCs w:val="24"/>
          <w:shd w:val="clear" w:color="auto" w:fill="FFFFFF"/>
          <w:vertAlign w:val="subscript"/>
        </w:rPr>
        <w:t xml:space="preserve">4 </w:t>
      </w:r>
      <w:r w:rsidRPr="00D92C8E">
        <w:rPr>
          <w:sz w:val="24"/>
          <w:szCs w:val="24"/>
          <w:shd w:val="clear" w:color="auto" w:fill="FFFFFF"/>
        </w:rPr>
        <w:t>as stop solution. Op</w:t>
      </w:r>
      <w:r>
        <w:rPr>
          <w:sz w:val="24"/>
          <w:szCs w:val="24"/>
          <w:shd w:val="clear" w:color="auto" w:fill="FFFFFF"/>
        </w:rPr>
        <w:t>timal density was measured at 492 and 620nm.</w:t>
      </w:r>
    </w:p>
    <w:p w:rsidR="00356059" w:rsidRPr="004C4186" w:rsidRDefault="00356059" w:rsidP="00662503">
      <w:pPr>
        <w:jc w:val="both"/>
        <w:rPr>
          <w:b/>
          <w:sz w:val="24"/>
        </w:rPr>
      </w:pPr>
      <w:r>
        <w:rPr>
          <w:b/>
          <w:sz w:val="24"/>
        </w:rPr>
        <w:t>Specific HIV antibody-subtypes quantification</w:t>
      </w:r>
    </w:p>
    <w:p w:rsidR="00356059" w:rsidRDefault="00356059" w:rsidP="00662503">
      <w:pPr>
        <w:spacing w:line="480" w:lineRule="auto"/>
        <w:ind w:firstLine="567"/>
        <w:jc w:val="both"/>
        <w:rPr>
          <w:rFonts w:cs="Calibri"/>
          <w:color w:val="000000"/>
          <w:sz w:val="24"/>
          <w:szCs w:val="24"/>
        </w:rPr>
      </w:pPr>
      <w:proofErr w:type="gramStart"/>
      <w:r w:rsidRPr="00A15145">
        <w:rPr>
          <w:rFonts w:cs="Calibri"/>
          <w:color w:val="000000"/>
          <w:sz w:val="24"/>
          <w:szCs w:val="24"/>
        </w:rPr>
        <w:t>p31</w:t>
      </w:r>
      <w:proofErr w:type="gramEnd"/>
      <w:r w:rsidRPr="00A15145">
        <w:rPr>
          <w:rFonts w:cs="Calibri"/>
          <w:color w:val="000000"/>
          <w:sz w:val="24"/>
          <w:szCs w:val="24"/>
        </w:rPr>
        <w:t xml:space="preserve"> was amplified from RNA isolated from a plasma sample of a HIV-1 subtype C infected patient using the following primers: </w:t>
      </w:r>
      <w:proofErr w:type="spellStart"/>
      <w:r w:rsidRPr="00A15145">
        <w:rPr>
          <w:rFonts w:cs="Calibri"/>
          <w:color w:val="000000"/>
          <w:sz w:val="24"/>
          <w:szCs w:val="24"/>
        </w:rPr>
        <w:t>NcoI</w:t>
      </w:r>
      <w:proofErr w:type="spellEnd"/>
      <w:r w:rsidRPr="00A15145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A15145">
        <w:rPr>
          <w:rFonts w:cs="Calibri"/>
          <w:color w:val="000000"/>
          <w:sz w:val="24"/>
          <w:szCs w:val="24"/>
        </w:rPr>
        <w:t>integC</w:t>
      </w:r>
      <w:proofErr w:type="spellEnd"/>
      <w:r w:rsidRPr="00A15145">
        <w:rPr>
          <w:rFonts w:cs="Calibri"/>
          <w:color w:val="000000"/>
          <w:sz w:val="24"/>
          <w:szCs w:val="24"/>
        </w:rPr>
        <w:t xml:space="preserve"> sense: 5´</w:t>
      </w:r>
      <w:r w:rsidRPr="00A1514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15145">
        <w:rPr>
          <w:rFonts w:cs="Calibri"/>
          <w:color w:val="000000"/>
          <w:sz w:val="24"/>
          <w:szCs w:val="24"/>
        </w:rPr>
        <w:t xml:space="preserve">TATATCCATGGCTTTTTTAGATGGGATAGAT-3´ and </w:t>
      </w:r>
      <w:proofErr w:type="spellStart"/>
      <w:r w:rsidRPr="00A15145">
        <w:rPr>
          <w:rFonts w:cs="Calibri"/>
          <w:color w:val="000000"/>
          <w:sz w:val="24"/>
          <w:szCs w:val="24"/>
        </w:rPr>
        <w:t>XhoI</w:t>
      </w:r>
      <w:proofErr w:type="spellEnd"/>
      <w:r w:rsidRPr="00A15145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A15145">
        <w:rPr>
          <w:rFonts w:cs="Calibri"/>
          <w:color w:val="000000"/>
          <w:sz w:val="24"/>
          <w:szCs w:val="24"/>
        </w:rPr>
        <w:t>Integrase</w:t>
      </w:r>
      <w:proofErr w:type="spellEnd"/>
      <w:r w:rsidRPr="00A15145">
        <w:rPr>
          <w:rFonts w:cs="Calibri"/>
          <w:color w:val="000000"/>
          <w:sz w:val="24"/>
          <w:szCs w:val="24"/>
        </w:rPr>
        <w:t xml:space="preserve"> as: 5´</w:t>
      </w:r>
      <w:r w:rsidRPr="00A1514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15145">
        <w:rPr>
          <w:rFonts w:cs="Calibri"/>
          <w:color w:val="000000"/>
          <w:sz w:val="24"/>
          <w:szCs w:val="24"/>
        </w:rPr>
        <w:t>TTTACTCGAGATCCTCATCCTGTCTACCTG-3´. A Gp41 subtype C fragment containing the HR1, HR2 and MPER domains was amplified from the plasmid p97ZA012.1 (</w:t>
      </w:r>
      <w:r w:rsidRPr="00A15145">
        <w:rPr>
          <w:rFonts w:ascii="Calibri" w:hAnsi="Calibri" w:cs="Calibri"/>
          <w:color w:val="000000"/>
          <w:sz w:val="24"/>
          <w:szCs w:val="24"/>
        </w:rPr>
        <w:t>NIH AIDS Reagent Program, Division of AIDS, NIAID, NIH</w:t>
      </w:r>
      <w:r w:rsidRPr="00A15145">
        <w:rPr>
          <w:rFonts w:cs="Calibri"/>
          <w:color w:val="000000"/>
          <w:sz w:val="24"/>
          <w:szCs w:val="24"/>
        </w:rPr>
        <w:t>) using the following primers: gp41-s 5´-</w:t>
      </w:r>
      <w:r w:rsidRPr="00A15145">
        <w:rPr>
          <w:rFonts w:cs="Calibri"/>
          <w:color w:val="000000"/>
          <w:sz w:val="24"/>
          <w:szCs w:val="24"/>
        </w:rPr>
        <w:lastRenderedPageBreak/>
        <w:t>AAAAACCATGGCAGCACTAGGAGCTTTGTTC-3´ and gp41-as 5´-</w:t>
      </w:r>
      <w:r w:rsidRPr="00A1514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15145">
        <w:rPr>
          <w:rFonts w:cs="Calibri"/>
          <w:color w:val="000000"/>
          <w:sz w:val="24"/>
          <w:szCs w:val="24"/>
        </w:rPr>
        <w:t xml:space="preserve">TTTATCTCGAGTATTTTTATATACCACAGCC-3´ Both p31 and gp41 </w:t>
      </w:r>
      <w:proofErr w:type="spellStart"/>
      <w:r w:rsidRPr="00A15145">
        <w:rPr>
          <w:rFonts w:cs="Calibri"/>
          <w:color w:val="000000"/>
          <w:sz w:val="24"/>
          <w:szCs w:val="24"/>
        </w:rPr>
        <w:t>amplimers</w:t>
      </w:r>
      <w:proofErr w:type="spellEnd"/>
      <w:r w:rsidRPr="00A15145">
        <w:rPr>
          <w:rFonts w:cs="Calibri"/>
          <w:color w:val="000000"/>
          <w:sz w:val="24"/>
          <w:szCs w:val="24"/>
        </w:rPr>
        <w:t xml:space="preserve"> were cloned into the pET21 d(+) vector (</w:t>
      </w:r>
      <w:proofErr w:type="spellStart"/>
      <w:r w:rsidRPr="00A15145">
        <w:rPr>
          <w:rFonts w:cs="Calibri"/>
          <w:color w:val="000000"/>
          <w:sz w:val="24"/>
          <w:szCs w:val="24"/>
        </w:rPr>
        <w:t>Novagen</w:t>
      </w:r>
      <w:proofErr w:type="spellEnd"/>
      <w:r w:rsidRPr="00A15145">
        <w:rPr>
          <w:rFonts w:cs="Calibri"/>
          <w:color w:val="000000"/>
          <w:sz w:val="24"/>
          <w:szCs w:val="24"/>
        </w:rPr>
        <w:t xml:space="preserve">). Recombinant proteins was produced in BL21 DE3 cells (Invitrogen) and purified by immobilized metal ion affinity chromatography by using Ni </w:t>
      </w:r>
      <w:proofErr w:type="spellStart"/>
      <w:r w:rsidRPr="00A15145">
        <w:rPr>
          <w:rFonts w:cs="Calibri"/>
          <w:color w:val="000000"/>
          <w:sz w:val="24"/>
          <w:szCs w:val="24"/>
        </w:rPr>
        <w:t>Sepharose</w:t>
      </w:r>
      <w:proofErr w:type="spellEnd"/>
      <w:r w:rsidRPr="00A15145">
        <w:rPr>
          <w:rFonts w:cs="Calibri"/>
          <w:color w:val="000000"/>
          <w:sz w:val="24"/>
          <w:szCs w:val="24"/>
        </w:rPr>
        <w:t xml:space="preserve"> 6 Fast flow (GE Healthcare). p24 </w:t>
      </w:r>
      <w:proofErr w:type="gramStart"/>
      <w:r w:rsidRPr="00A15145">
        <w:rPr>
          <w:rFonts w:cs="Calibri"/>
          <w:color w:val="000000"/>
          <w:sz w:val="24"/>
          <w:szCs w:val="24"/>
        </w:rPr>
        <w:t>( isolate</w:t>
      </w:r>
      <w:proofErr w:type="gramEnd"/>
      <w:r w:rsidRPr="00A15145">
        <w:rPr>
          <w:rFonts w:cs="Calibri"/>
          <w:color w:val="000000"/>
          <w:sz w:val="24"/>
          <w:szCs w:val="24"/>
        </w:rPr>
        <w:t xml:space="preserve"> </w:t>
      </w:r>
      <w:r w:rsidRPr="00A15145">
        <w:rPr>
          <w:rFonts w:ascii="Calibri" w:hAnsi="Calibri" w:cs="Calibri"/>
          <w:color w:val="000000"/>
          <w:sz w:val="24"/>
          <w:szCs w:val="24"/>
        </w:rPr>
        <w:t>92BR025)</w:t>
      </w:r>
      <w:r w:rsidRPr="00A15145">
        <w:rPr>
          <w:rFonts w:cs="Calibri"/>
          <w:color w:val="000000"/>
          <w:sz w:val="24"/>
          <w:szCs w:val="24"/>
        </w:rPr>
        <w:t xml:space="preserve"> was purchased from Sino Biological Inc. Proteins were coupled to </w:t>
      </w:r>
      <w:proofErr w:type="spellStart"/>
      <w:r w:rsidRPr="00A15145">
        <w:rPr>
          <w:rFonts w:cs="Calibri"/>
          <w:color w:val="000000"/>
          <w:sz w:val="24"/>
          <w:szCs w:val="24"/>
        </w:rPr>
        <w:t>MagPlex</w:t>
      </w:r>
      <w:proofErr w:type="spellEnd"/>
      <w:r w:rsidRPr="00A15145">
        <w:rPr>
          <w:rFonts w:cs="Calibri"/>
          <w:color w:val="000000"/>
          <w:sz w:val="24"/>
          <w:szCs w:val="24"/>
        </w:rPr>
        <w:t xml:space="preserve"> Microspheres (</w:t>
      </w:r>
      <w:proofErr w:type="spellStart"/>
      <w:r w:rsidRPr="00A15145">
        <w:rPr>
          <w:rFonts w:cs="Calibri"/>
          <w:color w:val="000000"/>
          <w:sz w:val="24"/>
          <w:szCs w:val="24"/>
        </w:rPr>
        <w:t>Luminex</w:t>
      </w:r>
      <w:proofErr w:type="spellEnd"/>
      <w:r w:rsidRPr="00A15145">
        <w:rPr>
          <w:rFonts w:cs="Calibri"/>
          <w:color w:val="000000"/>
          <w:sz w:val="24"/>
          <w:szCs w:val="24"/>
        </w:rPr>
        <w:t xml:space="preserve">) following the manufacturer instructions. BSA and a </w:t>
      </w:r>
      <w:proofErr w:type="gramStart"/>
      <w:r w:rsidRPr="00A15145">
        <w:rPr>
          <w:rFonts w:cs="Calibri"/>
          <w:color w:val="000000"/>
          <w:sz w:val="24"/>
          <w:szCs w:val="24"/>
        </w:rPr>
        <w:t>F(</w:t>
      </w:r>
      <w:proofErr w:type="spellStart"/>
      <w:proofErr w:type="gramEnd"/>
      <w:r w:rsidRPr="00A15145">
        <w:rPr>
          <w:rFonts w:cs="Calibri"/>
          <w:color w:val="000000"/>
          <w:sz w:val="24"/>
          <w:szCs w:val="24"/>
        </w:rPr>
        <w:t>ab</w:t>
      </w:r>
      <w:proofErr w:type="spellEnd"/>
      <w:r w:rsidRPr="00A15145">
        <w:rPr>
          <w:rFonts w:cs="Calibri"/>
          <w:color w:val="000000"/>
          <w:sz w:val="24"/>
          <w:szCs w:val="24"/>
        </w:rPr>
        <w:t xml:space="preserve">)2 Goat anti-human </w:t>
      </w:r>
      <w:proofErr w:type="spellStart"/>
      <w:r w:rsidRPr="00A15145">
        <w:rPr>
          <w:rFonts w:cs="Calibri"/>
          <w:color w:val="000000"/>
          <w:sz w:val="24"/>
          <w:szCs w:val="24"/>
        </w:rPr>
        <w:t>IgG</w:t>
      </w:r>
      <w:proofErr w:type="spellEnd"/>
      <w:r w:rsidRPr="00A15145">
        <w:rPr>
          <w:rFonts w:cs="Calibri"/>
          <w:color w:val="000000"/>
          <w:sz w:val="24"/>
          <w:szCs w:val="24"/>
        </w:rPr>
        <w:t xml:space="preserve"> Fc specific (Jackson-</w:t>
      </w:r>
      <w:proofErr w:type="spellStart"/>
      <w:r w:rsidRPr="00A15145">
        <w:rPr>
          <w:rFonts w:cs="Calibri"/>
          <w:color w:val="000000"/>
          <w:sz w:val="24"/>
          <w:szCs w:val="24"/>
        </w:rPr>
        <w:t>Immunoresearch</w:t>
      </w:r>
      <w:proofErr w:type="spellEnd"/>
      <w:r w:rsidRPr="00A15145">
        <w:rPr>
          <w:rFonts w:cs="Calibri"/>
          <w:color w:val="000000"/>
          <w:sz w:val="24"/>
          <w:szCs w:val="24"/>
        </w:rPr>
        <w:t xml:space="preserve">) were included as negative and positive controls, respectively.  Bound antibodies was detected using the following biotin conjugated monoclonal antibodies and Streptavidin-PE (Jackson </w:t>
      </w:r>
      <w:proofErr w:type="spellStart"/>
      <w:r w:rsidRPr="00A15145">
        <w:rPr>
          <w:rFonts w:cs="Calibri"/>
          <w:color w:val="000000"/>
          <w:sz w:val="24"/>
          <w:szCs w:val="24"/>
        </w:rPr>
        <w:t>Immunoresearch</w:t>
      </w:r>
      <w:proofErr w:type="spellEnd"/>
      <w:r w:rsidRPr="00A15145">
        <w:rPr>
          <w:rFonts w:cs="Calibri"/>
          <w:color w:val="000000"/>
          <w:sz w:val="24"/>
          <w:szCs w:val="24"/>
        </w:rPr>
        <w:t xml:space="preserve">): anti-huIgG1 (clone HP6069, Thermo Scientific), anti-huIgG2 (clone </w:t>
      </w:r>
      <w:r w:rsidRPr="00A15145">
        <w:rPr>
          <w:rFonts w:ascii="Calibri" w:hAnsi="Calibri" w:cs="Calibri"/>
          <w:color w:val="000000"/>
          <w:sz w:val="24"/>
          <w:szCs w:val="24"/>
        </w:rPr>
        <w:t>G18-21</w:t>
      </w:r>
      <w:r w:rsidRPr="00A15145">
        <w:rPr>
          <w:rFonts w:cs="Calibri"/>
          <w:color w:val="000000"/>
          <w:sz w:val="24"/>
          <w:szCs w:val="24"/>
        </w:rPr>
        <w:t xml:space="preserve">, BD Biosciences), anti-humanIgG3 (clone HP6050, </w:t>
      </w:r>
      <w:proofErr w:type="spellStart"/>
      <w:r w:rsidRPr="00A15145">
        <w:rPr>
          <w:rFonts w:cs="Calibri"/>
          <w:color w:val="000000"/>
          <w:sz w:val="24"/>
          <w:szCs w:val="24"/>
        </w:rPr>
        <w:t>SouthernBiotech</w:t>
      </w:r>
      <w:proofErr w:type="spellEnd"/>
      <w:r w:rsidRPr="00A15145">
        <w:rPr>
          <w:rFonts w:cs="Calibri"/>
          <w:color w:val="000000"/>
          <w:sz w:val="24"/>
          <w:szCs w:val="24"/>
        </w:rPr>
        <w:t xml:space="preserve">), anti-human IgG4 (clone JDC-14, BD Biosciences) and Goat anti-human IgA (Jackson </w:t>
      </w:r>
      <w:proofErr w:type="spellStart"/>
      <w:r w:rsidRPr="00A15145">
        <w:rPr>
          <w:rFonts w:cs="Calibri"/>
          <w:color w:val="000000"/>
          <w:sz w:val="24"/>
          <w:szCs w:val="24"/>
        </w:rPr>
        <w:t>Immunoresearch</w:t>
      </w:r>
      <w:proofErr w:type="spellEnd"/>
      <w:r w:rsidRPr="00A15145">
        <w:rPr>
          <w:rFonts w:cs="Calibri"/>
          <w:color w:val="000000"/>
          <w:sz w:val="24"/>
          <w:szCs w:val="24"/>
        </w:rPr>
        <w:t xml:space="preserve">).  </w:t>
      </w:r>
    </w:p>
    <w:p w:rsidR="00356059" w:rsidRPr="004C4186" w:rsidRDefault="00356059" w:rsidP="00662503">
      <w:pPr>
        <w:jc w:val="both"/>
        <w:rPr>
          <w:b/>
          <w:sz w:val="24"/>
        </w:rPr>
      </w:pPr>
      <w:r>
        <w:rPr>
          <w:b/>
          <w:sz w:val="24"/>
        </w:rPr>
        <w:t>Cytokines quantification</w:t>
      </w:r>
    </w:p>
    <w:p w:rsidR="00356059" w:rsidRDefault="00356059" w:rsidP="00662503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b/>
          <w:sz w:val="28"/>
          <w:szCs w:val="24"/>
          <w:u w:val="single"/>
        </w:rPr>
      </w:pPr>
      <w:r w:rsidRPr="00A15145">
        <w:rPr>
          <w:rFonts w:cs="Calibri"/>
          <w:color w:val="000000"/>
          <w:sz w:val="24"/>
          <w:szCs w:val="24"/>
        </w:rPr>
        <w:t xml:space="preserve">Detection of IL-1RA, FGF-Basic, MCP-1, G-CSF, IFN-γ, IL-12, IL-13, IL-7, VEGF, MIG, RANTES, </w:t>
      </w:r>
      <w:proofErr w:type="spellStart"/>
      <w:r w:rsidRPr="00A15145">
        <w:rPr>
          <w:rFonts w:cs="Calibri"/>
          <w:color w:val="000000"/>
          <w:sz w:val="24"/>
          <w:szCs w:val="24"/>
        </w:rPr>
        <w:t>Eotaxin</w:t>
      </w:r>
      <w:proofErr w:type="spellEnd"/>
      <w:r w:rsidRPr="00A15145">
        <w:rPr>
          <w:rFonts w:cs="Calibri"/>
          <w:color w:val="000000"/>
          <w:sz w:val="24"/>
          <w:szCs w:val="24"/>
        </w:rPr>
        <w:t xml:space="preserve">, MIP-1β, IP-10, IL-2R, IFN-α, IL-15, GM-CSF, TNF-α, IL-1β, IL-2, IL-4, IL-5, IL-6, IL-10, MIP-1α, IL-17, IL-8, EGF and HGF were determined by using </w:t>
      </w:r>
      <w:r w:rsidRPr="00A15145">
        <w:rPr>
          <w:rFonts w:cs="Calibri"/>
          <w:i/>
          <w:iCs/>
          <w:color w:val="000000"/>
          <w:sz w:val="24"/>
          <w:szCs w:val="24"/>
        </w:rPr>
        <w:t>Human Cytokine Magnetic 30-Plex panel</w:t>
      </w:r>
      <w:r w:rsidRPr="00A15145">
        <w:rPr>
          <w:rFonts w:cs="Calibri"/>
          <w:i/>
          <w:color w:val="000000"/>
          <w:sz w:val="24"/>
          <w:szCs w:val="24"/>
        </w:rPr>
        <w:t xml:space="preserve"> </w:t>
      </w:r>
      <w:r w:rsidRPr="00A15145">
        <w:rPr>
          <w:rFonts w:cs="Calibri"/>
          <w:color w:val="000000"/>
          <w:sz w:val="24"/>
          <w:szCs w:val="24"/>
        </w:rPr>
        <w:t>(Invitrogen)</w:t>
      </w:r>
      <w:r>
        <w:rPr>
          <w:rFonts w:cs="Calibri"/>
          <w:color w:val="000000"/>
          <w:sz w:val="24"/>
          <w:szCs w:val="24"/>
        </w:rPr>
        <w:t xml:space="preserve"> </w:t>
      </w:r>
      <w:r w:rsidRPr="00A15145">
        <w:rPr>
          <w:rFonts w:cs="Calibri"/>
          <w:color w:val="000000"/>
          <w:sz w:val="24"/>
          <w:szCs w:val="24"/>
        </w:rPr>
        <w:t>according to manufacturer’s instructions. Detection of CD40L, IL-21, IL-22 and IL-23 was performed by using the Bio-</w:t>
      </w:r>
      <w:proofErr w:type="spellStart"/>
      <w:r w:rsidRPr="00A15145">
        <w:rPr>
          <w:rFonts w:cs="Calibri"/>
          <w:color w:val="000000"/>
          <w:sz w:val="24"/>
          <w:szCs w:val="24"/>
        </w:rPr>
        <w:t>Plex</w:t>
      </w:r>
      <w:proofErr w:type="spellEnd"/>
      <w:r w:rsidRPr="00A15145">
        <w:rPr>
          <w:rFonts w:cs="Calibri"/>
          <w:color w:val="000000"/>
          <w:sz w:val="24"/>
          <w:szCs w:val="24"/>
        </w:rPr>
        <w:t xml:space="preserve"> Pro Human Th17 cytokine assay </w:t>
      </w:r>
      <w:r w:rsidRPr="00A15145">
        <w:rPr>
          <w:rFonts w:cs="Calibri"/>
          <w:iCs/>
          <w:color w:val="000000"/>
          <w:sz w:val="24"/>
          <w:szCs w:val="24"/>
        </w:rPr>
        <w:t>(</w:t>
      </w:r>
      <w:proofErr w:type="spellStart"/>
      <w:r w:rsidRPr="00A15145">
        <w:rPr>
          <w:rFonts w:cs="Calibri"/>
          <w:i/>
          <w:iCs/>
          <w:color w:val="000000"/>
          <w:sz w:val="24"/>
          <w:szCs w:val="24"/>
        </w:rPr>
        <w:t>Biorad</w:t>
      </w:r>
      <w:proofErr w:type="spellEnd"/>
      <w:r w:rsidRPr="00A15145">
        <w:rPr>
          <w:rFonts w:cs="Calibri"/>
          <w:i/>
          <w:iCs/>
          <w:color w:val="000000"/>
          <w:sz w:val="24"/>
          <w:szCs w:val="24"/>
        </w:rPr>
        <w:t>)</w:t>
      </w:r>
      <w:r>
        <w:rPr>
          <w:rFonts w:cs="Calibri"/>
          <w:i/>
          <w:iCs/>
          <w:color w:val="000000"/>
          <w:sz w:val="24"/>
          <w:szCs w:val="24"/>
        </w:rPr>
        <w:t xml:space="preserve"> </w:t>
      </w:r>
      <w:r w:rsidRPr="00A15145">
        <w:rPr>
          <w:rFonts w:cs="Calibri"/>
          <w:color w:val="000000"/>
          <w:sz w:val="24"/>
          <w:szCs w:val="24"/>
        </w:rPr>
        <w:t>according to manufacturer’s instructions</w:t>
      </w:r>
      <w:r w:rsidRPr="00A15145">
        <w:rPr>
          <w:rFonts w:cs="Calibri"/>
          <w:iCs/>
          <w:color w:val="000000"/>
          <w:sz w:val="24"/>
          <w:szCs w:val="24"/>
        </w:rPr>
        <w:t xml:space="preserve">. </w:t>
      </w:r>
      <w:r w:rsidRPr="00A15145">
        <w:rPr>
          <w:rFonts w:cs="Calibri"/>
          <w:color w:val="000000"/>
          <w:sz w:val="24"/>
          <w:szCs w:val="24"/>
        </w:rPr>
        <w:t xml:space="preserve">Detection of BAFF, CD27 and TNFR2 was performed by using a </w:t>
      </w:r>
      <w:r w:rsidRPr="00A15145">
        <w:rPr>
          <w:rFonts w:cs="Calibri"/>
          <w:i/>
          <w:iCs/>
          <w:color w:val="000000"/>
          <w:sz w:val="24"/>
          <w:szCs w:val="24"/>
        </w:rPr>
        <w:t xml:space="preserve">Human Magnetic </w:t>
      </w:r>
      <w:proofErr w:type="spellStart"/>
      <w:r w:rsidRPr="00A15145">
        <w:rPr>
          <w:rFonts w:cs="Calibri"/>
          <w:i/>
          <w:iCs/>
          <w:color w:val="000000"/>
          <w:sz w:val="24"/>
          <w:szCs w:val="24"/>
        </w:rPr>
        <w:t>Luminex</w:t>
      </w:r>
      <w:proofErr w:type="spellEnd"/>
      <w:r w:rsidRPr="00A15145">
        <w:rPr>
          <w:rFonts w:cs="Calibri"/>
          <w:i/>
          <w:iCs/>
          <w:color w:val="000000"/>
          <w:sz w:val="24"/>
          <w:szCs w:val="24"/>
        </w:rPr>
        <w:t xml:space="preserve"> Screening Assay </w:t>
      </w:r>
      <w:r w:rsidRPr="00A15145">
        <w:rPr>
          <w:rFonts w:cs="Calibri"/>
          <w:iCs/>
          <w:color w:val="000000"/>
          <w:sz w:val="24"/>
          <w:szCs w:val="24"/>
        </w:rPr>
        <w:t>(</w:t>
      </w:r>
      <w:r w:rsidRPr="00A15145">
        <w:rPr>
          <w:rFonts w:cs="Calibri"/>
          <w:i/>
          <w:iCs/>
          <w:color w:val="000000"/>
          <w:sz w:val="24"/>
          <w:szCs w:val="24"/>
        </w:rPr>
        <w:t>R&amp;</w:t>
      </w:r>
      <w:proofErr w:type="gramStart"/>
      <w:r w:rsidRPr="00A15145">
        <w:rPr>
          <w:rFonts w:cs="Calibri"/>
          <w:i/>
          <w:iCs/>
          <w:color w:val="000000"/>
          <w:sz w:val="24"/>
          <w:szCs w:val="24"/>
        </w:rPr>
        <w:t>D</w:t>
      </w:r>
      <w:r>
        <w:rPr>
          <w:rFonts w:cs="Calibri"/>
          <w:i/>
          <w:iCs/>
          <w:color w:val="000000"/>
          <w:sz w:val="24"/>
          <w:szCs w:val="24"/>
        </w:rPr>
        <w:t xml:space="preserve"> </w:t>
      </w:r>
      <w:r w:rsidRPr="00A15145">
        <w:rPr>
          <w:rFonts w:cs="Calibri"/>
          <w:i/>
          <w:iCs/>
          <w:color w:val="000000"/>
          <w:sz w:val="24"/>
          <w:szCs w:val="24"/>
        </w:rPr>
        <w:t>)</w:t>
      </w:r>
      <w:proofErr w:type="gramEnd"/>
      <w:r w:rsidRPr="00A378A0">
        <w:rPr>
          <w:rFonts w:cs="Calibri"/>
          <w:color w:val="000000"/>
          <w:sz w:val="24"/>
          <w:szCs w:val="24"/>
        </w:rPr>
        <w:t xml:space="preserve"> </w:t>
      </w:r>
      <w:r w:rsidRPr="00A15145">
        <w:rPr>
          <w:rFonts w:cs="Calibri"/>
          <w:color w:val="000000"/>
          <w:sz w:val="24"/>
          <w:szCs w:val="24"/>
        </w:rPr>
        <w:t>according to manufacturer’s instructions</w:t>
      </w:r>
      <w:r w:rsidRPr="00A15145">
        <w:rPr>
          <w:rFonts w:cs="Calibri"/>
          <w:iCs/>
          <w:color w:val="000000"/>
          <w:sz w:val="24"/>
          <w:szCs w:val="24"/>
        </w:rPr>
        <w:t xml:space="preserve">. </w:t>
      </w:r>
      <w:r w:rsidRPr="00A15145">
        <w:rPr>
          <w:rFonts w:cs="Calibri"/>
          <w:color w:val="000000"/>
          <w:sz w:val="24"/>
          <w:szCs w:val="24"/>
        </w:rPr>
        <w:t xml:space="preserve">Detection of sCD14, LBP, FABP2, CRP, CD163, CXCL16, CD23, B7H1, PD-L2, TRAIL, </w:t>
      </w:r>
      <w:proofErr w:type="spellStart"/>
      <w:r w:rsidRPr="00A15145">
        <w:rPr>
          <w:rFonts w:cs="Calibri"/>
          <w:color w:val="000000"/>
          <w:sz w:val="24"/>
          <w:szCs w:val="24"/>
        </w:rPr>
        <w:t>FasL</w:t>
      </w:r>
      <w:proofErr w:type="spellEnd"/>
      <w:r w:rsidRPr="00A15145">
        <w:rPr>
          <w:rFonts w:cs="Calibri"/>
          <w:color w:val="000000"/>
          <w:sz w:val="24"/>
          <w:szCs w:val="24"/>
        </w:rPr>
        <w:t>, TGF-b1 (R&amp;D); ASCA IgG and ASCA IgA (</w:t>
      </w:r>
      <w:proofErr w:type="spellStart"/>
      <w:r w:rsidRPr="00A15145">
        <w:rPr>
          <w:rFonts w:cs="Calibri"/>
          <w:color w:val="000000"/>
          <w:sz w:val="24"/>
          <w:szCs w:val="24"/>
        </w:rPr>
        <w:t>Orgentec</w:t>
      </w:r>
      <w:proofErr w:type="spellEnd"/>
      <w:r w:rsidRPr="00A15145">
        <w:rPr>
          <w:rFonts w:cs="Calibri"/>
          <w:color w:val="000000"/>
          <w:sz w:val="24"/>
          <w:szCs w:val="24"/>
        </w:rPr>
        <w:t xml:space="preserve">); </w:t>
      </w:r>
      <w:proofErr w:type="spellStart"/>
      <w:r w:rsidRPr="00A15145">
        <w:rPr>
          <w:rFonts w:cs="Calibri"/>
          <w:color w:val="000000"/>
          <w:sz w:val="24"/>
          <w:szCs w:val="24"/>
        </w:rPr>
        <w:t>EndoCab</w:t>
      </w:r>
      <w:proofErr w:type="spellEnd"/>
      <w:r w:rsidRPr="00A15145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A15145">
        <w:rPr>
          <w:rFonts w:cs="Calibri"/>
          <w:color w:val="000000"/>
          <w:sz w:val="24"/>
          <w:szCs w:val="24"/>
        </w:rPr>
        <w:t>IgG</w:t>
      </w:r>
      <w:proofErr w:type="spellEnd"/>
      <w:r w:rsidRPr="00A15145">
        <w:rPr>
          <w:rFonts w:cs="Calibri"/>
          <w:color w:val="000000"/>
          <w:sz w:val="24"/>
          <w:szCs w:val="24"/>
        </w:rPr>
        <w:t xml:space="preserve"> and </w:t>
      </w:r>
      <w:proofErr w:type="spellStart"/>
      <w:r w:rsidRPr="00A15145">
        <w:rPr>
          <w:rFonts w:cs="Calibri"/>
          <w:color w:val="000000"/>
          <w:sz w:val="24"/>
          <w:szCs w:val="24"/>
        </w:rPr>
        <w:t>EndoCab</w:t>
      </w:r>
      <w:proofErr w:type="spellEnd"/>
      <w:r w:rsidRPr="00A15145">
        <w:rPr>
          <w:rFonts w:cs="Calibri"/>
          <w:color w:val="000000"/>
          <w:sz w:val="24"/>
          <w:szCs w:val="24"/>
        </w:rPr>
        <w:t xml:space="preserve"> IgA(</w:t>
      </w:r>
      <w:proofErr w:type="spellStart"/>
      <w:r w:rsidRPr="00A15145">
        <w:rPr>
          <w:rFonts w:cs="Calibri"/>
          <w:color w:val="000000"/>
          <w:sz w:val="24"/>
          <w:szCs w:val="24"/>
        </w:rPr>
        <w:t>Hycult</w:t>
      </w:r>
      <w:proofErr w:type="spellEnd"/>
      <w:r w:rsidRPr="00A15145">
        <w:rPr>
          <w:rFonts w:cs="Calibri"/>
          <w:color w:val="000000"/>
          <w:sz w:val="24"/>
          <w:szCs w:val="24"/>
        </w:rPr>
        <w:t xml:space="preserve"> </w:t>
      </w:r>
      <w:r w:rsidRPr="00A15145">
        <w:rPr>
          <w:rFonts w:cs="Calibri"/>
          <w:color w:val="000000"/>
          <w:sz w:val="24"/>
          <w:szCs w:val="24"/>
        </w:rPr>
        <w:lastRenderedPageBreak/>
        <w:t xml:space="preserve">biotech) and </w:t>
      </w:r>
      <w:proofErr w:type="spellStart"/>
      <w:r w:rsidRPr="00A15145">
        <w:rPr>
          <w:rFonts w:cs="Calibri"/>
          <w:color w:val="000000"/>
          <w:sz w:val="24"/>
          <w:szCs w:val="24"/>
        </w:rPr>
        <w:t>Zonulin</w:t>
      </w:r>
      <w:proofErr w:type="spellEnd"/>
      <w:r w:rsidRPr="00A15145">
        <w:rPr>
          <w:rFonts w:cs="Calibri"/>
          <w:color w:val="000000"/>
          <w:sz w:val="24"/>
          <w:szCs w:val="24"/>
        </w:rPr>
        <w:t xml:space="preserve"> (</w:t>
      </w:r>
      <w:proofErr w:type="spellStart"/>
      <w:r w:rsidRPr="00A15145">
        <w:rPr>
          <w:rFonts w:cs="Calibri"/>
          <w:color w:val="000000"/>
          <w:sz w:val="24"/>
          <w:szCs w:val="24"/>
        </w:rPr>
        <w:t>Immundiagnostik</w:t>
      </w:r>
      <w:proofErr w:type="spellEnd"/>
      <w:r w:rsidRPr="00A15145">
        <w:rPr>
          <w:rFonts w:cs="Calibri"/>
          <w:color w:val="000000"/>
          <w:sz w:val="24"/>
          <w:szCs w:val="24"/>
        </w:rPr>
        <w:t xml:space="preserve">) was assessed by ELISA according to manufacturer’s instructions. Overflow and under limit of detection values were validated for every </w:t>
      </w:r>
      <w:proofErr w:type="spellStart"/>
      <w:r w:rsidRPr="00A15145">
        <w:rPr>
          <w:rFonts w:cs="Calibri"/>
          <w:color w:val="000000"/>
          <w:sz w:val="24"/>
          <w:szCs w:val="24"/>
        </w:rPr>
        <w:t>analyte</w:t>
      </w:r>
      <w:proofErr w:type="spellEnd"/>
      <w:r w:rsidRPr="00A15145">
        <w:rPr>
          <w:rFonts w:cs="Calibri"/>
          <w:color w:val="000000"/>
          <w:sz w:val="24"/>
          <w:szCs w:val="24"/>
        </w:rPr>
        <w:t xml:space="preserve"> as the double and the half of the detection limit respectively.  </w:t>
      </w:r>
    </w:p>
    <w:p w:rsidR="00356059" w:rsidRDefault="00356059" w:rsidP="00662503">
      <w:pPr>
        <w:jc w:val="both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br w:type="page"/>
      </w:r>
    </w:p>
    <w:p w:rsidR="00356059" w:rsidRPr="0033591F" w:rsidRDefault="00356059" w:rsidP="00662503">
      <w:pPr>
        <w:pStyle w:val="Textoindependiente"/>
        <w:spacing w:line="480" w:lineRule="auto"/>
        <w:jc w:val="both"/>
        <w:rPr>
          <w:shd w:val="clear" w:color="auto" w:fill="FFFFFF"/>
        </w:rPr>
      </w:pPr>
      <w:proofErr w:type="gramStart"/>
      <w:r>
        <w:rPr>
          <w:b/>
        </w:rPr>
        <w:lastRenderedPageBreak/>
        <w:t>Supplementary table 1</w:t>
      </w:r>
      <w:r w:rsidRPr="00853856">
        <w:rPr>
          <w:b/>
        </w:rPr>
        <w:t>.</w:t>
      </w:r>
      <w:proofErr w:type="gramEnd"/>
      <w:r w:rsidRPr="00853856">
        <w:rPr>
          <w:shd w:val="clear" w:color="auto" w:fill="FFFFFF"/>
        </w:rPr>
        <w:t xml:space="preserve"> Biomarker assessed grouped by main pathway involved and technique employed. Note that those biomarkers in italics were not </w:t>
      </w:r>
      <w:r w:rsidRPr="0033591F">
        <w:rPr>
          <w:shd w:val="clear" w:color="auto" w:fill="FFFFFF"/>
        </w:rPr>
        <w:t>quantif</w:t>
      </w:r>
      <w:r w:rsidR="006D6C9E">
        <w:rPr>
          <w:shd w:val="clear" w:color="auto" w:fill="FFFFFF"/>
        </w:rPr>
        <w:t>iable</w:t>
      </w:r>
      <w:r w:rsidRPr="0033591F">
        <w:rPr>
          <w:shd w:val="clear" w:color="auto" w:fill="FFFFFF"/>
        </w:rPr>
        <w:t xml:space="preserve"> in more than 75% of the samples and were therefore excluded from the analysis</w:t>
      </w:r>
    </w:p>
    <w:p w:rsidR="00356059" w:rsidRPr="0033591F" w:rsidRDefault="00356059" w:rsidP="00662503">
      <w:pPr>
        <w:spacing w:line="480" w:lineRule="auto"/>
        <w:jc w:val="both"/>
        <w:rPr>
          <w:shd w:val="clear" w:color="auto" w:fill="FFFFFF"/>
        </w:rPr>
      </w:pPr>
      <w:r w:rsidRPr="0033591F">
        <w:rPr>
          <w:noProof/>
          <w:lang w:val="en-US"/>
        </w:rPr>
        <w:drawing>
          <wp:inline distT="0" distB="0" distL="0" distR="0" wp14:anchorId="300DA10F" wp14:editId="15E882CF">
            <wp:extent cx="5795565" cy="4505325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051" cy="450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6059" w:rsidRDefault="00356059" w:rsidP="00662503">
      <w:pPr>
        <w:jc w:val="both"/>
        <w:rPr>
          <w:b/>
        </w:rPr>
      </w:pPr>
      <w:r>
        <w:rPr>
          <w:b/>
        </w:rPr>
        <w:br w:type="page"/>
      </w:r>
    </w:p>
    <w:p w:rsidR="00356059" w:rsidRPr="00C36765" w:rsidRDefault="00356059" w:rsidP="00662503">
      <w:pPr>
        <w:spacing w:after="0" w:line="480" w:lineRule="auto"/>
        <w:jc w:val="both"/>
        <w:textAlignment w:val="baseline"/>
        <w:rPr>
          <w:rFonts w:eastAsia="Times New Roman" w:cs="Times New Roman"/>
          <w:szCs w:val="24"/>
          <w:lang w:eastAsia="en-GB"/>
        </w:rPr>
      </w:pPr>
      <w:proofErr w:type="gramStart"/>
      <w:r>
        <w:rPr>
          <w:b/>
        </w:rPr>
        <w:lastRenderedPageBreak/>
        <w:t xml:space="preserve">Supplementary </w:t>
      </w:r>
      <w:r w:rsidRPr="00C36765">
        <w:rPr>
          <w:b/>
        </w:rPr>
        <w:t>table 2.</w:t>
      </w:r>
      <w:proofErr w:type="gramEnd"/>
      <w:r w:rsidRPr="00C36765">
        <w:rPr>
          <w:shd w:val="clear" w:color="auto" w:fill="FFFFFF"/>
        </w:rPr>
        <w:t xml:space="preserve"> A</w:t>
      </w:r>
      <w:r w:rsidRPr="00C36765">
        <w:rPr>
          <w:rFonts w:eastAsia="Times New Roman" w:cs="Times New Roman"/>
          <w:lang w:eastAsia="en-GB"/>
        </w:rPr>
        <w:t xml:space="preserve">ge, gender and viral load comparison between </w:t>
      </w:r>
      <w:r w:rsidR="00060D12">
        <w:rPr>
          <w:rFonts w:eastAsia="Times New Roman" w:cs="Times New Roman"/>
          <w:lang w:eastAsia="en-GB"/>
        </w:rPr>
        <w:t>PHI</w:t>
      </w:r>
      <w:r w:rsidRPr="00C36765">
        <w:rPr>
          <w:rFonts w:eastAsia="Times New Roman" w:cs="Times New Roman"/>
          <w:lang w:eastAsia="en-GB"/>
        </w:rPr>
        <w:t xml:space="preserve"> cases continuing follow-up and those lost to follow-up. </w:t>
      </w:r>
      <w:r w:rsidRPr="00C36765">
        <w:rPr>
          <w:rFonts w:eastAsia="Times New Roman" w:cs="Times New Roman"/>
          <w:iCs/>
          <w:color w:val="000000"/>
          <w:lang w:eastAsia="en-GB"/>
        </w:rPr>
        <w:t>There was no significant difference in age, gender balance or viral load between acute HIV patients who returned for enrolment and those who were lost to follow-up.</w:t>
      </w:r>
      <w:r>
        <w:rPr>
          <w:rFonts w:eastAsia="Times New Roman" w:cs="Times New Roman"/>
          <w:iCs/>
          <w:color w:val="000000"/>
          <w:lang w:eastAsia="en-GB"/>
        </w:rPr>
        <w:t xml:space="preserve"> </w:t>
      </w:r>
      <w:proofErr w:type="gramStart"/>
      <w:r w:rsidRPr="00C36765">
        <w:rPr>
          <w:rFonts w:eastAsia="Times New Roman" w:cs="Times New Roman"/>
          <w:i/>
          <w:lang w:eastAsia="en-GB"/>
        </w:rPr>
        <w:t>(1)</w:t>
      </w:r>
      <w:r w:rsidRPr="00C36765">
        <w:rPr>
          <w:rFonts w:eastAsia="Times New Roman" w:cs="Times New Roman"/>
          <w:lang w:eastAsia="en-GB"/>
        </w:rPr>
        <w:t xml:space="preserve"> </w:t>
      </w:r>
      <w:r w:rsidRPr="00C36765">
        <w:rPr>
          <w:rFonts w:eastAsia="Times New Roman" w:cs="Times New Roman"/>
          <w:iCs/>
          <w:color w:val="000000"/>
          <w:lang w:eastAsia="en-GB"/>
        </w:rPr>
        <w:t>Mann-Whitney U Test</w:t>
      </w:r>
      <w:r w:rsidRPr="00C36765">
        <w:rPr>
          <w:rFonts w:eastAsia="Times New Roman" w:cs="Times New Roman"/>
          <w:lang w:eastAsia="en-GB"/>
        </w:rPr>
        <w:t xml:space="preserve">, </w:t>
      </w:r>
      <w:r w:rsidRPr="00C36765">
        <w:rPr>
          <w:rFonts w:eastAsia="Times New Roman" w:cs="Times New Roman"/>
          <w:i/>
          <w:lang w:eastAsia="en-GB"/>
        </w:rPr>
        <w:t>(2)</w:t>
      </w:r>
      <w:r w:rsidRPr="00C36765">
        <w:rPr>
          <w:rFonts w:eastAsia="Times New Roman" w:cs="Times New Roman"/>
          <w:lang w:eastAsia="en-GB"/>
        </w:rPr>
        <w:t xml:space="preserve"> </w:t>
      </w:r>
      <w:r w:rsidRPr="00C36765">
        <w:rPr>
          <w:rFonts w:eastAsia="Times New Roman" w:cs="Times New Roman"/>
          <w:iCs/>
          <w:color w:val="000000"/>
          <w:lang w:eastAsia="en-GB"/>
        </w:rPr>
        <w:t>Chi-Square Test</w:t>
      </w:r>
      <w:r w:rsidRPr="00C36765">
        <w:rPr>
          <w:rFonts w:eastAsia="Times New Roman" w:cs="Times New Roman"/>
          <w:lang w:eastAsia="en-GB"/>
        </w:rPr>
        <w:t xml:space="preserve"> and </w:t>
      </w:r>
      <w:r w:rsidRPr="00C36765">
        <w:rPr>
          <w:rFonts w:eastAsia="Times New Roman" w:cs="Times New Roman"/>
          <w:i/>
          <w:lang w:eastAsia="en-GB"/>
        </w:rPr>
        <w:t>(3)</w:t>
      </w:r>
      <w:r w:rsidRPr="00C36765">
        <w:rPr>
          <w:rFonts w:eastAsia="Times New Roman" w:cs="Times New Roman"/>
          <w:lang w:eastAsia="en-GB"/>
        </w:rPr>
        <w:t xml:space="preserve"> </w:t>
      </w:r>
      <w:r w:rsidRPr="00C36765">
        <w:rPr>
          <w:rFonts w:eastAsia="Times New Roman" w:cs="Times New Roman"/>
          <w:iCs/>
          <w:color w:val="000000"/>
          <w:lang w:eastAsia="en-GB"/>
        </w:rPr>
        <w:t>Independent Samples T Test</w:t>
      </w:r>
      <w:r>
        <w:rPr>
          <w:rFonts w:eastAsia="Times New Roman" w:cs="Times New Roman"/>
          <w:iCs/>
          <w:color w:val="000000"/>
          <w:lang w:eastAsia="en-GB"/>
        </w:rPr>
        <w:t>.</w:t>
      </w:r>
      <w:proofErr w:type="gramEnd"/>
    </w:p>
    <w:p w:rsidR="00356059" w:rsidRPr="00C36765" w:rsidRDefault="00356059" w:rsidP="00662503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tbl>
      <w:tblPr>
        <w:tblStyle w:val="Listamedia1"/>
        <w:tblW w:w="6483" w:type="dxa"/>
        <w:jc w:val="center"/>
        <w:tblLook w:val="04A0" w:firstRow="1" w:lastRow="0" w:firstColumn="1" w:lastColumn="0" w:noHBand="0" w:noVBand="1"/>
      </w:tblPr>
      <w:tblGrid>
        <w:gridCol w:w="1448"/>
        <w:gridCol w:w="2050"/>
        <w:gridCol w:w="2003"/>
        <w:gridCol w:w="982"/>
      </w:tblGrid>
      <w:tr w:rsidR="00356059" w:rsidRPr="00C36765" w:rsidTr="00D45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356059" w:rsidRPr="008E7A39" w:rsidRDefault="00356059" w:rsidP="00662503">
            <w:pPr>
              <w:jc w:val="both"/>
              <w:rPr>
                <w:rFonts w:asciiTheme="minorHAnsi" w:eastAsia="Times New Roman" w:hAnsiTheme="minorHAnsi" w:cs="Times New Roman"/>
                <w:sz w:val="20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356059" w:rsidRPr="008E7A39" w:rsidRDefault="00060D12" w:rsidP="0066250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0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4"/>
                <w:lang w:eastAsia="en-GB"/>
              </w:rPr>
              <w:t>P</w:t>
            </w:r>
            <w:r w:rsidR="00356059" w:rsidRPr="008E7A39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4"/>
                <w:lang w:eastAsia="en-GB"/>
              </w:rPr>
              <w:t>HI enrolled</w:t>
            </w:r>
          </w:p>
          <w:p w:rsidR="00356059" w:rsidRPr="008E7A39" w:rsidRDefault="00356059" w:rsidP="00662503">
            <w:pPr>
              <w:spacing w:line="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0"/>
                <w:szCs w:val="24"/>
                <w:lang w:eastAsia="en-GB"/>
              </w:rPr>
            </w:pPr>
            <w:r w:rsidRPr="008E7A39"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en-GB"/>
              </w:rPr>
              <w:t>n (%) or median (IQR)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356059" w:rsidRPr="008E7A39" w:rsidRDefault="00060D12" w:rsidP="0066250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0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4"/>
                <w:lang w:eastAsia="en-GB"/>
              </w:rPr>
              <w:t>P</w:t>
            </w:r>
            <w:bookmarkStart w:id="0" w:name="_GoBack"/>
            <w:bookmarkEnd w:id="0"/>
            <w:r w:rsidR="00356059" w:rsidRPr="008E7A39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4"/>
                <w:lang w:eastAsia="en-GB"/>
              </w:rPr>
              <w:t>HI LTFU</w:t>
            </w:r>
          </w:p>
          <w:p w:rsidR="00356059" w:rsidRPr="008E7A39" w:rsidRDefault="00356059" w:rsidP="00662503">
            <w:pPr>
              <w:spacing w:line="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0"/>
                <w:szCs w:val="24"/>
                <w:lang w:eastAsia="en-GB"/>
              </w:rPr>
            </w:pPr>
            <w:r w:rsidRPr="008E7A39"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en-GB"/>
              </w:rPr>
              <w:t>n(%) or median (IQR)</w:t>
            </w:r>
          </w:p>
        </w:tc>
        <w:tc>
          <w:tcPr>
            <w:tcW w:w="982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356059" w:rsidRPr="008E7A39" w:rsidRDefault="00356059" w:rsidP="0066250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0"/>
                <w:szCs w:val="24"/>
                <w:lang w:eastAsia="en-GB"/>
              </w:rPr>
            </w:pPr>
          </w:p>
          <w:p w:rsidR="00356059" w:rsidRPr="008E7A39" w:rsidRDefault="00356059" w:rsidP="00662503">
            <w:pPr>
              <w:spacing w:line="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0"/>
                <w:szCs w:val="24"/>
                <w:lang w:eastAsia="en-GB"/>
              </w:rPr>
            </w:pPr>
            <w:r w:rsidRPr="008E7A39"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en-GB"/>
              </w:rPr>
              <w:t>p-value</w:t>
            </w:r>
          </w:p>
        </w:tc>
      </w:tr>
      <w:tr w:rsidR="00356059" w:rsidRPr="00C83BC0" w:rsidTr="00D45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hideMark/>
          </w:tcPr>
          <w:p w:rsidR="00356059" w:rsidRPr="008E7A39" w:rsidRDefault="00356059" w:rsidP="00662503">
            <w:pPr>
              <w:spacing w:line="0" w:lineRule="atLeast"/>
              <w:jc w:val="both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8E7A39">
              <w:rPr>
                <w:rFonts w:eastAsia="Times New Roman" w:cs="Times New Roman"/>
                <w:color w:val="000000"/>
                <w:sz w:val="20"/>
                <w:szCs w:val="24"/>
                <w:lang w:eastAsia="en-GB"/>
              </w:rPr>
              <w:t>Total (n)</w:t>
            </w:r>
          </w:p>
        </w:tc>
        <w:tc>
          <w:tcPr>
            <w:tcW w:w="0" w:type="auto"/>
            <w:hideMark/>
          </w:tcPr>
          <w:p w:rsidR="00356059" w:rsidRPr="008E7A39" w:rsidRDefault="00356059" w:rsidP="00662503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8E7A39">
              <w:rPr>
                <w:rFonts w:eastAsia="Times New Roman" w:cs="Times New Roman"/>
                <w:color w:val="000000"/>
                <w:sz w:val="20"/>
                <w:szCs w:val="24"/>
                <w:lang w:eastAsia="en-GB"/>
              </w:rPr>
              <w:t>44</w:t>
            </w:r>
          </w:p>
        </w:tc>
        <w:tc>
          <w:tcPr>
            <w:tcW w:w="0" w:type="auto"/>
            <w:hideMark/>
          </w:tcPr>
          <w:p w:rsidR="00356059" w:rsidRPr="008E7A39" w:rsidRDefault="00356059" w:rsidP="00662503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8E7A39">
              <w:rPr>
                <w:rFonts w:eastAsia="Times New Roman" w:cs="Times New Roman"/>
                <w:color w:val="000000"/>
                <w:sz w:val="20"/>
                <w:szCs w:val="24"/>
                <w:lang w:eastAsia="en-GB"/>
              </w:rPr>
              <w:t>13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hideMark/>
          </w:tcPr>
          <w:p w:rsidR="00356059" w:rsidRPr="008E7A39" w:rsidRDefault="00356059" w:rsidP="006625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4"/>
                <w:lang w:eastAsia="en-GB"/>
              </w:rPr>
            </w:pPr>
          </w:p>
        </w:tc>
      </w:tr>
      <w:tr w:rsidR="00356059" w:rsidRPr="00C36765" w:rsidTr="00D4589E">
        <w:trPr>
          <w:trHeight w:val="1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hideMark/>
          </w:tcPr>
          <w:p w:rsidR="00356059" w:rsidRPr="008E7A39" w:rsidRDefault="00356059" w:rsidP="00662503">
            <w:pPr>
              <w:jc w:val="both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8E7A39">
              <w:rPr>
                <w:rFonts w:eastAsia="Times New Roman" w:cs="Times New Roman"/>
                <w:color w:val="000000"/>
                <w:sz w:val="20"/>
                <w:szCs w:val="24"/>
                <w:lang w:eastAsia="en-GB"/>
              </w:rPr>
              <w:t>Age (years)</w:t>
            </w:r>
          </w:p>
          <w:p w:rsidR="00356059" w:rsidRPr="008E7A39" w:rsidRDefault="00356059" w:rsidP="00662503">
            <w:pPr>
              <w:jc w:val="both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8E7A39">
              <w:rPr>
                <w:rFonts w:eastAsia="Times New Roman" w:cs="Times New Roman"/>
                <w:color w:val="000000"/>
                <w:sz w:val="20"/>
                <w:szCs w:val="24"/>
                <w:lang w:eastAsia="en-GB"/>
              </w:rPr>
              <w:t>Median (IQR))</w:t>
            </w:r>
          </w:p>
          <w:p w:rsidR="00356059" w:rsidRPr="008E7A39" w:rsidRDefault="00356059" w:rsidP="00662503">
            <w:pPr>
              <w:jc w:val="both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8E7A39">
              <w:rPr>
                <w:rFonts w:eastAsia="Times New Roman" w:cs="Times New Roman"/>
                <w:color w:val="000000"/>
                <w:sz w:val="20"/>
                <w:szCs w:val="24"/>
                <w:lang w:eastAsia="en-GB"/>
              </w:rPr>
              <w:t>    17-30</w:t>
            </w:r>
          </w:p>
          <w:p w:rsidR="00356059" w:rsidRPr="008E7A39" w:rsidRDefault="00356059" w:rsidP="00662503">
            <w:pPr>
              <w:jc w:val="both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8E7A39">
              <w:rPr>
                <w:rFonts w:eastAsia="Times New Roman" w:cs="Times New Roman"/>
                <w:color w:val="000000"/>
                <w:sz w:val="20"/>
                <w:szCs w:val="24"/>
                <w:lang w:eastAsia="en-GB"/>
              </w:rPr>
              <w:t>    31-40</w:t>
            </w:r>
          </w:p>
          <w:p w:rsidR="00356059" w:rsidRPr="008E7A39" w:rsidRDefault="00356059" w:rsidP="00662503">
            <w:pPr>
              <w:jc w:val="both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8E7A39">
              <w:rPr>
                <w:rFonts w:eastAsia="Times New Roman" w:cs="Times New Roman"/>
                <w:color w:val="000000"/>
                <w:sz w:val="20"/>
                <w:szCs w:val="24"/>
                <w:lang w:eastAsia="en-GB"/>
              </w:rPr>
              <w:t>    41-50</w:t>
            </w:r>
          </w:p>
          <w:p w:rsidR="00356059" w:rsidRPr="008E7A39" w:rsidRDefault="00356059" w:rsidP="00662503">
            <w:pPr>
              <w:spacing w:line="0" w:lineRule="atLeast"/>
              <w:jc w:val="both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8E7A39">
              <w:rPr>
                <w:rFonts w:eastAsia="Times New Roman" w:cs="Times New Roman"/>
                <w:color w:val="000000"/>
                <w:sz w:val="20"/>
                <w:szCs w:val="24"/>
                <w:lang w:eastAsia="en-GB"/>
              </w:rPr>
              <w:t>    50+</w:t>
            </w:r>
          </w:p>
        </w:tc>
        <w:tc>
          <w:tcPr>
            <w:tcW w:w="0" w:type="auto"/>
            <w:hideMark/>
          </w:tcPr>
          <w:p w:rsidR="00356059" w:rsidRPr="008E7A39" w:rsidRDefault="00356059" w:rsidP="006625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4"/>
                <w:lang w:eastAsia="en-GB"/>
              </w:rPr>
            </w:pPr>
          </w:p>
          <w:p w:rsidR="00356059" w:rsidRPr="008E7A39" w:rsidRDefault="00356059" w:rsidP="006625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8E7A39">
              <w:rPr>
                <w:rFonts w:eastAsia="Times New Roman" w:cs="Times New Roman"/>
                <w:color w:val="000000"/>
                <w:sz w:val="20"/>
                <w:szCs w:val="24"/>
                <w:lang w:eastAsia="en-GB"/>
              </w:rPr>
              <w:t>26 (11.0)</w:t>
            </w:r>
          </w:p>
          <w:p w:rsidR="00356059" w:rsidRPr="008E7A39" w:rsidRDefault="00356059" w:rsidP="006625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8E7A39">
              <w:rPr>
                <w:rFonts w:eastAsia="Times New Roman" w:cs="Times New Roman"/>
                <w:color w:val="000000"/>
                <w:sz w:val="20"/>
                <w:szCs w:val="24"/>
                <w:lang w:eastAsia="en-GB"/>
              </w:rPr>
              <w:t>33 (75.0)</w:t>
            </w:r>
          </w:p>
          <w:p w:rsidR="00356059" w:rsidRPr="008E7A39" w:rsidRDefault="00356059" w:rsidP="006625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8E7A39">
              <w:rPr>
                <w:rFonts w:eastAsia="Times New Roman" w:cs="Times New Roman"/>
                <w:color w:val="000000"/>
                <w:sz w:val="20"/>
                <w:szCs w:val="24"/>
                <w:lang w:eastAsia="en-GB"/>
              </w:rPr>
              <w:t>7 (16.1)</w:t>
            </w:r>
          </w:p>
          <w:p w:rsidR="00356059" w:rsidRPr="008E7A39" w:rsidRDefault="00356059" w:rsidP="006625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8E7A39">
              <w:rPr>
                <w:rFonts w:eastAsia="Times New Roman" w:cs="Times New Roman"/>
                <w:color w:val="000000"/>
                <w:sz w:val="20"/>
                <w:szCs w:val="24"/>
                <w:lang w:eastAsia="en-GB"/>
              </w:rPr>
              <w:t>3 (7.1)</w:t>
            </w:r>
          </w:p>
          <w:p w:rsidR="00356059" w:rsidRPr="008E7A39" w:rsidRDefault="00356059" w:rsidP="00662503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8E7A39">
              <w:rPr>
                <w:rFonts w:eastAsia="Times New Roman" w:cs="Times New Roman"/>
                <w:color w:val="000000"/>
                <w:sz w:val="20"/>
                <w:szCs w:val="24"/>
                <w:lang w:eastAsia="en-GB"/>
              </w:rPr>
              <w:t>1 (1.8)</w:t>
            </w:r>
          </w:p>
        </w:tc>
        <w:tc>
          <w:tcPr>
            <w:tcW w:w="0" w:type="auto"/>
            <w:hideMark/>
          </w:tcPr>
          <w:p w:rsidR="00356059" w:rsidRPr="008E7A39" w:rsidRDefault="00356059" w:rsidP="006625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4"/>
                <w:lang w:eastAsia="en-GB"/>
              </w:rPr>
            </w:pPr>
          </w:p>
          <w:p w:rsidR="00356059" w:rsidRPr="008E7A39" w:rsidRDefault="00356059" w:rsidP="006625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8E7A39">
              <w:rPr>
                <w:rFonts w:eastAsia="Times New Roman" w:cs="Times New Roman"/>
                <w:color w:val="000000"/>
                <w:sz w:val="20"/>
                <w:szCs w:val="24"/>
                <w:lang w:eastAsia="en-GB"/>
              </w:rPr>
              <w:t>25 (10.0)</w:t>
            </w:r>
          </w:p>
          <w:p w:rsidR="00356059" w:rsidRPr="008E7A39" w:rsidRDefault="00356059" w:rsidP="006625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8E7A39">
              <w:rPr>
                <w:rFonts w:eastAsia="Times New Roman" w:cs="Times New Roman"/>
                <w:color w:val="000000"/>
                <w:sz w:val="20"/>
                <w:szCs w:val="24"/>
                <w:lang w:eastAsia="en-GB"/>
              </w:rPr>
              <w:t>10 (80.0)</w:t>
            </w:r>
          </w:p>
          <w:p w:rsidR="00356059" w:rsidRPr="008E7A39" w:rsidRDefault="00356059" w:rsidP="006625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8E7A39">
              <w:rPr>
                <w:rFonts w:eastAsia="Times New Roman" w:cs="Times New Roman"/>
                <w:color w:val="000000"/>
                <w:sz w:val="20"/>
                <w:szCs w:val="24"/>
                <w:lang w:eastAsia="en-GB"/>
              </w:rPr>
              <w:t>2 (10.0)</w:t>
            </w:r>
          </w:p>
          <w:p w:rsidR="00356059" w:rsidRPr="008E7A39" w:rsidRDefault="00356059" w:rsidP="006625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8E7A39">
              <w:rPr>
                <w:rFonts w:eastAsia="Times New Roman" w:cs="Times New Roman"/>
                <w:color w:val="000000"/>
                <w:sz w:val="20"/>
                <w:szCs w:val="24"/>
                <w:lang w:eastAsia="en-GB"/>
              </w:rPr>
              <w:t>1 (6.7)</w:t>
            </w:r>
          </w:p>
          <w:p w:rsidR="00356059" w:rsidRPr="008E7A39" w:rsidRDefault="00356059" w:rsidP="00662503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8E7A39">
              <w:rPr>
                <w:rFonts w:eastAsia="Times New Roman" w:cs="Times New Roman"/>
                <w:color w:val="000000"/>
                <w:sz w:val="20"/>
                <w:szCs w:val="24"/>
                <w:lang w:eastAsia="en-GB"/>
              </w:rPr>
              <w:t>0 (3.3)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hideMark/>
          </w:tcPr>
          <w:p w:rsidR="00356059" w:rsidRPr="008E7A39" w:rsidRDefault="00356059" w:rsidP="00662503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4"/>
                <w:lang w:eastAsia="en-GB"/>
              </w:rPr>
            </w:pPr>
          </w:p>
          <w:p w:rsidR="00356059" w:rsidRPr="008E7A39" w:rsidRDefault="00356059" w:rsidP="00662503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8E7A39">
              <w:rPr>
                <w:rFonts w:eastAsia="Times New Roman" w:cs="Times New Roman"/>
                <w:color w:val="000000"/>
                <w:sz w:val="20"/>
                <w:szCs w:val="24"/>
                <w:lang w:eastAsia="en-GB"/>
              </w:rPr>
              <w:t>0.939</w:t>
            </w:r>
            <w:r w:rsidRPr="008E7A39">
              <w:rPr>
                <w:rFonts w:eastAsia="Times New Roman" w:cs="Times New Roman"/>
                <w:i/>
                <w:color w:val="000000"/>
                <w:sz w:val="20"/>
                <w:szCs w:val="24"/>
                <w:lang w:eastAsia="en-GB"/>
              </w:rPr>
              <w:t>(1)</w:t>
            </w:r>
          </w:p>
        </w:tc>
      </w:tr>
      <w:tr w:rsidR="00356059" w:rsidRPr="00C83BC0" w:rsidTr="00D45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hideMark/>
          </w:tcPr>
          <w:p w:rsidR="00356059" w:rsidRPr="008E7A39" w:rsidRDefault="00356059" w:rsidP="00662503">
            <w:pPr>
              <w:jc w:val="both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8E7A39">
              <w:rPr>
                <w:rFonts w:eastAsia="Times New Roman" w:cs="Times New Roman"/>
                <w:color w:val="000000"/>
                <w:sz w:val="20"/>
                <w:szCs w:val="24"/>
                <w:lang w:eastAsia="en-GB"/>
              </w:rPr>
              <w:t>Gender</w:t>
            </w:r>
          </w:p>
          <w:p w:rsidR="00356059" w:rsidRPr="008E7A39" w:rsidRDefault="00356059" w:rsidP="00662503">
            <w:pPr>
              <w:jc w:val="both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8E7A39">
              <w:rPr>
                <w:rFonts w:eastAsia="Times New Roman" w:cs="Times New Roman"/>
                <w:color w:val="000000"/>
                <w:sz w:val="20"/>
                <w:szCs w:val="24"/>
                <w:lang w:eastAsia="en-GB"/>
              </w:rPr>
              <w:t>    Female</w:t>
            </w:r>
          </w:p>
          <w:p w:rsidR="00356059" w:rsidRPr="008E7A39" w:rsidRDefault="00356059" w:rsidP="00662503">
            <w:pPr>
              <w:spacing w:line="0" w:lineRule="atLeast"/>
              <w:jc w:val="both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8E7A39">
              <w:rPr>
                <w:rFonts w:eastAsia="Times New Roman" w:cs="Times New Roman"/>
                <w:color w:val="000000"/>
                <w:sz w:val="20"/>
                <w:szCs w:val="24"/>
                <w:lang w:eastAsia="en-GB"/>
              </w:rPr>
              <w:t>    Male</w:t>
            </w:r>
          </w:p>
        </w:tc>
        <w:tc>
          <w:tcPr>
            <w:tcW w:w="0" w:type="auto"/>
            <w:hideMark/>
          </w:tcPr>
          <w:p w:rsidR="00356059" w:rsidRPr="008E7A39" w:rsidRDefault="00356059" w:rsidP="006625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4"/>
                <w:lang w:eastAsia="en-GB"/>
              </w:rPr>
            </w:pPr>
          </w:p>
          <w:p w:rsidR="00356059" w:rsidRPr="008E7A39" w:rsidRDefault="00356059" w:rsidP="006625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8E7A39">
              <w:rPr>
                <w:rFonts w:eastAsia="Times New Roman" w:cs="Times New Roman"/>
                <w:color w:val="000000"/>
                <w:sz w:val="20"/>
                <w:szCs w:val="24"/>
                <w:lang w:eastAsia="en-GB"/>
              </w:rPr>
              <w:t>27 (61.4)</w:t>
            </w:r>
          </w:p>
          <w:p w:rsidR="00356059" w:rsidRPr="008E7A39" w:rsidRDefault="00356059" w:rsidP="00662503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8E7A39">
              <w:rPr>
                <w:rFonts w:eastAsia="Times New Roman" w:cs="Times New Roman"/>
                <w:color w:val="000000"/>
                <w:sz w:val="20"/>
                <w:szCs w:val="24"/>
                <w:lang w:eastAsia="en-GB"/>
              </w:rPr>
              <w:t>17 (38.6)</w:t>
            </w:r>
          </w:p>
        </w:tc>
        <w:tc>
          <w:tcPr>
            <w:tcW w:w="0" w:type="auto"/>
            <w:hideMark/>
          </w:tcPr>
          <w:p w:rsidR="00356059" w:rsidRPr="008E7A39" w:rsidRDefault="00356059" w:rsidP="006625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4"/>
                <w:lang w:eastAsia="en-GB"/>
              </w:rPr>
            </w:pPr>
          </w:p>
          <w:p w:rsidR="00356059" w:rsidRPr="008E7A39" w:rsidRDefault="00356059" w:rsidP="006625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8E7A39">
              <w:rPr>
                <w:rFonts w:eastAsia="Times New Roman" w:cs="Times New Roman"/>
                <w:color w:val="000000"/>
                <w:sz w:val="20"/>
                <w:szCs w:val="24"/>
                <w:lang w:eastAsia="en-GB"/>
              </w:rPr>
              <w:t>5 (38.5)</w:t>
            </w:r>
          </w:p>
          <w:p w:rsidR="00356059" w:rsidRPr="008E7A39" w:rsidRDefault="00356059" w:rsidP="00662503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8E7A39">
              <w:rPr>
                <w:rFonts w:eastAsia="Times New Roman" w:cs="Times New Roman"/>
                <w:color w:val="000000"/>
                <w:sz w:val="20"/>
                <w:szCs w:val="24"/>
                <w:lang w:eastAsia="en-GB"/>
              </w:rPr>
              <w:t>8 (61.5)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hideMark/>
          </w:tcPr>
          <w:p w:rsidR="00356059" w:rsidRPr="008E7A39" w:rsidRDefault="00356059" w:rsidP="006625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4"/>
                <w:lang w:eastAsia="en-GB"/>
              </w:rPr>
            </w:pPr>
          </w:p>
          <w:p w:rsidR="00356059" w:rsidRPr="008E7A39" w:rsidRDefault="00356059" w:rsidP="00662503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8E7A39">
              <w:rPr>
                <w:rFonts w:eastAsia="Times New Roman" w:cs="Times New Roman"/>
                <w:color w:val="000000"/>
                <w:sz w:val="20"/>
                <w:szCs w:val="24"/>
                <w:lang w:eastAsia="en-GB"/>
              </w:rPr>
              <w:t>0.144</w:t>
            </w:r>
            <w:r w:rsidRPr="008E7A39">
              <w:rPr>
                <w:rFonts w:eastAsia="Times New Roman" w:cs="Times New Roman"/>
                <w:i/>
                <w:color w:val="000000"/>
                <w:sz w:val="20"/>
                <w:szCs w:val="24"/>
                <w:lang w:eastAsia="en-GB"/>
              </w:rPr>
              <w:t>(2)</w:t>
            </w:r>
          </w:p>
        </w:tc>
      </w:tr>
      <w:tr w:rsidR="00356059" w:rsidRPr="00C36765" w:rsidTr="00D4589E">
        <w:trPr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56059" w:rsidRPr="008E7A39" w:rsidRDefault="00356059" w:rsidP="00662503">
            <w:pPr>
              <w:jc w:val="both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8E7A39">
              <w:rPr>
                <w:rFonts w:eastAsia="Times New Roman" w:cs="Times New Roman"/>
                <w:color w:val="000000"/>
                <w:sz w:val="20"/>
                <w:szCs w:val="24"/>
                <w:lang w:eastAsia="en-GB"/>
              </w:rPr>
              <w:t>Viral load</w:t>
            </w:r>
          </w:p>
          <w:p w:rsidR="00356059" w:rsidRPr="008E7A39" w:rsidRDefault="00356059" w:rsidP="00662503">
            <w:pPr>
              <w:spacing w:line="0" w:lineRule="atLeast"/>
              <w:jc w:val="both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8E7A39">
              <w:rPr>
                <w:rFonts w:eastAsia="Times New Roman" w:cs="Times New Roman"/>
                <w:color w:val="000000"/>
                <w:sz w:val="20"/>
                <w:szCs w:val="24"/>
                <w:lang w:eastAsia="en-GB"/>
              </w:rPr>
              <w:t>Median (IQR)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56059" w:rsidRPr="008E7A39" w:rsidRDefault="00356059" w:rsidP="006625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4"/>
                <w:lang w:eastAsia="en-GB"/>
              </w:rPr>
            </w:pPr>
          </w:p>
          <w:p w:rsidR="00356059" w:rsidRPr="008E7A39" w:rsidRDefault="00356059" w:rsidP="00662503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8E7A39">
              <w:rPr>
                <w:rFonts w:eastAsia="Times New Roman" w:cs="Times New Roman"/>
                <w:color w:val="000000"/>
                <w:sz w:val="20"/>
                <w:szCs w:val="24"/>
                <w:lang w:eastAsia="en-GB"/>
              </w:rPr>
              <w:t>6.19 (2.15)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56059" w:rsidRPr="008E7A39" w:rsidRDefault="00356059" w:rsidP="006625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4"/>
                <w:lang w:eastAsia="en-GB"/>
              </w:rPr>
            </w:pPr>
          </w:p>
          <w:p w:rsidR="00356059" w:rsidRPr="008E7A39" w:rsidRDefault="00356059" w:rsidP="00662503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8E7A39">
              <w:rPr>
                <w:rFonts w:eastAsia="Times New Roman" w:cs="Times New Roman"/>
                <w:color w:val="000000"/>
                <w:sz w:val="20"/>
                <w:szCs w:val="24"/>
                <w:lang w:eastAsia="en-GB"/>
              </w:rPr>
              <w:t>6.80 (2.80)</w:t>
            </w:r>
          </w:p>
        </w:tc>
        <w:tc>
          <w:tcPr>
            <w:tcW w:w="98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56059" w:rsidRPr="008E7A39" w:rsidRDefault="00356059" w:rsidP="006625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4"/>
                <w:lang w:eastAsia="en-GB"/>
              </w:rPr>
            </w:pPr>
          </w:p>
          <w:p w:rsidR="00356059" w:rsidRPr="008E7A39" w:rsidRDefault="00356059" w:rsidP="00662503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8E7A39">
              <w:rPr>
                <w:rFonts w:eastAsia="Times New Roman" w:cs="Times New Roman"/>
                <w:color w:val="000000"/>
                <w:sz w:val="20"/>
                <w:szCs w:val="24"/>
                <w:lang w:eastAsia="en-GB"/>
              </w:rPr>
              <w:t>0.332</w:t>
            </w:r>
            <w:r w:rsidRPr="008E7A39">
              <w:rPr>
                <w:rFonts w:eastAsia="Times New Roman" w:cs="Times New Roman"/>
                <w:i/>
                <w:color w:val="000000"/>
                <w:sz w:val="20"/>
                <w:szCs w:val="24"/>
                <w:lang w:eastAsia="en-GB"/>
              </w:rPr>
              <w:t>(3)</w:t>
            </w:r>
          </w:p>
        </w:tc>
      </w:tr>
    </w:tbl>
    <w:p w:rsidR="00356059" w:rsidRPr="00C36765" w:rsidRDefault="00356059" w:rsidP="006625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:rsidR="00356059" w:rsidRPr="00C36765" w:rsidRDefault="00356059" w:rsidP="006625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:rsidR="00356059" w:rsidRDefault="00356059" w:rsidP="00662503">
      <w:pPr>
        <w:pStyle w:val="Textoindependiente"/>
        <w:spacing w:line="480" w:lineRule="auto"/>
        <w:jc w:val="both"/>
        <w:rPr>
          <w:b/>
        </w:rPr>
      </w:pPr>
    </w:p>
    <w:p w:rsidR="00356059" w:rsidRPr="00E67383" w:rsidRDefault="00356059" w:rsidP="00662503">
      <w:pPr>
        <w:jc w:val="both"/>
        <w:rPr>
          <w:b/>
        </w:rPr>
      </w:pPr>
    </w:p>
    <w:p w:rsidR="002670A6" w:rsidRDefault="002670A6" w:rsidP="00662503">
      <w:pPr>
        <w:jc w:val="both"/>
      </w:pPr>
    </w:p>
    <w:sectPr w:rsidR="002670A6" w:rsidSect="008206A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C9" w:rsidRDefault="00AD2AC9" w:rsidP="00356059">
      <w:pPr>
        <w:spacing w:after="0" w:line="240" w:lineRule="auto"/>
      </w:pPr>
      <w:r>
        <w:separator/>
      </w:r>
    </w:p>
  </w:endnote>
  <w:endnote w:type="continuationSeparator" w:id="0">
    <w:p w:rsidR="00AD2AC9" w:rsidRDefault="00AD2AC9" w:rsidP="0035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C9" w:rsidRDefault="00AD2AC9" w:rsidP="00356059">
      <w:pPr>
        <w:spacing w:after="0" w:line="240" w:lineRule="auto"/>
      </w:pPr>
      <w:r>
        <w:separator/>
      </w:r>
    </w:p>
  </w:footnote>
  <w:footnote w:type="continuationSeparator" w:id="0">
    <w:p w:rsidR="00AD2AC9" w:rsidRDefault="00AD2AC9" w:rsidP="0035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894050"/>
      <w:docPartObj>
        <w:docPartGallery w:val="Page Numbers (Top of Page)"/>
        <w:docPartUnique/>
      </w:docPartObj>
    </w:sdtPr>
    <w:sdtEndPr/>
    <w:sdtContent>
      <w:p w:rsidR="00356059" w:rsidRDefault="00356059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D12" w:rsidRPr="00060D12">
          <w:rPr>
            <w:noProof/>
            <w:lang w:val="es-ES"/>
          </w:rPr>
          <w:t>1</w:t>
        </w:r>
        <w:r>
          <w:fldChar w:fldCharType="end"/>
        </w:r>
      </w:p>
    </w:sdtContent>
  </w:sdt>
  <w:p w:rsidR="00387B3B" w:rsidRDefault="00AD2A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59"/>
    <w:rsid w:val="00060D12"/>
    <w:rsid w:val="00202543"/>
    <w:rsid w:val="002670A6"/>
    <w:rsid w:val="00356059"/>
    <w:rsid w:val="00376366"/>
    <w:rsid w:val="0046709A"/>
    <w:rsid w:val="005C4B9E"/>
    <w:rsid w:val="005F5500"/>
    <w:rsid w:val="00662503"/>
    <w:rsid w:val="006D6C9E"/>
    <w:rsid w:val="00763AE1"/>
    <w:rsid w:val="0079288E"/>
    <w:rsid w:val="00931A30"/>
    <w:rsid w:val="00A93C30"/>
    <w:rsid w:val="00AD2AC9"/>
    <w:rsid w:val="00EA3CEF"/>
    <w:rsid w:val="00F4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59"/>
  </w:style>
  <w:style w:type="paragraph" w:styleId="Ttulo1">
    <w:name w:val="heading 1"/>
    <w:basedOn w:val="Normal"/>
    <w:next w:val="Normal"/>
    <w:link w:val="Ttulo1Car"/>
    <w:uiPriority w:val="9"/>
    <w:qFormat/>
    <w:rsid w:val="003560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56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356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059"/>
  </w:style>
  <w:style w:type="paragraph" w:styleId="Textoindependiente">
    <w:name w:val="Body Text"/>
    <w:basedOn w:val="Normal"/>
    <w:link w:val="TextoindependienteCar"/>
    <w:uiPriority w:val="99"/>
    <w:unhideWhenUsed/>
    <w:rsid w:val="0035605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56059"/>
  </w:style>
  <w:style w:type="table" w:styleId="Listamedia1">
    <w:name w:val="Medium List 1"/>
    <w:basedOn w:val="Tablanormal"/>
    <w:uiPriority w:val="65"/>
    <w:rsid w:val="003560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5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05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56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59"/>
  </w:style>
  <w:style w:type="paragraph" w:styleId="Ttulo1">
    <w:name w:val="heading 1"/>
    <w:basedOn w:val="Normal"/>
    <w:next w:val="Normal"/>
    <w:link w:val="Ttulo1Car"/>
    <w:uiPriority w:val="9"/>
    <w:qFormat/>
    <w:rsid w:val="003560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56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356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059"/>
  </w:style>
  <w:style w:type="paragraph" w:styleId="Textoindependiente">
    <w:name w:val="Body Text"/>
    <w:basedOn w:val="Normal"/>
    <w:link w:val="TextoindependienteCar"/>
    <w:uiPriority w:val="99"/>
    <w:unhideWhenUsed/>
    <w:rsid w:val="0035605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56059"/>
  </w:style>
  <w:style w:type="table" w:styleId="Listamedia1">
    <w:name w:val="Medium List 1"/>
    <w:basedOn w:val="Tablanormal"/>
    <w:uiPriority w:val="65"/>
    <w:rsid w:val="003560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5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05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56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LPASTOR</dc:creator>
  <cp:lastModifiedBy>PASTOR, LUCIA (CRESIB)</cp:lastModifiedBy>
  <cp:revision>7</cp:revision>
  <dcterms:created xsi:type="dcterms:W3CDTF">2016-06-16T20:22:00Z</dcterms:created>
  <dcterms:modified xsi:type="dcterms:W3CDTF">2016-10-27T16:03:00Z</dcterms:modified>
</cp:coreProperties>
</file>