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B93EE" w14:textId="77777777" w:rsidR="008D33C4" w:rsidRPr="00DD0C44" w:rsidRDefault="00E85DC8" w:rsidP="00E85DC8">
      <w:pPr>
        <w:pStyle w:val="Title"/>
        <w:jc w:val="left"/>
        <w:rPr>
          <w:rStyle w:val="Strong"/>
          <w:sz w:val="40"/>
        </w:rPr>
      </w:pPr>
      <w:r w:rsidRPr="00DD0C44">
        <w:rPr>
          <w:rStyle w:val="Strong"/>
          <w:sz w:val="40"/>
        </w:rPr>
        <w:t>Appendices:</w:t>
      </w:r>
    </w:p>
    <w:p w14:paraId="5C360DA3" w14:textId="77777777" w:rsidR="008D33C4" w:rsidRPr="00DD0C44" w:rsidRDefault="008D33C4" w:rsidP="00E85DC8">
      <w:pPr>
        <w:pStyle w:val="Title"/>
        <w:jc w:val="left"/>
        <w:rPr>
          <w:rStyle w:val="Strong"/>
          <w:b/>
          <w:sz w:val="40"/>
        </w:rPr>
      </w:pPr>
    </w:p>
    <w:p w14:paraId="20B61749" w14:textId="610728FD" w:rsidR="008D33C4" w:rsidRPr="00DD0C44" w:rsidRDefault="008D33C4" w:rsidP="008D33C4">
      <w:pPr>
        <w:rPr>
          <w:b/>
        </w:rPr>
      </w:pPr>
      <w:r w:rsidRPr="00DD0C44">
        <w:rPr>
          <w:b/>
        </w:rPr>
        <w:t>The Impact of Pre-Exposure Prophylaxis Among Men Who Have Se</w:t>
      </w:r>
      <w:r w:rsidR="00CE1E69" w:rsidRPr="00DD0C44">
        <w:rPr>
          <w:b/>
        </w:rPr>
        <w:t xml:space="preserve">x With Men: A </w:t>
      </w:r>
      <w:r w:rsidR="004E75EB" w:rsidRPr="00DD0C44">
        <w:rPr>
          <w:b/>
        </w:rPr>
        <w:t>Modeling</w:t>
      </w:r>
      <w:r w:rsidR="00CE1E69" w:rsidRPr="00DD0C44">
        <w:rPr>
          <w:b/>
        </w:rPr>
        <w:t xml:space="preserve"> Study</w:t>
      </w:r>
    </w:p>
    <w:p w14:paraId="3C7B27F9" w14:textId="77777777" w:rsidR="008D33C4" w:rsidRPr="00DD0C44" w:rsidRDefault="008D33C4" w:rsidP="008D33C4">
      <w:pPr>
        <w:pStyle w:val="NormalIndent"/>
      </w:pPr>
    </w:p>
    <w:p w14:paraId="5BB94ABB" w14:textId="77777777" w:rsidR="008D33C4" w:rsidRPr="00DD0C44" w:rsidRDefault="008D33C4" w:rsidP="008D33C4">
      <w:pPr>
        <w:rPr>
          <w:b/>
          <w:snapToGrid/>
        </w:rPr>
      </w:pPr>
      <w:r w:rsidRPr="00DD0C44">
        <w:rPr>
          <w:b/>
          <w:snapToGrid/>
        </w:rPr>
        <w:t xml:space="preserve">Authors: </w:t>
      </w:r>
    </w:p>
    <w:p w14:paraId="6E74C883" w14:textId="2E995550" w:rsidR="008D33C4" w:rsidRPr="00DD0C44" w:rsidRDefault="008D33C4" w:rsidP="008D33C4">
      <w:proofErr w:type="spellStart"/>
      <w:r w:rsidRPr="00DD0C44">
        <w:t>Parastu</w:t>
      </w:r>
      <w:proofErr w:type="spellEnd"/>
      <w:r w:rsidRPr="00DD0C44">
        <w:t xml:space="preserve"> KASAIE, Jeff PENNINGTON, </w:t>
      </w:r>
      <w:proofErr w:type="spellStart"/>
      <w:r w:rsidR="00864575" w:rsidRPr="00DD0C44">
        <w:t>Maunank</w:t>
      </w:r>
      <w:proofErr w:type="spellEnd"/>
      <w:r w:rsidR="00864575" w:rsidRPr="00DD0C44">
        <w:t xml:space="preserve"> S. SHAH, </w:t>
      </w:r>
      <w:r w:rsidRPr="00DD0C44">
        <w:t xml:space="preserve">Stephen A. BERRY, Danielle GERMAN, Colin P. FLYNN, Chris BEYRER, and David W. DOWDY </w:t>
      </w:r>
    </w:p>
    <w:p w14:paraId="21B5D1C4" w14:textId="26170560" w:rsidR="008D33C4" w:rsidRPr="00DD0C44" w:rsidRDefault="008D33C4" w:rsidP="00E85DC8">
      <w:pPr>
        <w:pStyle w:val="Title"/>
        <w:jc w:val="left"/>
        <w:rPr>
          <w:rStyle w:val="Strong"/>
          <w:sz w:val="40"/>
        </w:rPr>
      </w:pPr>
      <w:r w:rsidRPr="00DD0C44">
        <w:rPr>
          <w:rStyle w:val="Strong"/>
          <w:sz w:val="40"/>
        </w:rPr>
        <w:br w:type="page"/>
      </w:r>
    </w:p>
    <w:p w14:paraId="5DE9B3B0" w14:textId="5C0DEB7D" w:rsidR="00E85DC8" w:rsidRPr="00DD0C44" w:rsidRDefault="00E85DC8" w:rsidP="00E85DC8">
      <w:pPr>
        <w:pStyle w:val="Heading1"/>
        <w:numPr>
          <w:ilvl w:val="0"/>
          <w:numId w:val="9"/>
        </w:numPr>
      </w:pPr>
      <w:r w:rsidRPr="00DD0C44">
        <w:lastRenderedPageBreak/>
        <w:t>HIV simualtion model</w:t>
      </w:r>
      <w:r w:rsidR="00D56DB2" w:rsidRPr="00DD0C44">
        <w:t xml:space="preserve"> </w:t>
      </w:r>
    </w:p>
    <w:p w14:paraId="699F6244" w14:textId="4CE60990" w:rsidR="008F6970" w:rsidRPr="00DD0C44" w:rsidRDefault="00C0102B" w:rsidP="00E85DC8">
      <w:pPr>
        <w:pStyle w:val="Heading2"/>
        <w:numPr>
          <w:ilvl w:val="1"/>
          <w:numId w:val="8"/>
        </w:numPr>
      </w:pPr>
      <w:r w:rsidRPr="00DD0C44">
        <w:t>Model D</w:t>
      </w:r>
      <w:r w:rsidR="00E85DC8" w:rsidRPr="00DD0C44">
        <w:t>esign</w:t>
      </w:r>
    </w:p>
    <w:p w14:paraId="2289CA29" w14:textId="77777777" w:rsidR="008F6970" w:rsidRPr="00DD0C44" w:rsidRDefault="008F6970" w:rsidP="008F6970">
      <w:r w:rsidRPr="00DD0C44">
        <w:t>Our agent-based simulation model of the HIV epidemic among MSM in Baltimore City is structured as a collection of different modules that govern various aspects of population demographics, partnerships, HIV natural history and cascade of care. Each “agent” represents a single MSM in Baltimore City, characterized by his age, race, and place of residence, and the model is evaluated in a series of one-week time steps. The natural history module characterizes the progression of HIV among infected individuals according to disease stage (acute, early, and late). Each stage is associated with a different per-act risk of HIV transmission, and progression from early to late disease can be prevented (and/or reversed) by provision of ART. The continuum of care module estimates individuals’ probabilities of HIV testing, linkage to care, disengagement/re-engagement, and ART provision/viral suppression at each time step.  The sexual network and transmission module create and modify the population’s sexual networks (as a series of stable and casual partnerships) at each step, modeling HIV transmission as a per-act probability among serodiscordant partnerships according to frequency and safety of sex act, HIV stage of the infected partner, and ART/PrEP use. Sexual partnerships are modeled as assortative according to age, race, and location of residence. Finally, the demographic module accounts for aging, death, and birth processes.</w:t>
      </w:r>
    </w:p>
    <w:p w14:paraId="1B1D3940" w14:textId="424ECFD5" w:rsidR="008F6970" w:rsidRPr="00DD0C44" w:rsidRDefault="008F6970" w:rsidP="00C0102B">
      <w:pPr>
        <w:pStyle w:val="Heading2"/>
      </w:pPr>
      <w:r w:rsidRPr="00DD0C44">
        <w:t>Demogr</w:t>
      </w:r>
      <w:r w:rsidR="00C0102B" w:rsidRPr="00DD0C44">
        <w:t>aphic Module</w:t>
      </w:r>
    </w:p>
    <w:p w14:paraId="4B2A0220" w14:textId="2B81E677" w:rsidR="008F6970" w:rsidRPr="00DD0C44" w:rsidRDefault="008F6970" w:rsidP="008F6970">
      <w:pPr>
        <w:rPr>
          <w:snapToGrid/>
        </w:rPr>
      </w:pPr>
      <w:r w:rsidRPr="00DD0C44">
        <w:t xml:space="preserve">This module characterizes the initial population structure and governs various procedures for aging, natural death and birth processes at end of each simulated year. We model the population of MSM in Baltimore city between the ages of 15 to 75. </w:t>
      </w:r>
      <w:r w:rsidRPr="00DD0C44">
        <w:rPr>
          <w:snapToGrid/>
        </w:rPr>
        <w:t xml:space="preserve">The population is structured as a collection of population-groups corresponding to Baltimore’s Community Statistical Areas (CSA) </w:t>
      </w:r>
      <w:r w:rsidRPr="00DD0C44">
        <w:rPr>
          <w:snapToGrid/>
        </w:rPr>
        <w:fldChar w:fldCharType="begin" w:fldLock="1"/>
      </w:r>
      <w:r w:rsidR="005F57B1" w:rsidRPr="00DD0C44">
        <w:rPr>
          <w:snapToGrid/>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"noteIndex" : 0 }, "schema" : "https://github.com/citation-style-language/schema/raw/master/csl-citation.json" }</w:instrText>
      </w:r>
      <w:r w:rsidRPr="00DD0C44">
        <w:rPr>
          <w:snapToGrid/>
        </w:rPr>
        <w:fldChar w:fldCharType="separate"/>
      </w:r>
      <w:r w:rsidR="005F57B1" w:rsidRPr="00DD0C44">
        <w:rPr>
          <w:noProof/>
          <w:snapToGrid/>
        </w:rPr>
        <w:t>[1]</w:t>
      </w:r>
      <w:r w:rsidRPr="00DD0C44">
        <w:rPr>
          <w:snapToGrid/>
        </w:rPr>
        <w:fldChar w:fldCharType="end"/>
      </w:r>
      <w:r w:rsidRPr="00DD0C44">
        <w:rPr>
          <w:snapToGrid/>
        </w:rPr>
        <w:t xml:space="preserve">. CSAs are clusters of neighborhoods and are organized around census tract boundaries, which are consistent statistical boundaries. In some </w:t>
      </w:r>
      <w:r w:rsidR="00AA1A46" w:rsidRPr="00DD0C44">
        <w:rPr>
          <w:snapToGrid/>
        </w:rPr>
        <w:t xml:space="preserve">cases, CSA boundaries may cross </w:t>
      </w:r>
      <w:r w:rsidRPr="00DD0C44">
        <w:rPr>
          <w:snapToGrid/>
        </w:rPr>
        <w:t>neighborhood boundaries. There are 55 CSAs in Baltimore City. Neighborhood lines often do not fall along CSA boundaries, but CSAs are representations of the conditions occurring within those particular neighborhoods. Simulated population-groups are characterized with regard to their geographical location (CSA of residence) and racial structure (</w:t>
      </w:r>
      <w:r w:rsidRPr="00DD0C44">
        <w:t>Caucasian white and African-American black)</w:t>
      </w:r>
      <w:r w:rsidRPr="00DD0C44">
        <w:rPr>
          <w:snapToGrid/>
        </w:rPr>
        <w:t xml:space="preserve">. We exclude the spatial distribution of individuals within each CSA, and the geographical assignments are made via the corresponding CSAs’ center’s coordinate on the map. Initial HIV distribution across CSAs is estimated according to available data from Maryland’s department of health and mental hygiene (MDHMH) </w:t>
      </w:r>
      <w:r w:rsidRPr="00DD0C44">
        <w:rPr>
          <w:snapToGrid/>
        </w:rPr>
        <w:fldChar w:fldCharType="begin" w:fldLock="1"/>
      </w:r>
      <w:r w:rsidR="00A25AEE" w:rsidRPr="00DD0C44">
        <w:rPr>
          <w:snapToGrid/>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snapToGrid/>
        </w:rPr>
        <w:fldChar w:fldCharType="separate"/>
      </w:r>
      <w:r w:rsidR="005F57B1" w:rsidRPr="00DD0C44">
        <w:rPr>
          <w:noProof/>
          <w:snapToGrid/>
        </w:rPr>
        <w:t>[2]</w:t>
      </w:r>
      <w:r w:rsidRPr="00DD0C44">
        <w:rPr>
          <w:snapToGrid/>
        </w:rPr>
        <w:fldChar w:fldCharType="end"/>
      </w:r>
      <w:r w:rsidRPr="00DD0C44">
        <w:rPr>
          <w:snapToGrid/>
        </w:rPr>
        <w:t>.</w:t>
      </w:r>
    </w:p>
    <w:p w14:paraId="25A0501B" w14:textId="77777777" w:rsidR="008F6970" w:rsidRPr="00DD0C44" w:rsidRDefault="008F6970" w:rsidP="008F6970">
      <w:pPr>
        <w:pStyle w:val="NormalIndent"/>
        <w:ind w:left="0"/>
      </w:pPr>
      <w:r w:rsidRPr="00DD0C44">
        <w:t xml:space="preserve">Individuals age with the simulation clock (years) and exit the model according to an age-specific natural mortality rate </w:t>
      </w:r>
      <w:r w:rsidRPr="00DD0C44">
        <w:rPr>
          <w:rFonts w:eastAsia="Times New Roman"/>
          <w:snapToGrid/>
          <w:color w:val="000000"/>
          <w:szCs w:val="16"/>
        </w:rPr>
        <w:fldChar w:fldCharType="begin" w:fldLock="1"/>
      </w:r>
      <w:r w:rsidR="005F57B1" w:rsidRPr="00DD0C44">
        <w:rPr>
          <w:rFonts w:eastAsia="Times New Roman"/>
          <w:snapToGrid/>
          <w:color w:val="000000"/>
          <w:szCs w:val="16"/>
        </w:rPr>
        <w:instrText>ADDIN CSL_CITATION { "citationItems" : [ { "id" : "ITEM-1", "itemData" : { "URL" : "http://apps.who.int/gho/data/view.main.61780?lang=en", "author" : [ { "dropping-particle" : "", "family" : "World Health Organization", "given" : "", "non-dropping-particle" : "", "parse-names" : false, "suffix" : "" } ], "container-title" : "Global Health Observatory Data Repository", "id" : "ITEM-1", "issued" : { "date-parts" : [ [ "2013" ] ] }, "title" : "Life tables by country United States of America", "type" : "webpage" }, "uris" : [ "http://www.mendeley.com/documents/?uuid=297d65f5-4381-4820-b15c-026094c274e8" ] } ], "mendeley" : { "formattedCitation" : "[3]", "plainTextFormattedCitation" : "[3]", "previouslyFormattedCitation" : "[3]" }, "properties" : { "noteIndex" : 0 }, "schema" : "https://github.com/citation-style-language/schema/raw/master/csl-citation.json" }</w:instrText>
      </w:r>
      <w:r w:rsidRPr="00DD0C44">
        <w:rPr>
          <w:rFonts w:eastAsia="Times New Roman"/>
          <w:snapToGrid/>
          <w:color w:val="000000"/>
          <w:szCs w:val="16"/>
        </w:rPr>
        <w:fldChar w:fldCharType="separate"/>
      </w:r>
      <w:r w:rsidR="005F57B1" w:rsidRPr="00DD0C44">
        <w:rPr>
          <w:rFonts w:eastAsia="Times New Roman"/>
          <w:noProof/>
          <w:snapToGrid/>
          <w:color w:val="000000"/>
          <w:szCs w:val="16"/>
        </w:rPr>
        <w:t>[3]</w:t>
      </w:r>
      <w:r w:rsidRPr="00DD0C44">
        <w:rPr>
          <w:rFonts w:eastAsia="Times New Roman"/>
          <w:snapToGrid/>
          <w:color w:val="000000"/>
          <w:szCs w:val="16"/>
        </w:rPr>
        <w:fldChar w:fldCharType="end"/>
      </w:r>
      <w:r w:rsidRPr="00DD0C44">
        <w:rPr>
          <w:rFonts w:eastAsia="Times New Roman"/>
          <w:snapToGrid/>
          <w:color w:val="000000"/>
          <w:szCs w:val="16"/>
        </w:rPr>
        <w:t xml:space="preserve">, </w:t>
      </w:r>
      <w:r w:rsidRPr="00DD0C44">
        <w:t xml:space="preserve">or by reaching the age of 75, or via additional mortality rate associated with HIV infection. In order to maintain the initial population decomposition without disturbing the CSA structures, we model a natural birth process at the CSA level for replenishing the population size over time. The birth process is modeled via a non-stationary Poisson process tuned to maintain the CSA’s population at a constant mean over time. Newborns enter the MSM population at age of 15 to 20 years old, and follow the corresponding racial-structure of the CSA of residence. </w:t>
      </w:r>
    </w:p>
    <w:p w14:paraId="623EA934" w14:textId="6CB7DB63" w:rsidR="008F6970" w:rsidRPr="00DD0C44" w:rsidRDefault="008D567C" w:rsidP="00923A2A">
      <w:pPr>
        <w:rPr>
          <w:snapToGrid/>
        </w:rPr>
      </w:pPr>
      <w:r w:rsidRPr="00DD0C44">
        <w:rPr>
          <w:rStyle w:val="Heading3Char"/>
        </w:rPr>
        <w:t>Determining the population s</w:t>
      </w:r>
      <w:r w:rsidR="00C0102B" w:rsidRPr="00DD0C44">
        <w:rPr>
          <w:rStyle w:val="Heading3Char"/>
        </w:rPr>
        <w:t>ize</w:t>
      </w:r>
      <w:r w:rsidR="005E3A44" w:rsidRPr="00DD0C44">
        <w:rPr>
          <w:rStyle w:val="Heading3Char"/>
        </w:rPr>
        <w:t>:</w:t>
      </w:r>
      <w:r w:rsidR="005E3A44" w:rsidRPr="00DD0C44">
        <w:rPr>
          <w:b/>
        </w:rPr>
        <w:t xml:space="preserve"> </w:t>
      </w:r>
      <w:r w:rsidR="008F6970" w:rsidRPr="00DD0C44">
        <w:rPr>
          <w:snapToGrid/>
        </w:rPr>
        <w:t>While U.S. census data currently allow the Centers for Disease Control and Prevention (CDC) to calculate</w:t>
      </w:r>
      <w:r w:rsidR="00527129" w:rsidRPr="00DD0C44">
        <w:rPr>
          <w:snapToGrid/>
        </w:rPr>
        <w:t xml:space="preserve"> </w:t>
      </w:r>
      <w:r w:rsidR="008F6970" w:rsidRPr="00DD0C44">
        <w:rPr>
          <w:snapToGrid/>
        </w:rPr>
        <w:t xml:space="preserve">disease rates by age, sex at </w:t>
      </w:r>
      <w:r w:rsidR="00722CA9" w:rsidRPr="00DD0C44">
        <w:rPr>
          <w:snapToGrid/>
        </w:rPr>
        <w:t>birth, and racial/ethnic groups</w:t>
      </w:r>
      <w:r w:rsidR="008F6970" w:rsidRPr="00DD0C44">
        <w:rPr>
          <w:snapToGrid/>
        </w:rPr>
        <w:t xml:space="preserve">, there are no census data for the number of MSM in the United States </w:t>
      </w:r>
      <w:r w:rsidR="008F6970" w:rsidRPr="00DD0C44">
        <w:rPr>
          <w:snapToGrid/>
        </w:rPr>
        <w:fldChar w:fldCharType="begin" w:fldLock="1"/>
      </w:r>
      <w:r w:rsidR="00A25AEE" w:rsidRPr="00DD0C44">
        <w:rPr>
          <w:snapToGrid/>
        </w:rPr>
        <w:instrText>ADDIN CSL_CITATION { "citationItems" : [ { "id" : "ITEM-1", "itemData" : { "DOI" : "10.2174/1874613601206010098", "ISSN" : "1874-6136", "PMID" : "23049658", "author" : [ { "dropping-particle" : "", "family" : "Purcell", "given" : "David W", "non-dropping-particle" : "", "parse-names" : false, "suffix" : "" }, { "dropping-particle" : "", "family" : "Johnson", "given" : "Christopher H", "non-dropping-particle" : "", "parse-names" : false, "suffix" : "" }, { "dropping-particle" : "", "family" : "Lansky", "given" : "Amy", "non-dropping-particle" : "", "parse-names" : false, "suffix" : "" }, { "dropping-particle" : "", "family" : "Prejean", "given" : "Joseph", "non-dropping-particle" : "", "parse-names" : false, "suffix" : "" }, { "dropping-particle" : "", "family" : "Stein", "given" : "Renee", "non-dropping-particle" : "", "parse-names" : false, "suffix" : "" }, { "dropping-particle" : "", "family" : "Denning", "given" : "Paul", "non-dropping-particle" : "", "parse-names" : false, "suffix" : "" }, { "dropping-particle" : "", "family" : "Gau", "given" : "Zaneta", "non-dropping-particle" : "", "parse-names" : false, "suffix" : "" }, { "dropping-particle" : "", "family" : "Weinstock", "given" : "Hillard", "non-dropping-particle" : "", "parse-names" : false, "suffix" : "" }, { "dropping-particle" : "", "family" : "Su", "given" : "John", "non-dropping-particle" : "", "parse-names" : false, "suffix" : "" }, { "dropping-particle" : "", "family" : "Crepaz", "given" : "Nicole", "non-dropping-particle" : "", "parse-names" : false, "suffix" : "" } ], "container-title" : "The open AIDS journal", "id" : "ITEM-1", "issued" : { "date-parts" : [ [ "2012" ] ] }, "page" : "98-107", "title" : "Estimating the population size of men who have sex with men in the United States to obtain HIV and syphilis rates.", "type" : "article-journal", "volume" : "6" }, "uris" : [ "http://www.mendeley.com/documents/?uuid=94c9c9b7-580f-4689-b73e-d7a5738a4a6f" ] } ], "mendeley" : { "formattedCitation" : "[4]", "plainTextFormattedCitation" : "[4]", "previouslyFormattedCitation" : "[4]" }, "properties" : { "noteIndex" : 0 }, "schema" : "https://github.com/citation-style-language/schema/raw/master/csl-citation.json" }</w:instrText>
      </w:r>
      <w:r w:rsidR="008F6970" w:rsidRPr="00DD0C44">
        <w:rPr>
          <w:snapToGrid/>
        </w:rPr>
        <w:fldChar w:fldCharType="separate"/>
      </w:r>
      <w:r w:rsidR="005F57B1" w:rsidRPr="00DD0C44">
        <w:rPr>
          <w:noProof/>
          <w:snapToGrid/>
        </w:rPr>
        <w:t>[4]</w:t>
      </w:r>
      <w:r w:rsidR="008F6970" w:rsidRPr="00DD0C44">
        <w:rPr>
          <w:snapToGrid/>
        </w:rPr>
        <w:fldChar w:fldCharType="end"/>
      </w:r>
      <w:r w:rsidR="008F6970" w:rsidRPr="00DD0C44">
        <w:rPr>
          <w:snapToGrid/>
        </w:rPr>
        <w:t xml:space="preserve">. Initial research by Kinsey and his colleagues suggested that approximately 10% of U.S. men are gay or bisexual </w:t>
      </w:r>
      <w:r w:rsidR="008F6970" w:rsidRPr="00DD0C44">
        <w:rPr>
          <w:snapToGrid/>
        </w:rPr>
        <w:fldChar w:fldCharType="begin" w:fldLock="1"/>
      </w:r>
      <w:r w:rsidR="005F57B1" w:rsidRPr="00DD0C44">
        <w:rPr>
          <w:snapToGrid/>
        </w:rPr>
        <w:instrText>ADDIN CSL_CITATION { "citationItems" : [ { "id" : "ITEM-1", "itemData" : { "author" : [ { "dropping-particle" : "", "family" : "AC", "given" : "Kinsey", "non-dropping-particle" : "", "parse-names" : false, "suffix" : "" }, { "dropping-particle" : "", "family" : "WB", "given" : "Pomeroy", "non-dropping-particle" : "", "parse-names" : false, "suffix" : "" }, { "dropping-particle" : "", "family" : "CD.", "given" : "Martin", "non-dropping-particle" : "", "parse-names" : false, "suffix" : "" } ], "id" : "ITEM-1", "issued" : { "date-parts" : [ [ "1948" ] ] }, "publisher-place" : "Philadelphia: W. B. Saunders", "title" : "Sexual behavior in the human male.", "type" : "book" }, "uris" : [ "http://www.mendeley.com/documents/?uuid=c02b4353-09f5-4916-9d40-6b923d258d5c" ] } ], "mendeley" : { "formattedCitation" : "[5]", "plainTextFormattedCitation" : "[5]", "previouslyFormattedCitation" : "[5]" }, "properties" : { "noteIndex" : 0 }, "schema" : "https://github.com/citation-style-language/schema/raw/master/csl-citation.json" }</w:instrText>
      </w:r>
      <w:r w:rsidR="008F6970" w:rsidRPr="00DD0C44">
        <w:rPr>
          <w:snapToGrid/>
        </w:rPr>
        <w:fldChar w:fldCharType="separate"/>
      </w:r>
      <w:r w:rsidR="005F57B1" w:rsidRPr="00DD0C44">
        <w:rPr>
          <w:noProof/>
          <w:snapToGrid/>
        </w:rPr>
        <w:t>[5]</w:t>
      </w:r>
      <w:r w:rsidR="008F6970" w:rsidRPr="00DD0C44">
        <w:rPr>
          <w:snapToGrid/>
        </w:rPr>
        <w:fldChar w:fldCharType="end"/>
      </w:r>
      <w:r w:rsidR="008F6970" w:rsidRPr="00DD0C44">
        <w:rPr>
          <w:snapToGrid/>
        </w:rPr>
        <w:t xml:space="preserve">, but the estimates were lowered by half in later reviews </w:t>
      </w:r>
      <w:r w:rsidR="008F6970" w:rsidRPr="00DD0C44">
        <w:rPr>
          <w:snapToGrid/>
        </w:rPr>
        <w:fldChar w:fldCharType="begin" w:fldLock="1"/>
      </w:r>
      <w:r w:rsidR="005F57B1" w:rsidRPr="00DD0C44">
        <w:rPr>
          <w:snapToGrid/>
        </w:rPr>
        <w:instrText>ADDIN CSL_CITATION { "citationItems" : [ { "id" : "ITEM-1", "itemData" : { "author" : [ { "dropping-particle" : "", "family" : "Diamond", "given" : "Milton", "non-dropping-particle" : "", "parse-names" : false, "suffix" : "" } ], "container-title" : "Archives of sexual behavior", "id" : "ITEM-1", "issue" : "4", "issued" : { "date-parts" : [ [ "1993" ] ] }, "page" : "291-310", "title" : "Homosexuality and bisexuality in different populations", "type" : "article-journal", "volume" : "22" }, "uris" : [ "http://www.mendeley.com/documents/?uuid=d96c57fc-a223-46b7-9798-d043e0f3e905" ] } ], "mendeley" : { "formattedCitation" : "[6]", "plainTextFormattedCitation" : "[6]", "previouslyFormattedCitation" : "[6]" }, "properties" : { "noteIndex" : 0 }, "schema" : "https://github.com/citation-style-language/schema/raw/master/csl-citation.json" }</w:instrText>
      </w:r>
      <w:r w:rsidR="008F6970" w:rsidRPr="00DD0C44">
        <w:rPr>
          <w:snapToGrid/>
        </w:rPr>
        <w:fldChar w:fldCharType="separate"/>
      </w:r>
      <w:r w:rsidR="005F57B1" w:rsidRPr="00DD0C44">
        <w:rPr>
          <w:noProof/>
          <w:snapToGrid/>
        </w:rPr>
        <w:t>[6]</w:t>
      </w:r>
      <w:r w:rsidR="008F6970" w:rsidRPr="00DD0C44">
        <w:rPr>
          <w:snapToGrid/>
        </w:rPr>
        <w:fldChar w:fldCharType="end"/>
      </w:r>
      <w:r w:rsidR="008F6970" w:rsidRPr="00DD0C44">
        <w:rPr>
          <w:snapToGrid/>
        </w:rPr>
        <w:t xml:space="preserve">. Addition of questions about same-sex household to U.S census in 1990, did not provide a national estimate of the MSM population given exclusion of those who are </w:t>
      </w:r>
      <w:r w:rsidR="008F6970" w:rsidRPr="00DD0C44">
        <w:rPr>
          <w:snapToGrid/>
        </w:rPr>
        <w:lastRenderedPageBreak/>
        <w:t xml:space="preserve">not partnered </w:t>
      </w:r>
      <w:r w:rsidR="008F6970" w:rsidRPr="00DD0C44">
        <w:rPr>
          <w:snapToGrid/>
        </w:rPr>
        <w:fldChar w:fldCharType="begin" w:fldLock="1"/>
      </w:r>
      <w:r w:rsidR="005F57B1" w:rsidRPr="00DD0C44">
        <w:rPr>
          <w:snapToGrid/>
        </w:rPr>
        <w:instrText>ADDIN CSL_CITATION { "citationItems" : [ { "id" : "ITEM-1", "itemData" : { "author" : [ { "dropping-particle" : "", "family" : "Black", "given" : "Dan", "non-dropping-particle" : "", "parse-names" : false, "suffix" : "" }, { "dropping-particle" : "", "family" : "Gates", "given" : "Gary", "non-dropping-particle" : "", "parse-names" : false, "suffix" : "" }, { "dropping-particle" : "", "family" : "Sanders", "given" : "Seth", "non-dropping-particle" : "", "parse-names" : false, "suffix" : "" }, { "dropping-particle" : "", "family" : "Taylor", "given" : "Lowell", "non-dropping-particle" : "", "parse-names" : false, "suffix" : "" } ], "container-title" : "Demography", "id" : "ITEM-1", "issue" : "2", "issued" : { "date-parts" : [ [ "2000" ] ] }, "page" : "139-154", "title" : "Demographics of the gay and lesbian population in the United States: Evidence from available systematic data sources.\"", "type" : "article-journal", "volume" : "37" }, "uris" : [ "http://www.mendeley.com/documents/?uuid=3da15d67-43ea-432d-ba0d-eb74e28c34c3" ] } ], "mendeley" : { "formattedCitation" : "[7]", "plainTextFormattedCitation" : "[7]", "previouslyFormattedCitation" : "[7]" }, "properties" : { "noteIndex" : 0 }, "schema" : "https://github.com/citation-style-language/schema/raw/master/csl-citation.json" }</w:instrText>
      </w:r>
      <w:r w:rsidR="008F6970" w:rsidRPr="00DD0C44">
        <w:rPr>
          <w:snapToGrid/>
        </w:rPr>
        <w:fldChar w:fldCharType="separate"/>
      </w:r>
      <w:r w:rsidR="005F57B1" w:rsidRPr="00DD0C44">
        <w:rPr>
          <w:noProof/>
          <w:snapToGrid/>
        </w:rPr>
        <w:t>[7]</w:t>
      </w:r>
      <w:r w:rsidR="008F6970" w:rsidRPr="00DD0C44">
        <w:rPr>
          <w:snapToGrid/>
        </w:rPr>
        <w:fldChar w:fldCharType="end"/>
      </w:r>
      <w:r w:rsidR="008F6970" w:rsidRPr="00DD0C44">
        <w:rPr>
          <w:snapToGrid/>
        </w:rPr>
        <w:t xml:space="preserve">. </w:t>
      </w:r>
      <w:proofErr w:type="spellStart"/>
      <w:r w:rsidR="008F6970" w:rsidRPr="00DD0C44">
        <w:rPr>
          <w:snapToGrid/>
        </w:rPr>
        <w:t>Lieb</w:t>
      </w:r>
      <w:proofErr w:type="spellEnd"/>
      <w:r w:rsidR="008F6970" w:rsidRPr="00DD0C44">
        <w:rPr>
          <w:snapToGrid/>
        </w:rPr>
        <w:t xml:space="preserve"> and his colleagues summarized a wide variety of methods that have been used to estimate the size of the MSM population in specific cities, states, or for the whole United States </w:t>
      </w:r>
      <w:r w:rsidR="008F6970" w:rsidRPr="00DD0C44">
        <w:rPr>
          <w:i/>
          <w:snapToGrid/>
        </w:rPr>
        <w:fldChar w:fldCharType="begin" w:fldLock="1"/>
      </w:r>
      <w:r w:rsidR="005F57B1" w:rsidRPr="00DD0C44">
        <w:rPr>
          <w:i/>
          <w:snapToGrid/>
        </w:rPr>
        <w:instrText>ADDIN CSL_CITATION { "citationItems" : [ { "id" : "ITEM-1", "itemData" : { "author" : [ { "dropping-particle" : "", "family" : "Lieb", "given" : "S.", "non-dropping-particle" : "", "parse-names" : false, "suffix" : "" }, { "dropping-particle" : "", "family" : "Fallon", "given" : "S. J.", "non-dropping-particle" : "", "parse-names" : false, "suffix" : "" }, { "dropping-particle" : "", "family" : "Friedman", "given" : "S. R.", "non-dropping-particle" : "", "parse-names" : false, "suffix" : "" }, { "dropping-particle" : "", "family" : "Thompson", "given" : "D. R.", "non-dropping-particle" : "", "parse-names" : false, "suffix" : "" }, { "dropping-particle" : "", "family" : "Gates", "given" : "G. J.", "non-dropping-particle" : "", "parse-names" : false, "suffix" : "" }, { "dropping-particle" : "", "family" : "Liberti", "given" : "T. M.", "non-dropping-particle" : "", "parse-names" : false, "suffix" : "" }, { "dropping-particle" : "", "family" : "Malow", "given" : "R. M.", "non-dropping-particle" : "", "parse-names" : false, "suffix" : "" } ], "container-title" : "Public Health Reports", "id" : "ITEM-1", "issue" : "1", "issued" : { "date-parts" : [ [ "2011" ] ] }, "page" : "60-72", "title" : "Statewide Estimation of Racial/Ethnic Populations of Men Who Have Sex with Men in the U.S.", "type" : "article-journal", "volume" : "126" }, "uris" : [ "http://www.mendeley.com/documents/?uuid=97507edb-4624-4766-bfc2-02a1776ab8f4" ] } ], "mendeley" : { "formattedCitation" : "[8]", "plainTextFormattedCitation" : "[8]", "previouslyFormattedCitation" : "[8]" }, "properties" : { "noteIndex" : 0 }, "schema" : "https://github.com/citation-style-language/schema/raw/master/csl-citation.json" }</w:instrText>
      </w:r>
      <w:r w:rsidR="008F6970" w:rsidRPr="00DD0C44">
        <w:rPr>
          <w:i/>
          <w:snapToGrid/>
        </w:rPr>
        <w:fldChar w:fldCharType="separate"/>
      </w:r>
      <w:r w:rsidR="005F57B1" w:rsidRPr="00DD0C44">
        <w:rPr>
          <w:noProof/>
          <w:snapToGrid/>
        </w:rPr>
        <w:t>[8]</w:t>
      </w:r>
      <w:r w:rsidR="008F6970" w:rsidRPr="00DD0C44">
        <w:rPr>
          <w:i/>
          <w:snapToGrid/>
        </w:rPr>
        <w:fldChar w:fldCharType="end"/>
      </w:r>
      <w:r w:rsidR="008F6970" w:rsidRPr="00DD0C44">
        <w:rPr>
          <w:i/>
          <w:snapToGrid/>
        </w:rPr>
        <w:t>.</w:t>
      </w:r>
    </w:p>
    <w:p w14:paraId="18EE2681" w14:textId="68FFCA44" w:rsidR="008F6970" w:rsidRPr="00DD0C44" w:rsidRDefault="00527129" w:rsidP="008F6970">
      <w:r w:rsidRPr="00DD0C44">
        <w:rPr>
          <w:snapToGrid/>
          <w:sz w:val="20"/>
        </w:rPr>
        <w:t>U</w:t>
      </w:r>
      <w:r w:rsidR="008F6970" w:rsidRPr="00DD0C44">
        <w:t xml:space="preserve">sing the current estimate of Baltimore city male population (~287000) who are 15 year or older in age (~232000), and estimated percentage of adult MSMs in each racial group as provide by </w:t>
      </w:r>
      <w:proofErr w:type="spellStart"/>
      <w:r w:rsidR="008F6970" w:rsidRPr="00DD0C44">
        <w:t>Lieb</w:t>
      </w:r>
      <w:proofErr w:type="spellEnd"/>
      <w:r w:rsidR="008F6970" w:rsidRPr="00DD0C44">
        <w:t xml:space="preserve"> et al (7.5% of white males and 5.8% of black males </w:t>
      </w:r>
      <w:r w:rsidR="008F6970" w:rsidRPr="00DD0C44">
        <w:fldChar w:fldCharType="begin" w:fldLock="1"/>
      </w:r>
      <w:r w:rsidR="005F57B1" w:rsidRPr="00DD0C44">
        <w:instrText>ADDIN CSL_CITATION { "citationItems" : [ { "id" : "ITEM-1", "itemData" : { "author" : [ { "dropping-particle" : "", "family" : "Lieb", "given" : "S.", "non-dropping-particle" : "", "parse-names" : false, "suffix" : "" }, { "dropping-particle" : "", "family" : "Fallon", "given" : "S. J.", "non-dropping-particle" : "", "parse-names" : false, "suffix" : "" }, { "dropping-particle" : "", "family" : "Friedman", "given" : "S. R.", "non-dropping-particle" : "", "parse-names" : false, "suffix" : "" }, { "dropping-particle" : "", "family" : "Thompson", "given" : "D. R.", "non-dropping-particle" : "", "parse-names" : false, "suffix" : "" }, { "dropping-particle" : "", "family" : "Gates", "given" : "G. J.", "non-dropping-particle" : "", "parse-names" : false, "suffix" : "" }, { "dropping-particle" : "", "family" : "Liberti", "given" : "T. M.", "non-dropping-particle" : "", "parse-names" : false, "suffix" : "" }, { "dropping-particle" : "", "family" : "Malow", "given" : "R. M.", "non-dropping-particle" : "", "parse-names" : false, "suffix" : "" } ], "container-title" : "Public Health Reports", "id" : "ITEM-1", "issue" : "1", "issued" : { "date-parts" : [ [ "2011" ] ] }, "page" : "60-72", "title" : "Statewide Estimation of Racial/Ethnic Populations of Men Who Have Sex with Men in the U.S.", "type" : "article-journal", "volume" : "126" }, "uris" : [ "http://www.mendeley.com/documents/?uuid=97507edb-4624-4766-bfc2-02a1776ab8f4" ] } ], "mendeley" : { "formattedCitation" : "[8]", "plainTextFormattedCitation" : "[8]", "previouslyFormattedCitation" : "[8]" }, "properties" : { "noteIndex" : 0 }, "schema" : "https://github.com/citation-style-language/schema/raw/master/csl-citation.json" }</w:instrText>
      </w:r>
      <w:r w:rsidR="008F6970" w:rsidRPr="00DD0C44">
        <w:fldChar w:fldCharType="separate"/>
      </w:r>
      <w:r w:rsidR="005F57B1" w:rsidRPr="00DD0C44">
        <w:rPr>
          <w:noProof/>
        </w:rPr>
        <w:t>[8]</w:t>
      </w:r>
      <w:r w:rsidR="008F6970" w:rsidRPr="00DD0C44">
        <w:fldChar w:fldCharType="end"/>
      </w:r>
      <w:r w:rsidR="008F6970" w:rsidRPr="00DD0C44">
        <w:t xml:space="preserve">), we estimate the size of Baltimore’s MSM population at approximately ~15000 men in Baltimore city. </w:t>
      </w:r>
    </w:p>
    <w:p w14:paraId="0D56B9FA" w14:textId="10ADFA73" w:rsidR="0062252F" w:rsidRPr="00DD0C44" w:rsidRDefault="00C0102B" w:rsidP="00923A2A">
      <w:pPr>
        <w:rPr>
          <w:rFonts w:cs="Calibri"/>
          <w:snapToGrid/>
          <w:sz w:val="28"/>
          <w:szCs w:val="28"/>
        </w:rPr>
      </w:pPr>
      <w:r w:rsidRPr="00DD0C44">
        <w:rPr>
          <w:b/>
        </w:rPr>
        <w:t>Forming CSA-</w:t>
      </w:r>
      <w:r w:rsidR="008D567C" w:rsidRPr="00DD0C44">
        <w:rPr>
          <w:b/>
        </w:rPr>
        <w:t>g</w:t>
      </w:r>
      <w:r w:rsidRPr="00DD0C44">
        <w:rPr>
          <w:b/>
        </w:rPr>
        <w:t>roups</w:t>
      </w:r>
      <w:r w:rsidR="005E3A44" w:rsidRPr="00DD0C44">
        <w:rPr>
          <w:b/>
        </w:rPr>
        <w:t>:</w:t>
      </w:r>
      <w:r w:rsidR="008D567C" w:rsidRPr="00DD0C44">
        <w:t xml:space="preserve"> </w:t>
      </w:r>
      <w:r w:rsidR="0062252F" w:rsidRPr="00DD0C44">
        <w:rPr>
          <w:snapToGrid/>
        </w:rPr>
        <w:t>To determine the CSA groupings, we first ranked the CSAs accord</w:t>
      </w:r>
      <w:r w:rsidR="00206D26" w:rsidRPr="00DD0C44">
        <w:rPr>
          <w:snapToGrid/>
        </w:rPr>
        <w:t xml:space="preserve">ing to the </w:t>
      </w:r>
      <w:r w:rsidR="004E05AA" w:rsidRPr="00DD0C44">
        <w:rPr>
          <w:snapToGrid/>
        </w:rPr>
        <w:t>median</w:t>
      </w:r>
      <w:r w:rsidR="00206D26" w:rsidRPr="00DD0C44">
        <w:rPr>
          <w:snapToGrid/>
        </w:rPr>
        <w:t xml:space="preserve"> income level</w:t>
      </w:r>
      <w:r w:rsidR="004E05AA" w:rsidRPr="00DD0C44">
        <w:rPr>
          <w:snapToGrid/>
        </w:rPr>
        <w:t xml:space="preserve"> and</w:t>
      </w:r>
      <w:r w:rsidR="00206D26" w:rsidRPr="00DD0C44">
        <w:rPr>
          <w:snapToGrid/>
        </w:rPr>
        <w:t xml:space="preserve"> </w:t>
      </w:r>
      <w:r w:rsidR="0062252F" w:rsidRPr="00DD0C44">
        <w:rPr>
          <w:snapToGrid/>
        </w:rPr>
        <w:t xml:space="preserve">racial makeup based on available information from Baltimore City </w:t>
      </w:r>
      <w:r w:rsidR="004E05AA" w:rsidRPr="00DD0C44">
        <w:rPr>
          <w:snapToGrid/>
        </w:rPr>
        <w:t>census</w:t>
      </w:r>
      <w:r w:rsidR="00206D26" w:rsidRPr="00DD0C44">
        <w:rPr>
          <w:snapToGrid/>
        </w:rPr>
        <w:t xml:space="preserve"> </w:t>
      </w:r>
      <w:r w:rsidR="0062252F" w:rsidRPr="00DD0C44">
        <w:rPr>
          <w:snapToGrid/>
        </w:rPr>
        <w:fldChar w:fldCharType="begin" w:fldLock="1"/>
      </w:r>
      <w:r w:rsidR="00722CA9" w:rsidRPr="00DD0C44">
        <w:rPr>
          <w:snapToGrid/>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"noteIndex" : 0 }, "schema" : "https://github.com/citation-style-language/schema/raw/master/csl-citation.json" }</w:instrText>
      </w:r>
      <w:r w:rsidR="0062252F" w:rsidRPr="00DD0C44">
        <w:rPr>
          <w:snapToGrid/>
        </w:rPr>
        <w:fldChar w:fldCharType="separate"/>
      </w:r>
      <w:r w:rsidR="0062252F" w:rsidRPr="00DD0C44">
        <w:rPr>
          <w:noProof/>
          <w:snapToGrid/>
        </w:rPr>
        <w:t>[1]</w:t>
      </w:r>
      <w:r w:rsidR="0062252F" w:rsidRPr="00DD0C44">
        <w:rPr>
          <w:snapToGrid/>
        </w:rPr>
        <w:fldChar w:fldCharType="end"/>
      </w:r>
      <w:r w:rsidR="0062252F" w:rsidRPr="00DD0C44">
        <w:rPr>
          <w:snapToGrid/>
        </w:rPr>
        <w:t xml:space="preserve">. </w:t>
      </w:r>
      <w:r w:rsidR="00206D26" w:rsidRPr="00DD0C44">
        <w:rPr>
          <w:snapToGrid/>
        </w:rPr>
        <w:t>For simplicity, the levels of income and racial makeup were coded into a value of 1 to 5</w:t>
      </w:r>
      <w:r w:rsidR="004E05AA" w:rsidRPr="00DD0C44">
        <w:rPr>
          <w:snapToGrid/>
        </w:rPr>
        <w:t xml:space="preserve"> (representative of various shades in Figure 1),</w:t>
      </w:r>
      <w:r w:rsidR="00206D26" w:rsidRPr="00DD0C44">
        <w:rPr>
          <w:snapToGrid/>
        </w:rPr>
        <w:t xml:space="preserve"> and two values were assigned to each CSA based on available information from Figure 1</w:t>
      </w:r>
      <w:r w:rsidR="0062252F" w:rsidRPr="00DD0C44">
        <w:rPr>
          <w:snapToGrid/>
        </w:rPr>
        <w:t>.</w:t>
      </w:r>
      <w:r w:rsidR="004E05AA" w:rsidRPr="00DD0C44">
        <w:rPr>
          <w:snapToGrid/>
        </w:rPr>
        <w:t xml:space="preserve"> E.g., CSA “midtown” was assigned a rank of 3 for median household income, and 2 for the racial make up. </w:t>
      </w:r>
      <w:r w:rsidR="00206D26" w:rsidRPr="00DD0C44">
        <w:rPr>
          <w:snapToGrid/>
        </w:rPr>
        <w:t xml:space="preserve">We defined </w:t>
      </w:r>
      <w:r w:rsidR="004E05AA" w:rsidRPr="00DD0C44">
        <w:rPr>
          <w:snapToGrid/>
        </w:rPr>
        <w:t xml:space="preserve">a </w:t>
      </w:r>
      <w:r w:rsidR="00206D26" w:rsidRPr="00DD0C44">
        <w:rPr>
          <w:snapToGrid/>
        </w:rPr>
        <w:t xml:space="preserve">CSA-group to include a number of neighboring CSAs </w:t>
      </w:r>
      <w:r w:rsidR="004E05AA" w:rsidRPr="00DD0C44">
        <w:rPr>
          <w:snapToGrid/>
        </w:rPr>
        <w:t xml:space="preserve">(sharing a border) </w:t>
      </w:r>
      <w:r w:rsidR="00206D26" w:rsidRPr="00DD0C44">
        <w:rPr>
          <w:snapToGrid/>
        </w:rPr>
        <w:t>wi</w:t>
      </w:r>
      <w:r w:rsidR="004E05AA" w:rsidRPr="00DD0C44">
        <w:rPr>
          <w:snapToGrid/>
        </w:rPr>
        <w:t xml:space="preserve">th at most one-level </w:t>
      </w:r>
      <w:r w:rsidR="00206D26" w:rsidRPr="00DD0C44">
        <w:rPr>
          <w:snapToGrid/>
        </w:rPr>
        <w:t>d</w:t>
      </w:r>
      <w:r w:rsidR="004E05AA" w:rsidRPr="00DD0C44">
        <w:rPr>
          <w:snapToGrid/>
        </w:rPr>
        <w:t>ifference in their ranked levels of income and racial makeup</w:t>
      </w:r>
      <w:r w:rsidR="00206D26" w:rsidRPr="00DD0C44">
        <w:rPr>
          <w:snapToGrid/>
        </w:rPr>
        <w:t xml:space="preserve">. </w:t>
      </w:r>
      <w:r w:rsidR="004E05AA" w:rsidRPr="00DD0C44">
        <w:rPr>
          <w:snapToGrid/>
        </w:rPr>
        <w:t xml:space="preserve">In order to determine the CSA-groups </w:t>
      </w:r>
      <w:r w:rsidR="000201F5" w:rsidRPr="00DD0C44">
        <w:rPr>
          <w:snapToGrid/>
        </w:rPr>
        <w:t xml:space="preserve">throughout the city, </w:t>
      </w:r>
      <w:r w:rsidR="00206D26" w:rsidRPr="00DD0C44">
        <w:rPr>
          <w:snapToGrid/>
        </w:rPr>
        <w:t>we implemented a random search mechanism</w:t>
      </w:r>
      <w:r w:rsidR="004E05AA" w:rsidRPr="00DD0C44">
        <w:rPr>
          <w:snapToGrid/>
        </w:rPr>
        <w:t xml:space="preserve"> </w:t>
      </w:r>
      <w:r w:rsidR="000201F5" w:rsidRPr="00DD0C44">
        <w:rPr>
          <w:snapToGrid/>
        </w:rPr>
        <w:t>using</w:t>
      </w:r>
      <w:r w:rsidR="00206D26" w:rsidRPr="00DD0C44">
        <w:rPr>
          <w:snapToGrid/>
        </w:rPr>
        <w:t xml:space="preserve"> a branch and bound logic. </w:t>
      </w:r>
      <w:r w:rsidR="000201F5" w:rsidRPr="00DD0C44">
        <w:rPr>
          <w:snapToGrid/>
        </w:rPr>
        <w:t>The</w:t>
      </w:r>
      <w:r w:rsidR="004E05AA" w:rsidRPr="00DD0C44">
        <w:rPr>
          <w:snapToGrid/>
        </w:rPr>
        <w:t xml:space="preserve"> searc</w:t>
      </w:r>
      <w:r w:rsidR="000201F5" w:rsidRPr="00DD0C44">
        <w:rPr>
          <w:snapToGrid/>
        </w:rPr>
        <w:t>h was started from a random CSA and</w:t>
      </w:r>
      <w:r w:rsidR="004E05AA" w:rsidRPr="00DD0C44">
        <w:rPr>
          <w:snapToGrid/>
        </w:rPr>
        <w:t xml:space="preserve"> b</w:t>
      </w:r>
      <w:r w:rsidR="000201F5" w:rsidRPr="00DD0C44">
        <w:rPr>
          <w:snapToGrid/>
        </w:rPr>
        <w:t>r</w:t>
      </w:r>
      <w:r w:rsidR="004E05AA" w:rsidRPr="00DD0C44">
        <w:rPr>
          <w:snapToGrid/>
        </w:rPr>
        <w:t>anch</w:t>
      </w:r>
      <w:r w:rsidR="000201F5" w:rsidRPr="00DD0C44">
        <w:rPr>
          <w:snapToGrid/>
        </w:rPr>
        <w:t xml:space="preserve">ed through all neighboring CSA to determine the </w:t>
      </w:r>
      <w:r w:rsidR="004E05AA" w:rsidRPr="00DD0C44">
        <w:rPr>
          <w:snapToGrid/>
        </w:rPr>
        <w:t>number of those th</w:t>
      </w:r>
      <w:r w:rsidR="000201F5" w:rsidRPr="00DD0C44">
        <w:rPr>
          <w:snapToGrid/>
        </w:rPr>
        <w:t>at could belong to the same CSA-</w:t>
      </w:r>
      <w:r w:rsidR="004E05AA" w:rsidRPr="00DD0C44">
        <w:rPr>
          <w:snapToGrid/>
        </w:rPr>
        <w:t xml:space="preserve">group </w:t>
      </w:r>
      <w:r w:rsidR="000201F5" w:rsidRPr="00DD0C44">
        <w:rPr>
          <w:snapToGrid/>
        </w:rPr>
        <w:t>according to our definition</w:t>
      </w:r>
      <w:r w:rsidR="004E05AA" w:rsidRPr="00DD0C44">
        <w:rPr>
          <w:snapToGrid/>
        </w:rPr>
        <w:t>. The search was bounded by those CSAs representing a big difference</w:t>
      </w:r>
      <w:r w:rsidR="000201F5" w:rsidRPr="00DD0C44">
        <w:rPr>
          <w:snapToGrid/>
        </w:rPr>
        <w:t xml:space="preserve"> in ranked income and racial makeup</w:t>
      </w:r>
      <w:r w:rsidR="004E05AA" w:rsidRPr="00DD0C44">
        <w:rPr>
          <w:snapToGrid/>
        </w:rPr>
        <w:t xml:space="preserve">, but continued for those CSAs that belonged to the same group </w:t>
      </w:r>
      <w:r w:rsidR="000201F5" w:rsidRPr="00DD0C44">
        <w:rPr>
          <w:snapToGrid/>
        </w:rPr>
        <w:t>and</w:t>
      </w:r>
      <w:r w:rsidR="004E05AA" w:rsidRPr="00DD0C44">
        <w:rPr>
          <w:snapToGrid/>
        </w:rPr>
        <w:t xml:space="preserve"> branch</w:t>
      </w:r>
      <w:r w:rsidR="000201F5" w:rsidRPr="00DD0C44">
        <w:rPr>
          <w:snapToGrid/>
        </w:rPr>
        <w:t>ed</w:t>
      </w:r>
      <w:r w:rsidR="004E05AA" w:rsidRPr="00DD0C44">
        <w:rPr>
          <w:snapToGrid/>
        </w:rPr>
        <w:t xml:space="preserve"> further to </w:t>
      </w:r>
      <w:r w:rsidR="000201F5" w:rsidRPr="00DD0C44">
        <w:rPr>
          <w:snapToGrid/>
        </w:rPr>
        <w:t>test their other neighbors until it</w:t>
      </w:r>
      <w:r w:rsidR="004E05AA" w:rsidRPr="00DD0C44">
        <w:rPr>
          <w:snapToGrid/>
        </w:rPr>
        <w:t xml:space="preserve"> was bounded in a</w:t>
      </w:r>
      <w:r w:rsidR="000201F5" w:rsidRPr="00DD0C44">
        <w:rPr>
          <w:snapToGrid/>
        </w:rPr>
        <w:t>ll directions. At the end of each</w:t>
      </w:r>
      <w:r w:rsidR="004E05AA" w:rsidRPr="00DD0C44">
        <w:rPr>
          <w:snapToGrid/>
        </w:rPr>
        <w:t xml:space="preserve"> iteration</w:t>
      </w:r>
      <w:r w:rsidR="000201F5" w:rsidRPr="00DD0C44">
        <w:rPr>
          <w:snapToGrid/>
        </w:rPr>
        <w:t>,</w:t>
      </w:r>
      <w:r w:rsidR="004E05AA" w:rsidRPr="00DD0C44">
        <w:rPr>
          <w:snapToGrid/>
        </w:rPr>
        <w:t xml:space="preserve"> </w:t>
      </w:r>
      <w:r w:rsidR="000201F5" w:rsidRPr="00DD0C44">
        <w:rPr>
          <w:snapToGrid/>
        </w:rPr>
        <w:t xml:space="preserve">a </w:t>
      </w:r>
      <w:r w:rsidR="004E05AA" w:rsidRPr="00DD0C44">
        <w:rPr>
          <w:snapToGrid/>
        </w:rPr>
        <w:t>list of CSAs grouped by relative similarity across the whole city</w:t>
      </w:r>
      <w:r w:rsidR="000201F5" w:rsidRPr="00DD0C44">
        <w:rPr>
          <w:snapToGrid/>
        </w:rPr>
        <w:t xml:space="preserve"> was generated. This search was repeated many times </w:t>
      </w:r>
      <w:r w:rsidR="004E05AA" w:rsidRPr="00DD0C44">
        <w:rPr>
          <w:snapToGrid/>
        </w:rPr>
        <w:t>and the CSA groups that were most likely to form were identified.</w:t>
      </w:r>
      <w:r w:rsidR="0062252F" w:rsidRPr="00DD0C44">
        <w:rPr>
          <w:snapToGrid/>
        </w:rPr>
        <w:t xml:space="preserve"> </w:t>
      </w:r>
      <w:r w:rsidR="000201F5" w:rsidRPr="00DD0C44">
        <w:rPr>
          <w:snapToGrid/>
        </w:rPr>
        <w:t>Overlapping</w:t>
      </w:r>
      <w:r w:rsidR="0062252F" w:rsidRPr="00DD0C44">
        <w:rPr>
          <w:snapToGrid/>
        </w:rPr>
        <w:t xml:space="preserve"> </w:t>
      </w:r>
      <w:r w:rsidR="000201F5" w:rsidRPr="00DD0C44">
        <w:rPr>
          <w:snapToGrid/>
        </w:rPr>
        <w:t>CSA-groups</w:t>
      </w:r>
      <w:r w:rsidR="0062252F" w:rsidRPr="00DD0C44">
        <w:rPr>
          <w:snapToGrid/>
        </w:rPr>
        <w:t xml:space="preserve"> were </w:t>
      </w:r>
      <w:r w:rsidR="004E05AA" w:rsidRPr="00DD0C44">
        <w:rPr>
          <w:snapToGrid/>
        </w:rPr>
        <w:t xml:space="preserve">further </w:t>
      </w:r>
      <w:r w:rsidR="0062252F" w:rsidRPr="00DD0C44">
        <w:rPr>
          <w:snapToGrid/>
        </w:rPr>
        <w:t xml:space="preserve">checked </w:t>
      </w:r>
      <w:r w:rsidR="004E05AA" w:rsidRPr="00DD0C44">
        <w:rPr>
          <w:snapToGrid/>
        </w:rPr>
        <w:t xml:space="preserve">for possibility of getting </w:t>
      </w:r>
      <w:r w:rsidR="0062252F" w:rsidRPr="00DD0C44">
        <w:rPr>
          <w:snapToGrid/>
        </w:rPr>
        <w:t xml:space="preserve">combined </w:t>
      </w:r>
      <w:r w:rsidR="004E05AA" w:rsidRPr="00DD0C44">
        <w:rPr>
          <w:snapToGrid/>
        </w:rPr>
        <w:t>into a single group.</w:t>
      </w:r>
      <w:r w:rsidR="000201F5" w:rsidRPr="00DD0C44">
        <w:rPr>
          <w:snapToGrid/>
        </w:rPr>
        <w:t xml:space="preserve"> This consequently resulted in formation of </w:t>
      </w:r>
      <w:r w:rsidR="00722CA9" w:rsidRPr="00DD0C44">
        <w:rPr>
          <w:snapToGrid/>
        </w:rPr>
        <w:t>16</w:t>
      </w:r>
      <w:r w:rsidR="000201F5" w:rsidRPr="00DD0C44">
        <w:rPr>
          <w:snapToGrid/>
        </w:rPr>
        <w:t xml:space="preserve"> CSA-groups across Baltimore city, representing geographically approximate neighborhoods with similar levels of income and racial makeup. </w:t>
      </w:r>
    </w:p>
    <w:p w14:paraId="4B84AFB0" w14:textId="77777777" w:rsidR="00C0102B" w:rsidRPr="00DD0C44" w:rsidRDefault="00C0102B" w:rsidP="00923A2A"/>
    <w:p w14:paraId="3FCD09EC" w14:textId="796C8873" w:rsidR="00206D26" w:rsidRPr="00DD0C44" w:rsidRDefault="00206D26" w:rsidP="00923A2A">
      <w:pPr>
        <w:jc w:val="center"/>
      </w:pPr>
      <w:r w:rsidRPr="00DD0C44">
        <w:rPr>
          <w:noProof/>
          <w:snapToGrid/>
        </w:rPr>
        <w:drawing>
          <wp:inline distT="0" distB="0" distL="0" distR="0" wp14:anchorId="337B25D8" wp14:editId="4E392F64">
            <wp:extent cx="2373523" cy="3071343"/>
            <wp:effectExtent l="0" t="0" r="0" b="2540"/>
            <wp:docPr id="19" name="Picture 9" descr="Median-Household-Incom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dian-Household-Income-2012.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76828" cy="3075620"/>
                    </a:xfrm>
                    <a:prstGeom prst="rect">
                      <a:avLst/>
                    </a:prstGeom>
                  </pic:spPr>
                </pic:pic>
              </a:graphicData>
            </a:graphic>
          </wp:inline>
        </w:drawing>
      </w:r>
      <w:r w:rsidR="000201F5" w:rsidRPr="00DD0C44">
        <w:rPr>
          <w:noProof/>
          <w:snapToGrid/>
        </w:rPr>
        <w:drawing>
          <wp:inline distT="0" distB="0" distL="0" distR="0" wp14:anchorId="6E9E4DB6" wp14:editId="4BFDDEC3">
            <wp:extent cx="2360251" cy="3054594"/>
            <wp:effectExtent l="0" t="0" r="2540" b="0"/>
            <wp:docPr id="15" name="Picture 15" descr="Macintosh HD:Users:pkasaie:Dropbox:00-HIV MSM Baltimore:MODEL:CALIBRATION:DEMOGRAPHICS:maps:Percent-Black-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kasaie:Dropbox:00-HIV MSM Baltimore:MODEL:CALIBRATION:DEMOGRAPHICS:maps:Percent-Black-2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612" cy="3056355"/>
                    </a:xfrm>
                    <a:prstGeom prst="rect">
                      <a:avLst/>
                    </a:prstGeom>
                    <a:noFill/>
                    <a:ln>
                      <a:noFill/>
                    </a:ln>
                  </pic:spPr>
                </pic:pic>
              </a:graphicData>
            </a:graphic>
          </wp:inline>
        </w:drawing>
      </w:r>
    </w:p>
    <w:p w14:paraId="01918191" w14:textId="77777777" w:rsidR="00923A2A" w:rsidRPr="00DD0C44" w:rsidRDefault="00206D26" w:rsidP="00923A2A">
      <w:pPr>
        <w:jc w:val="center"/>
      </w:pPr>
      <w:r w:rsidRPr="00DD0C44">
        <w:rPr>
          <w:b/>
        </w:rPr>
        <w:t xml:space="preserve">Figure </w:t>
      </w:r>
      <w:r w:rsidRPr="00DD0C44">
        <w:rPr>
          <w:b/>
        </w:rPr>
        <w:fldChar w:fldCharType="begin"/>
      </w:r>
      <w:r w:rsidRPr="00DD0C44">
        <w:rPr>
          <w:b/>
        </w:rPr>
        <w:instrText xml:space="preserve"> SEQ Figure \* ARABIC </w:instrText>
      </w:r>
      <w:r w:rsidRPr="00DD0C44">
        <w:rPr>
          <w:b/>
        </w:rPr>
        <w:fldChar w:fldCharType="separate"/>
      </w:r>
      <w:r w:rsidR="00D96644" w:rsidRPr="00DD0C44">
        <w:rPr>
          <w:b/>
          <w:noProof/>
        </w:rPr>
        <w:t>1</w:t>
      </w:r>
      <w:r w:rsidRPr="00DD0C44">
        <w:rPr>
          <w:b/>
        </w:rPr>
        <w:fldChar w:fldCharType="end"/>
      </w:r>
      <w:r w:rsidRPr="00DD0C44">
        <w:rPr>
          <w:b/>
        </w:rPr>
        <w:t>:</w:t>
      </w:r>
      <w:r w:rsidR="000201F5" w:rsidRPr="00DD0C44">
        <w:t xml:space="preserve"> Baltimore city CSA ranking according to median income and racial structure.</w:t>
      </w:r>
    </w:p>
    <w:p w14:paraId="0347EAF3" w14:textId="46244B60" w:rsidR="008F6970" w:rsidRPr="00DD0C44" w:rsidRDefault="00C0102B" w:rsidP="00923A2A">
      <w:pPr>
        <w:pStyle w:val="Heading2"/>
      </w:pPr>
      <w:r w:rsidRPr="00DD0C44">
        <w:lastRenderedPageBreak/>
        <w:t>Sexual P</w:t>
      </w:r>
      <w:r w:rsidR="008F6970" w:rsidRPr="00DD0C44">
        <w:t xml:space="preserve">artnership </w:t>
      </w:r>
      <w:r w:rsidRPr="00DD0C44">
        <w:t>Module</w:t>
      </w:r>
    </w:p>
    <w:p w14:paraId="790D15B6" w14:textId="613FBA06" w:rsidR="005F57B1" w:rsidRPr="00DD0C44" w:rsidRDefault="008F6970" w:rsidP="005F57B1">
      <w:pPr>
        <w:pStyle w:val="NormalIndent"/>
        <w:ind w:left="0"/>
      </w:pPr>
      <w:r w:rsidRPr="00DD0C44">
        <w:rPr>
          <w:snapToGrid/>
        </w:rPr>
        <w:t xml:space="preserve">This module governs the network of sexual partnerships and runs in discrete time steps representing a week. </w:t>
      </w:r>
      <w:r w:rsidR="005F57B1" w:rsidRPr="00DD0C44">
        <w:t xml:space="preserve">In absence of individual-level data on MSM partnership </w:t>
      </w:r>
      <w:r w:rsidR="00AA1A46" w:rsidRPr="00DD0C44">
        <w:t>preferences</w:t>
      </w:r>
      <w:r w:rsidR="005F57B1" w:rsidRPr="00DD0C44">
        <w:t xml:space="preserve"> and sexual history, we rely on population-level behavioral surveillance data available from the recent round of BESURE study, the B</w:t>
      </w:r>
      <w:r w:rsidR="009E0161" w:rsidRPr="00DD0C44">
        <w:t xml:space="preserve">altimore branch of the National </w:t>
      </w:r>
      <w:r w:rsidR="005F57B1" w:rsidRPr="00DD0C44">
        <w:t xml:space="preserve">HIV Behavioral Surveillance Study </w:t>
      </w:r>
      <w:r w:rsidR="005F57B1" w:rsidRPr="00DD0C44">
        <w:fldChar w:fldCharType="begin" w:fldLock="1"/>
      </w:r>
      <w:r w:rsidR="005F57B1" w:rsidRPr="00DD0C44">
        <w:instrText>ADDIN CSL_CITATION { "citationItems" : [ { "id" : "ITEM-1", "itemData" : { "URL" : "http://www.jhsph.edu/faculty/research/map/US/1413/8192", "author" : [ { "dropping-particle" : "", "family" : "German", "given" : "Danielle", "non-dropping-particle" : "", "parse-names" : false, "suffix" : "" } ], "id" : "ITEM-1", "issued" : { "date-parts" : [ [ "0" ] ] }, "title" : "BESURE Study: National HIV Behavioral Surveillance Study in Baltimore", "type" : "webpage" }, "uris" : [ "http://www.mendeley.com/documents/?uuid=31d3abe5-461b-4976-a1a7-514ece9dde6a" ] } ], "mendeley" : { "formattedCitation" : "[9]", "plainTextFormattedCitation" : "[9]", "previouslyFormattedCitation" : "[9]" }, "properties" : { "noteIndex" : 0 }, "schema" : "https://github.com/citation-style-language/schema/raw/master/csl-citation.json" }</w:instrText>
      </w:r>
      <w:r w:rsidR="005F57B1" w:rsidRPr="00DD0C44">
        <w:fldChar w:fldCharType="separate"/>
      </w:r>
      <w:r w:rsidR="005F57B1" w:rsidRPr="00DD0C44">
        <w:rPr>
          <w:noProof/>
        </w:rPr>
        <w:t>[9]</w:t>
      </w:r>
      <w:r w:rsidR="005F57B1" w:rsidRPr="00DD0C44">
        <w:fldChar w:fldCharType="end"/>
      </w:r>
      <w:r w:rsidR="005F57B1" w:rsidRPr="00DD0C44">
        <w:t xml:space="preserve">. This survey provides global information on frequency of the reported number sexual partners in the past 12 months for different age groups, as well as the type of reported partnerships. Based on this information, and existing models of MSM sexual networks </w:t>
      </w:r>
      <w:r w:rsidR="005F57B1" w:rsidRPr="00DD0C44">
        <w:fldChar w:fldCharType="begin" w:fldLock="1"/>
      </w:r>
      <w:r w:rsidR="00A25AEE" w:rsidRPr="00DD0C44">
        <w:instrText>ADDIN CSL_CITATION { "citationItems" : [ { "id" : "ITEM-1", "itemData" : { "author" : [ { "dropping-particle" : "", "family" : "Xiridou", "given" : "Maria;", "non-dropping-particle" : "", "parse-names" : false, "suffix" : "" }, { "dropping-particle" : "", "family" : "Geskus", "given" : "Ronalda;", "non-dropping-particle" : "", "parse-names" : false, "suffix" : "" }, { "dropping-particle" : "", "family" : "Wit", "given" : "Johna", "non-dropping-particle" : "de", "parse-names" : false, "suffix" : "" }, { "dropping-particle" : "", "family" : "Coutinho", "given" : "Roela", "non-dropping-particle" : "", "parse-names" : false, "suffix" : "" }, { "dropping-particle" : "", "family" : "Kretzschmar", "given" : "Mirjam", "non-dropping-particle" : "", "parse-names" : false, "suffix" : "" } ], "container-title" : "AIDS", "id" : "ITEM-1", "issue" : "17", "issued" : { "date-parts" : [ [ "2003" ] ] }, "page" : "1029-1038", "title" : "The contribution of steady and casual partnerships to the incidence of HIV infection among homosexual men in Amsterdam", "type" : "article-journal", "volume" : "7" }, "uris" : [ "http://www.mendeley.com/documents/?uuid=3dcf7dc2-2643-4ce9-8dd5-480e356677da" ] }, { "id" : "ITEM-2",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"ITEM-2", "issue" : "9839", "issued" : { "date-parts" : [ [ "2012", "7", "28" ] ] }, "page" : "367-77", "title" : "Global epidemiology of HIV infection in men who have sex with men.", "type" : "article-journal", "volume" : "380" }, "uris" : [ "http://www.mendeley.com/documents/?uuid=9a90b5fc-8758-4c22-b8af-ccd22f39b538" ] }, { "id" : "ITEM-3", "itemData" : { "author" : [ { "dropping-particle" : "", "family" : "Hoare", "given" : "Alexander", "non-dropping-particle" : "", "parse-names" : false, "suffix" : "" }, { "dropping-particle" : "", "family" : "Gray", "given" : "Richard T.", "non-dropping-particle" : "", "parse-names" : false, "suffix" : "" }, { "dropping-particle" : "", "family" : "Wilson", "given" : "David P.", "non-dropping-particle" : "", "parse-names" : false, "suffix" : "" } ], "container-title" : "Sexual health", "id" : "ITEM-3", "issue" : "2", "issued" : { "date-parts" : [ [ "2012" ] ] }, "page" : "144-151", "title" : "Could implementation of Australia's National Gay Men's Syphilis Action Plan have an indirect effect on the HIV epidemic?", "type" : "article-journal", "volume" : "9" }, "uris" : [ "http://www.mendeley.com/documents/?uuid=2d644f42-6955-4dd5-9e0e-d85ba0378f98" ] } ], "mendeley" : { "formattedCitation" : "[10\u201312]", "plainTextFormattedCitation" : "[10\u201312]", "previouslyFormattedCitation" : "[10\u201312]" }, "properties" : { "noteIndex" : 0 }, "schema" : "https://github.com/citation-style-language/schema/raw/master/csl-citation.json" }</w:instrText>
      </w:r>
      <w:r w:rsidR="005F57B1" w:rsidRPr="00DD0C44">
        <w:fldChar w:fldCharType="separate"/>
      </w:r>
      <w:r w:rsidR="005F57B1" w:rsidRPr="00DD0C44">
        <w:rPr>
          <w:noProof/>
        </w:rPr>
        <w:t>[10–12]</w:t>
      </w:r>
      <w:r w:rsidR="005F57B1" w:rsidRPr="00DD0C44">
        <w:fldChar w:fldCharType="end"/>
      </w:r>
      <w:r w:rsidR="005F57B1" w:rsidRPr="00DD0C44">
        <w:t>, we conceptualize the partnership module at the individual-level to accommodate meeting the validation targets at the population level. To this end, we adopt several coefficients of partnerships as a function of age, race, inherent sexual activity level and current partnership status, and model simple-form dynamics for creation/dissolution of sexual partnerships over time.</w:t>
      </w:r>
    </w:p>
    <w:p w14:paraId="0606D21F" w14:textId="42A7323F" w:rsidR="008F6970" w:rsidRPr="00DD0C44" w:rsidRDefault="009E0161" w:rsidP="008F6970">
      <w:r w:rsidRPr="00DD0C44">
        <w:rPr>
          <w:b/>
          <w:snapToGrid/>
        </w:rPr>
        <w:t xml:space="preserve">Partnership types: </w:t>
      </w:r>
      <w:r w:rsidR="008F6970" w:rsidRPr="00DD0C44">
        <w:rPr>
          <w:snapToGrid/>
        </w:rPr>
        <w:t xml:space="preserve">We model two types of partnerships representing </w:t>
      </w:r>
      <w:r w:rsidR="008F6970" w:rsidRPr="00DD0C44">
        <w:t xml:space="preserve">long-term </w:t>
      </w:r>
      <w:r w:rsidR="008F6970" w:rsidRPr="00DD0C44">
        <w:rPr>
          <w:snapToGrid/>
        </w:rPr>
        <w:t>“s</w:t>
      </w:r>
      <w:r w:rsidR="008F6970" w:rsidRPr="00DD0C44">
        <w:t>table” partnerships with average duration of 4 years</w:t>
      </w:r>
      <w:r w:rsidRPr="00DD0C44">
        <w:t xml:space="preserve"> </w:t>
      </w:r>
      <w:r w:rsidR="00544C42" w:rsidRPr="00DD0C44">
        <w:fldChar w:fldCharType="begin" w:fldLock="1"/>
      </w:r>
      <w:r w:rsidR="0062252F" w:rsidRPr="00DD0C44">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"7", "28" ] ] }, "page" : "367-77", "title" : "Global epidemiology of HIV infection in men who have sex with men.", "type" : "article-journal", "volume" : "380" }, "uris" : [ "http://www.mendeley.com/documents/?uuid=9a90b5fc-8758-4c22-b8af-ccd22f39b538" ] } ], "mendeley" : { "formattedCitation" : "[11]", "plainTextFormattedCitation" : "[11]", "previouslyFormattedCitation" : "[11]" }, "properties" : { "noteIndex" : 0 }, "schema" : "https://github.com/citation-style-language/schema/raw/master/csl-citation.json" }</w:instrText>
      </w:r>
      <w:r w:rsidR="00544C42" w:rsidRPr="00DD0C44">
        <w:fldChar w:fldCharType="separate"/>
      </w:r>
      <w:r w:rsidR="00544C42" w:rsidRPr="00DD0C44">
        <w:rPr>
          <w:noProof/>
        </w:rPr>
        <w:t>[11]</w:t>
      </w:r>
      <w:r w:rsidR="00544C42" w:rsidRPr="00DD0C44">
        <w:fldChar w:fldCharType="end"/>
      </w:r>
      <w:r w:rsidR="008F6970" w:rsidRPr="00DD0C44">
        <w:t>, and short-term “casual” partnerships with duration of 1 week (updated at each time step). Individuals can only engage in a maximum of one stable and one casual partnership at any point of time</w:t>
      </w:r>
      <w:r w:rsidR="005F57B1" w:rsidRPr="00DD0C44">
        <w:t xml:space="preserve"> </w:t>
      </w:r>
      <w:r w:rsidR="00114C44" w:rsidRPr="00DD0C44">
        <w:fldChar w:fldCharType="begin" w:fldLock="1"/>
      </w:r>
      <w:r w:rsidR="00A25AEE" w:rsidRPr="00DD0C44">
        <w:instrText>ADDIN CSL_CITATION { "citationItems" : [ { "id" : "ITEM-1", "itemData" : { "author" : [ { "dropping-particle" : "", "family" : "Vieira", "given" : "Israel T.", "non-dropping-particle" : "", "parse-names" : false, "suffix" : "" }, { "dropping-particle" : "de", "family" : "Senna", "given" : "Valter", "non-dropping-particle" : "", "parse-names" : false, "suffix" : "" }, { "dropping-particle" : "", "family" : "Pereira.", "given" : "Hernane B. de B.", "non-dropping-particle" : "", "parse-names" : false, "suffix" : "" } ], "container-title" : "Pesquisa Operacional", "id" : "ITEM-1", "issue" : "2", "issued" : { "date-parts" : [ [ "2011" ] ] }, "page" : "373-389", "title" : "A small world model for the spread of HIV infection", "type" : "article-journal", "volume" : "31" }, "uris" : [ "http://www.mendeley.com/documents/?uuid=9d349b70-4540-4e73-aac2-893244364113" ] } ], "mendeley" : { "formattedCitation" : "[13]", "plainTextFormattedCitation" : "[13]", "previouslyFormattedCitation" : "[13]" }, "properties" : { "noteIndex" : 0 }, "schema" : "https://github.com/citation-style-language/schema/raw/master/csl-citation.json" }</w:instrText>
      </w:r>
      <w:r w:rsidR="00114C44" w:rsidRPr="00DD0C44">
        <w:fldChar w:fldCharType="separate"/>
      </w:r>
      <w:r w:rsidR="00114C44" w:rsidRPr="00DD0C44">
        <w:rPr>
          <w:noProof/>
        </w:rPr>
        <w:t>[13]</w:t>
      </w:r>
      <w:r w:rsidR="00114C44" w:rsidRPr="00DD0C44">
        <w:fldChar w:fldCharType="end"/>
      </w:r>
      <w:r w:rsidR="008F6970" w:rsidRPr="00DD0C44">
        <w:t>.</w:t>
      </w:r>
      <w:r w:rsidR="00114C44" w:rsidRPr="00DD0C44">
        <w:t xml:space="preserve"> </w:t>
      </w:r>
      <w:r w:rsidR="008F6970" w:rsidRPr="00DD0C44">
        <w:rPr>
          <w:snapToGrid/>
        </w:rPr>
        <w:t xml:space="preserve">Partnerships are updated at the end of each simulation week, and those partnerships reaching their pre-specified duration are dissolved. In the next step, individuals’ tendency to engage in a new partnership is evaluated and “eligible” individuals proceed to choose the search domain for meeting their future partner based on their location of residence. Once the partnership domain is established, individuals follow </w:t>
      </w:r>
      <w:r w:rsidR="008F6970" w:rsidRPr="00DD0C44">
        <w:t>a search mechanism based on a combination of race- and age-dependent mixing patterns to select their future partner from the pool of eligible people at that domain. This process is modeled in 3 steps:</w:t>
      </w:r>
    </w:p>
    <w:p w14:paraId="4EB7A223" w14:textId="77777777" w:rsidR="008F6970" w:rsidRPr="00DD0C44" w:rsidRDefault="008F6970" w:rsidP="008F6970">
      <w:pPr>
        <w:pStyle w:val="Heading2"/>
        <w:numPr>
          <w:ilvl w:val="0"/>
          <w:numId w:val="0"/>
        </w:numPr>
      </w:pPr>
      <w:r w:rsidRPr="00DD0C44">
        <w:t>Step 1. Evaluating individual’s likelihood for engaging in a new partnership</w:t>
      </w:r>
    </w:p>
    <w:p w14:paraId="75D3FF5D" w14:textId="77777777" w:rsidR="008F6970" w:rsidRPr="00DD0C44" w:rsidRDefault="008F6970" w:rsidP="008F6970">
      <w:pPr>
        <w:pStyle w:val="NormalIndent"/>
        <w:ind w:left="0"/>
      </w:pPr>
      <w:r w:rsidRPr="00DD0C44">
        <w:t xml:space="preserve">Individual’s likelihood for engaging in a new partnership is modeled as a function of individual’s current partnership status, age, and their level of sexual activity. </w:t>
      </w:r>
    </w:p>
    <w:p w14:paraId="60F88D24" w14:textId="77777777" w:rsidR="008F6970" w:rsidRPr="00DD0C44" w:rsidRDefault="00114C44" w:rsidP="008F6970">
      <w:r w:rsidRPr="00DD0C44">
        <w:t>We assume</w:t>
      </w:r>
      <w:r w:rsidR="008F6970" w:rsidRPr="00DD0C44">
        <w:t xml:space="preserve"> global parameter</w:t>
      </w:r>
      <w:r w:rsidRPr="00DD0C44">
        <w:t>s</w:t>
      </w:r>
      <w:r w:rsidR="008F6970" w:rsidRPr="00DD0C44">
        <w:t xml:space="preserve"> describing individual’s tendency for engaging in a casual partnership (</w:t>
      </w:r>
      <w:proofErr w:type="spellStart"/>
      <w:r w:rsidR="008F6970" w:rsidRPr="00DD0C44">
        <w:rPr>
          <w:i/>
        </w:rPr>
        <w:t>pCsl</w:t>
      </w:r>
      <w:proofErr w:type="spellEnd"/>
      <w:r w:rsidR="008F6970" w:rsidRPr="00DD0C44">
        <w:t>)</w:t>
      </w:r>
      <w:r w:rsidRPr="00DD0C44">
        <w:t xml:space="preserve"> and</w:t>
      </w:r>
      <w:r w:rsidR="008F6970" w:rsidRPr="00DD0C44">
        <w:t xml:space="preserve"> a stable partnership (</w:t>
      </w:r>
      <w:proofErr w:type="spellStart"/>
      <w:r w:rsidR="008F6970" w:rsidRPr="00DD0C44">
        <w:rPr>
          <w:i/>
        </w:rPr>
        <w:t>pStb</w:t>
      </w:r>
      <w:proofErr w:type="spellEnd"/>
      <w:r w:rsidR="008F6970" w:rsidRPr="00DD0C44">
        <w:t>) at any point of time, as well as an additional coefficient modeling the relative likelihood for engaging in new casual partnerships concurrent to a stable partnership (</w:t>
      </w:r>
      <w:proofErr w:type="spellStart"/>
      <w:r w:rsidR="008F6970" w:rsidRPr="00DD0C44">
        <w:rPr>
          <w:i/>
        </w:rPr>
        <w:t>pCsl|Stb</w:t>
      </w:r>
      <w:proofErr w:type="spellEnd"/>
      <w:r w:rsidR="008F6970" w:rsidRPr="00DD0C44">
        <w:t>).</w:t>
      </w:r>
    </w:p>
    <w:p w14:paraId="3A4B8FBF" w14:textId="118488FE" w:rsidR="008F6970" w:rsidRPr="00DD0C44" w:rsidRDefault="00114C44" w:rsidP="008F6970">
      <w:r w:rsidRPr="00DD0C44">
        <w:t>In accordance with the</w:t>
      </w:r>
      <w:r w:rsidR="008F6970" w:rsidRPr="00DD0C44">
        <w:t xml:space="preserve"> heterogeneous distribution of number of reported partnerships by </w:t>
      </w:r>
      <w:r w:rsidRPr="00DD0C44">
        <w:t xml:space="preserve">various age-groups, we adopt a partnership coefficient for </w:t>
      </w:r>
      <w:r w:rsidR="008F6970" w:rsidRPr="00DD0C44">
        <w:t xml:space="preserve">likelihood of engaging in new partnerships </w:t>
      </w:r>
      <w:r w:rsidRPr="00DD0C44">
        <w:t>as function of</w:t>
      </w:r>
      <w:r w:rsidR="008F6970" w:rsidRPr="00DD0C44">
        <w:t xml:space="preserve"> age (</w:t>
      </w:r>
      <w:proofErr w:type="spellStart"/>
      <w:r w:rsidR="008F6970" w:rsidRPr="00DD0C44">
        <w:rPr>
          <w:i/>
        </w:rPr>
        <w:t>cPart|Age</w:t>
      </w:r>
      <w:proofErr w:type="spellEnd"/>
      <w:r w:rsidR="008F6970" w:rsidRPr="00DD0C44">
        <w:t xml:space="preserve">) and model it at five levels corresponding to various age-groups </w:t>
      </w:r>
      <w:r w:rsidRPr="00DD0C44">
        <w:t>reflected in our validation targets</w:t>
      </w:r>
      <w:r w:rsidR="008F6970" w:rsidRPr="00DD0C44">
        <w:t xml:space="preserve"> (</w:t>
      </w:r>
      <w:r w:rsidR="008F6970" w:rsidRPr="00DD0C44">
        <w:rPr>
          <w:i/>
        </w:rPr>
        <w:t>Age</w:t>
      </w:r>
      <w:r w:rsidRPr="00DD0C44">
        <w:rPr>
          <w:i/>
        </w:rPr>
        <w:t xml:space="preserve"> groups</w:t>
      </w:r>
      <w:r w:rsidRPr="00DD0C44">
        <w:t>=</w:t>
      </w:r>
      <w:proofErr w:type="gramStart"/>
      <w:r w:rsidRPr="00DD0C44">
        <w:t xml:space="preserve">{ </w:t>
      </w:r>
      <w:r w:rsidR="008F6970" w:rsidRPr="00DD0C44">
        <w:t>[</w:t>
      </w:r>
      <w:proofErr w:type="gramEnd"/>
      <w:r w:rsidR="008F6970" w:rsidRPr="00DD0C44">
        <w:t>15-24],[25-34], [35-44</w:t>
      </w:r>
      <w:r w:rsidR="00864575" w:rsidRPr="00DD0C44">
        <w:t>], [45-59], [60-75</w:t>
      </w:r>
      <w:r w:rsidRPr="00DD0C44">
        <w:t>]</w:t>
      </w:r>
      <w:r w:rsidR="00864575" w:rsidRPr="00DD0C44">
        <w:t xml:space="preserve"> years old</w:t>
      </w:r>
      <w:r w:rsidRPr="00DD0C44">
        <w:t>}</w:t>
      </w:r>
      <w:r w:rsidR="009E0161" w:rsidRPr="00DD0C44">
        <w:t xml:space="preserve"> </w:t>
      </w:r>
      <w:r w:rsidRPr="00DD0C44">
        <w:t>.</w:t>
      </w:r>
      <w:r w:rsidR="008F6970" w:rsidRPr="00DD0C44">
        <w:t xml:space="preserve"> </w:t>
      </w:r>
    </w:p>
    <w:p w14:paraId="7FD65AEA" w14:textId="77777777" w:rsidR="008F6970" w:rsidRPr="00DD0C44" w:rsidRDefault="008F6970" w:rsidP="008F6970">
      <w:r w:rsidRPr="00DD0C44">
        <w:t xml:space="preserve">Furthermore, we model </w:t>
      </w:r>
      <w:r w:rsidR="00114C44" w:rsidRPr="00DD0C44">
        <w:t>the heterogeneous pattern</w:t>
      </w:r>
      <w:r w:rsidRPr="00DD0C44">
        <w:t xml:space="preserve"> of sexual activities among </w:t>
      </w:r>
      <w:r w:rsidR="00114C44" w:rsidRPr="00DD0C44">
        <w:t>MSM</w:t>
      </w:r>
      <w:r w:rsidRPr="00DD0C44">
        <w:t xml:space="preserve"> via </w:t>
      </w:r>
      <w:r w:rsidR="00114C44" w:rsidRPr="00DD0C44">
        <w:t xml:space="preserve">definition of </w:t>
      </w:r>
      <w:r w:rsidRPr="00DD0C44">
        <w:t>three sexual activity classes</w:t>
      </w:r>
      <w:r w:rsidR="00114C44" w:rsidRPr="00DD0C44">
        <w:t>, each corresponding to a certain level of sexual engagement over lifetime of individuals</w:t>
      </w:r>
      <w:r w:rsidRPr="00DD0C44">
        <w:t>. An individuals’ sexual activity level (</w:t>
      </w:r>
      <w:proofErr w:type="spellStart"/>
      <w:r w:rsidRPr="00DD0C44">
        <w:rPr>
          <w:i/>
        </w:rPr>
        <w:t>cSA</w:t>
      </w:r>
      <w:proofErr w:type="spellEnd"/>
      <w:r w:rsidRPr="00DD0C44">
        <w:t xml:space="preserve">) is determined at the time of birth and remains fixed throughout their life. This attribute represents a combination of factors determining individual’s tendency for engaging in sexual partnerships, and can be considered as a general marker for various personality types (e.g., shy vs. outgoing person). We assume 3 level of social activity representing low, med, high activity levels, and assume equal likelihood of membership in each class. The levels of sexual activities are further tuned to calibrate the proportion of population reporting zero and more than 5 partners in a given year. We assume that individual’s likelihood for engaging in a stable partnership is independent of the level of </w:t>
      </w:r>
      <w:r w:rsidR="00114C44" w:rsidRPr="00DD0C44">
        <w:t xml:space="preserve">their </w:t>
      </w:r>
      <w:r w:rsidRPr="00DD0C44">
        <w:t>sexual activity.</w:t>
      </w:r>
    </w:p>
    <w:p w14:paraId="5D6ABC9D" w14:textId="77777777" w:rsidR="008F6970" w:rsidRPr="00DD0C44" w:rsidRDefault="008F6970" w:rsidP="008F6970">
      <w:pPr>
        <w:pStyle w:val="NormalIndent"/>
        <w:ind w:left="0"/>
      </w:pPr>
      <w:r w:rsidRPr="00DD0C44">
        <w:lastRenderedPageBreak/>
        <w:t xml:space="preserve">With these definitions, an individual’s likelihood of engaging in a new </w:t>
      </w:r>
      <w:r w:rsidR="00114C44" w:rsidRPr="00DD0C44">
        <w:t xml:space="preserve">stable or casual </w:t>
      </w:r>
      <w:r w:rsidRPr="00DD0C44">
        <w:t>partnership</w:t>
      </w:r>
      <w:r w:rsidR="00114C44" w:rsidRPr="00DD0C44">
        <w:t xml:space="preserve"> at each time step</w:t>
      </w:r>
      <w:r w:rsidRPr="00DD0C44">
        <w:t xml:space="preserve"> is </w:t>
      </w:r>
      <w:r w:rsidR="00114C44" w:rsidRPr="00DD0C44">
        <w:t>modeled</w:t>
      </w:r>
      <w:r w:rsidRPr="00DD0C44">
        <w:t xml:space="preserve"> as:</w:t>
      </w:r>
    </w:p>
    <w:p w14:paraId="62D2CBBE" w14:textId="77777777" w:rsidR="008F6970" w:rsidRPr="00DD0C44" w:rsidRDefault="008F6970" w:rsidP="008F6970">
      <w:pPr>
        <w:pStyle w:val="NormalIndent"/>
        <w:numPr>
          <w:ilvl w:val="0"/>
          <w:numId w:val="7"/>
        </w:numPr>
        <w:rPr>
          <w:i/>
        </w:rPr>
      </w:pPr>
      <w:proofErr w:type="spellStart"/>
      <w:r w:rsidRPr="00DD0C44">
        <w:rPr>
          <w:i/>
        </w:rPr>
        <w:t>pNew_Stab</w:t>
      </w:r>
      <w:proofErr w:type="spellEnd"/>
      <w:r w:rsidRPr="00DD0C44">
        <w:rPr>
          <w:i/>
        </w:rPr>
        <w:t xml:space="preserve"> </w:t>
      </w:r>
      <w:r w:rsidRPr="00DD0C44">
        <w:t xml:space="preserve">= </w:t>
      </w:r>
      <w:proofErr w:type="spellStart"/>
      <w:r w:rsidRPr="00DD0C44">
        <w:rPr>
          <w:i/>
        </w:rPr>
        <w:t>pStb</w:t>
      </w:r>
      <w:proofErr w:type="spellEnd"/>
      <w:r w:rsidRPr="00DD0C44">
        <w:rPr>
          <w:i/>
        </w:rPr>
        <w:t xml:space="preserve"> × </w:t>
      </w:r>
      <w:proofErr w:type="spellStart"/>
      <w:r w:rsidRPr="00DD0C44">
        <w:rPr>
          <w:i/>
        </w:rPr>
        <w:t>cPart|Age</w:t>
      </w:r>
      <w:proofErr w:type="spellEnd"/>
      <w:r w:rsidRPr="00DD0C44">
        <w:rPr>
          <w:i/>
        </w:rPr>
        <w:t xml:space="preserve"> </w:t>
      </w:r>
      <w:r w:rsidRPr="00DD0C44">
        <w:rPr>
          <w:i/>
        </w:rPr>
        <w:tab/>
      </w:r>
    </w:p>
    <w:p w14:paraId="4BDF29C4" w14:textId="77777777" w:rsidR="008F6970" w:rsidRPr="00DD0C44" w:rsidRDefault="008F6970" w:rsidP="008F6970">
      <w:pPr>
        <w:pStyle w:val="NormalIndent"/>
        <w:numPr>
          <w:ilvl w:val="0"/>
          <w:numId w:val="7"/>
        </w:numPr>
        <w:rPr>
          <w:i/>
        </w:rPr>
      </w:pPr>
      <w:proofErr w:type="spellStart"/>
      <w:proofErr w:type="gramStart"/>
      <w:r w:rsidRPr="00DD0C44">
        <w:rPr>
          <w:i/>
        </w:rPr>
        <w:t>pNew</w:t>
      </w:r>
      <w:proofErr w:type="gramEnd"/>
      <w:r w:rsidRPr="00DD0C44">
        <w:rPr>
          <w:i/>
        </w:rPr>
        <w:t>_Csl</w:t>
      </w:r>
      <w:proofErr w:type="spellEnd"/>
      <w:r w:rsidRPr="00DD0C44">
        <w:rPr>
          <w:i/>
        </w:rPr>
        <w:t xml:space="preserve"> </w:t>
      </w:r>
      <w:r w:rsidRPr="00DD0C44">
        <w:t xml:space="preserve">= </w:t>
      </w:r>
      <w:proofErr w:type="spellStart"/>
      <w:r w:rsidRPr="00DD0C44">
        <w:rPr>
          <w:i/>
        </w:rPr>
        <w:t>pCSL</w:t>
      </w:r>
      <w:proofErr w:type="spellEnd"/>
      <w:r w:rsidRPr="00DD0C44">
        <w:rPr>
          <w:i/>
        </w:rPr>
        <w:t xml:space="preserve"> × </w:t>
      </w:r>
      <w:proofErr w:type="spellStart"/>
      <w:r w:rsidRPr="00DD0C44">
        <w:rPr>
          <w:i/>
        </w:rPr>
        <w:t>pCSL|Stb</w:t>
      </w:r>
      <w:proofErr w:type="spellEnd"/>
      <w:r w:rsidRPr="00DD0C44">
        <w:rPr>
          <w:i/>
        </w:rPr>
        <w:t xml:space="preserve">  × </w:t>
      </w:r>
      <w:proofErr w:type="spellStart"/>
      <w:r w:rsidRPr="00DD0C44">
        <w:rPr>
          <w:i/>
        </w:rPr>
        <w:t>cPart|Age</w:t>
      </w:r>
      <w:proofErr w:type="spellEnd"/>
      <w:r w:rsidRPr="00DD0C44">
        <w:rPr>
          <w:i/>
        </w:rPr>
        <w:t xml:space="preserve"> × </w:t>
      </w:r>
      <w:proofErr w:type="spellStart"/>
      <w:r w:rsidRPr="00DD0C44">
        <w:rPr>
          <w:i/>
        </w:rPr>
        <w:t>cSA</w:t>
      </w:r>
      <w:proofErr w:type="spellEnd"/>
    </w:p>
    <w:p w14:paraId="4B5213B4" w14:textId="77777777" w:rsidR="008F6970" w:rsidRPr="00DD0C44" w:rsidRDefault="008F6970" w:rsidP="008F6970">
      <w:pPr>
        <w:pStyle w:val="NormalIndent"/>
        <w:ind w:left="0"/>
        <w:rPr>
          <w:i/>
        </w:rPr>
      </w:pPr>
    </w:p>
    <w:p w14:paraId="26CAAF84" w14:textId="77777777" w:rsidR="008F6970" w:rsidRPr="00DD0C44" w:rsidRDefault="008F6970" w:rsidP="008F6970">
      <w:pPr>
        <w:pStyle w:val="NormalIndent"/>
        <w:ind w:left="0"/>
      </w:pPr>
      <w:r w:rsidRPr="00DD0C44">
        <w:t>At each time step, individual’s likelihood for engaging in a new partnership is evaluated and eligible individuals are added to the pool of available people at their CSA of residence</w:t>
      </w:r>
      <w:r w:rsidR="00114C44" w:rsidRPr="00DD0C44">
        <w:t xml:space="preserve"> to find their potential partners in the next steps</w:t>
      </w:r>
      <w:r w:rsidRPr="00DD0C44">
        <w:t xml:space="preserve">. </w:t>
      </w:r>
    </w:p>
    <w:p w14:paraId="48BC2D99" w14:textId="77777777" w:rsidR="008F6970" w:rsidRPr="00DD0C44" w:rsidRDefault="008F6970" w:rsidP="008F6970">
      <w:pPr>
        <w:pStyle w:val="Heading2"/>
        <w:numPr>
          <w:ilvl w:val="0"/>
          <w:numId w:val="0"/>
        </w:numPr>
      </w:pPr>
      <w:r w:rsidRPr="00DD0C44">
        <w:t>Step 2. Choosing the partnership domain</w:t>
      </w:r>
    </w:p>
    <w:p w14:paraId="762E2DD5" w14:textId="6B4A8365" w:rsidR="008F6970" w:rsidRPr="00DD0C44" w:rsidRDefault="008F6970" w:rsidP="008F6970">
      <w:r w:rsidRPr="00DD0C44">
        <w:t xml:space="preserve">The partnership domain is determined according to a discrete mixing-structure at the CSA level (Figure </w:t>
      </w:r>
      <w:r w:rsidR="00004961" w:rsidRPr="00DD0C44">
        <w:t>2</w:t>
      </w:r>
      <w:r w:rsidRPr="00DD0C44">
        <w:t xml:space="preserve">). </w:t>
      </w:r>
      <w:r w:rsidRPr="00DD0C44">
        <w:rPr>
          <w:snapToGrid/>
        </w:rPr>
        <w:t xml:space="preserve">In order to model the spatial mixing patterns across the population and among various subgroups, we first define sets of “neighboring” CSA groups with regard to geographical proximity and similar socioeconomic status (income levels) and racial structure </w:t>
      </w:r>
      <w:r w:rsidRPr="00DD0C44">
        <w:rPr>
          <w:snapToGrid/>
        </w:rPr>
        <w:fldChar w:fldCharType="begin" w:fldLock="1"/>
      </w:r>
      <w:r w:rsidR="005F57B1" w:rsidRPr="00DD0C44">
        <w:rPr>
          <w:snapToGrid/>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"noteIndex" : 0 }, "schema" : "https://github.com/citation-style-language/schema/raw/master/csl-citation.json" }</w:instrText>
      </w:r>
      <w:r w:rsidRPr="00DD0C44">
        <w:rPr>
          <w:snapToGrid/>
        </w:rPr>
        <w:fldChar w:fldCharType="separate"/>
      </w:r>
      <w:r w:rsidR="005F57B1" w:rsidRPr="00DD0C44">
        <w:rPr>
          <w:noProof/>
          <w:snapToGrid/>
        </w:rPr>
        <w:t>[1]</w:t>
      </w:r>
      <w:r w:rsidRPr="00DD0C44">
        <w:rPr>
          <w:snapToGrid/>
        </w:rPr>
        <w:fldChar w:fldCharType="end"/>
      </w:r>
      <w:r w:rsidRPr="00DD0C44">
        <w:rPr>
          <w:snapToGrid/>
        </w:rPr>
        <w:t>. Upon seeking a new partnership, an individual’s search scope (for choosing the new partner) is determined according to a discrete geographical mixing likelihood  (</w:t>
      </w:r>
      <w:proofErr w:type="spellStart"/>
      <w:proofErr w:type="gramStart"/>
      <w:r w:rsidRPr="00DD0C44">
        <w:rPr>
          <w:i/>
          <w:snapToGrid/>
        </w:rPr>
        <w:t>pGM</w:t>
      </w:r>
      <w:proofErr w:type="spellEnd"/>
      <w:r w:rsidRPr="00DD0C44">
        <w:rPr>
          <w:snapToGrid/>
        </w:rPr>
        <w:t xml:space="preserve"> )</w:t>
      </w:r>
      <w:proofErr w:type="gramEnd"/>
      <w:r w:rsidRPr="00DD0C44">
        <w:rPr>
          <w:snapToGrid/>
        </w:rPr>
        <w:t xml:space="preserve"> for selecting one’s own CSA (</w:t>
      </w:r>
      <w:r w:rsidRPr="00DD0C44">
        <w:rPr>
          <w:i/>
          <w:snapToGrid/>
        </w:rPr>
        <w:t>p</w:t>
      </w:r>
      <w:r w:rsidRPr="00DD0C44">
        <w:rPr>
          <w:i/>
          <w:snapToGrid/>
          <w:vertAlign w:val="subscript"/>
        </w:rPr>
        <w:t>0</w:t>
      </w:r>
      <w:r w:rsidRPr="00DD0C44">
        <w:rPr>
          <w:snapToGrid/>
        </w:rPr>
        <w:t>), a random neighboring CSA (</w:t>
      </w:r>
      <w:r w:rsidRPr="00DD0C44">
        <w:rPr>
          <w:i/>
          <w:snapToGrid/>
        </w:rPr>
        <w:t>p</w:t>
      </w:r>
      <w:r w:rsidRPr="00DD0C44">
        <w:rPr>
          <w:i/>
          <w:snapToGrid/>
          <w:vertAlign w:val="subscript"/>
        </w:rPr>
        <w:t>1</w:t>
      </w:r>
      <w:r w:rsidRPr="00DD0C44">
        <w:rPr>
          <w:snapToGrid/>
        </w:rPr>
        <w:t>) or non-neighbor CSA (</w:t>
      </w:r>
      <w:r w:rsidRPr="00DD0C44">
        <w:rPr>
          <w:i/>
          <w:snapToGrid/>
        </w:rPr>
        <w:t>p</w:t>
      </w:r>
      <w:r w:rsidRPr="00DD0C44">
        <w:rPr>
          <w:i/>
          <w:snapToGrid/>
          <w:vertAlign w:val="subscript"/>
        </w:rPr>
        <w:t>2</w:t>
      </w:r>
      <w:r w:rsidRPr="00DD0C44">
        <w:rPr>
          <w:snapToGrid/>
        </w:rPr>
        <w:t>). The geographical mixing likelihood (</w:t>
      </w:r>
      <w:proofErr w:type="spellStart"/>
      <w:r w:rsidRPr="00DD0C44">
        <w:rPr>
          <w:i/>
          <w:snapToGrid/>
        </w:rPr>
        <w:t>pGM</w:t>
      </w:r>
      <w:proofErr w:type="spellEnd"/>
      <w:r w:rsidRPr="00DD0C44">
        <w:rPr>
          <w:i/>
          <w:snapToGrid/>
        </w:rPr>
        <w:t>=(p</w:t>
      </w:r>
      <w:r w:rsidRPr="00DD0C44">
        <w:rPr>
          <w:i/>
          <w:snapToGrid/>
          <w:vertAlign w:val="subscript"/>
        </w:rPr>
        <w:t>0</w:t>
      </w:r>
      <w:r w:rsidRPr="00DD0C44">
        <w:rPr>
          <w:i/>
          <w:snapToGrid/>
        </w:rPr>
        <w:t>, p</w:t>
      </w:r>
      <w:r w:rsidRPr="00DD0C44">
        <w:rPr>
          <w:i/>
          <w:snapToGrid/>
          <w:vertAlign w:val="subscript"/>
        </w:rPr>
        <w:t>1</w:t>
      </w:r>
      <w:r w:rsidRPr="00DD0C44">
        <w:rPr>
          <w:i/>
          <w:snapToGrid/>
        </w:rPr>
        <w:t>, p</w:t>
      </w:r>
      <w:r w:rsidRPr="00DD0C44">
        <w:rPr>
          <w:i/>
          <w:snapToGrid/>
          <w:vertAlign w:val="subscript"/>
        </w:rPr>
        <w:t>2</w:t>
      </w:r>
      <w:r w:rsidRPr="00DD0C44">
        <w:rPr>
          <w:i/>
          <w:snapToGrid/>
        </w:rPr>
        <w:t>))</w:t>
      </w:r>
      <w:r w:rsidRPr="00DD0C44">
        <w:rPr>
          <w:snapToGrid/>
        </w:rPr>
        <w:t xml:space="preserve"> represents a measure of geographical/socioeconomic clustering in the network of partnerships, where </w:t>
      </w:r>
      <w:proofErr w:type="spellStart"/>
      <w:r w:rsidRPr="00DD0C44">
        <w:rPr>
          <w:i/>
          <w:snapToGrid/>
        </w:rPr>
        <w:t>pGM</w:t>
      </w:r>
      <w:proofErr w:type="spellEnd"/>
      <w:r w:rsidRPr="00DD0C44">
        <w:rPr>
          <w:snapToGrid/>
        </w:rPr>
        <w:t xml:space="preserve">=(1,0,0) translates into an isolated mixing pattern for partnership only with individuals in one’s CSA of residence, and </w:t>
      </w:r>
      <w:proofErr w:type="spellStart"/>
      <w:r w:rsidRPr="00DD0C44">
        <w:rPr>
          <w:i/>
          <w:snapToGrid/>
        </w:rPr>
        <w:t>pGM</w:t>
      </w:r>
      <w:proofErr w:type="spellEnd"/>
      <w:r w:rsidRPr="00DD0C44">
        <w:rPr>
          <w:snapToGrid/>
        </w:rPr>
        <w:t xml:space="preserve">=(0.33,0.33,0.33) translates into a homogeneous mixing structure across the entire population. In our initial analysis, we calibrate the geographical mixing likelihoods at </w:t>
      </w:r>
      <w:proofErr w:type="spellStart"/>
      <w:r w:rsidRPr="00DD0C44">
        <w:rPr>
          <w:i/>
          <w:snapToGrid/>
        </w:rPr>
        <w:t>pGM</w:t>
      </w:r>
      <w:proofErr w:type="spellEnd"/>
      <w:r w:rsidRPr="00DD0C44">
        <w:rPr>
          <w:snapToGrid/>
        </w:rPr>
        <w:t xml:space="preserve"> = (50%, 30%, 20%) </w:t>
      </w:r>
      <w:r w:rsidR="00114C44" w:rsidRPr="00DD0C44">
        <w:rPr>
          <w:snapToGrid/>
        </w:rPr>
        <w:t>according</w:t>
      </w:r>
      <w:r w:rsidRPr="00DD0C44">
        <w:rPr>
          <w:snapToGrid/>
        </w:rPr>
        <w:t xml:space="preserve"> to available estimates from </w:t>
      </w:r>
      <w:r w:rsidRPr="00DD0C44">
        <w:fldChar w:fldCharType="begin" w:fldLock="1"/>
      </w:r>
      <w:r w:rsidR="00A25AEE" w:rsidRPr="00DD0C44">
        <w:instrText>ADDIN CSL_CITATION { "citationItems" : [ { "id" : "ITEM-1", "itemData" : { "author" : [ { "dropping-particle" : "", "family" : "Egan", "given" : "James E.", "non-dropping-particle" : "", "parse-names" : false, "suffix" : "" }, { "dropping-particle" : "", "family" : "Frye", "given" : "Victoria", "non-dropping-particle" : "", "parse-names" : false, "suffix" : "" }, { "dropping-particle" : "", "family" : "Kurtz", "given" : "Steven P.", "non-dropping-particle" : "", "parse-names" : false, "suffix" : "" }, { "dropping-particle" : "", "family" : "Latkin", "given" : "Carl", "non-dropping-particle" : "", "parse-names" : false, "suffix" : "" }, { "dropping-particle" : "", "family" : "Chen", "given" : "Minxing", "non-dropping-particle" : "", "parse-names" : false, "suffix" : "" }, { "dropping-particle" : "", "family" : "Tobin", "given" : "Karin", "non-dropping-particle" : "", "parse-names" : false, "suffix" : "" }, { "dropping-particle" : "", "family" : "Yang", "given" : "Cui", "non-dropping-particle" : "", "parse-names" : false, "suffix" : "" }, { "dropping-particle" : "", "family" : "Koblin", "given" : "Beryl A.", "non-dropping-particle" : "", "parse-names" : false, "suffix" : "" } ], "container-title" : "AIDS and Behavior", "id" : "ITEM-1", "issue" : "1", "issued" : { "date-parts" : [ [ "2011" ] ] }, "page" : "35-50", "title" : "Migration, neighborhoods, and networks: approaches to understanding how urban environmental conditions affect syndemic adverse health outcomes among gay, bisexual and other men who have sex with men", "type" : "article-journal", "volume" : "15" }, "uris" : [ "http://www.mendeley.com/documents/?uuid=6e5af237-1d66-4e64-8653-17e6402eaba2" ] } ], "mendeley" : { "formattedCitation" : "[14]", "plainTextFormattedCitation" : "[14]", "previouslyFormattedCitation" : "[14]" }, "properties" : { "noteIndex" : 0 }, "schema" : "https://github.com/citation-style-language/schema/raw/master/csl-citation.json" }</w:instrText>
      </w:r>
      <w:r w:rsidRPr="00DD0C44">
        <w:fldChar w:fldCharType="separate"/>
      </w:r>
      <w:r w:rsidR="00114C44" w:rsidRPr="00DD0C44">
        <w:rPr>
          <w:noProof/>
        </w:rPr>
        <w:t>[14]</w:t>
      </w:r>
      <w:r w:rsidRPr="00DD0C44">
        <w:fldChar w:fldCharType="end"/>
      </w:r>
      <w:r w:rsidRPr="00DD0C44">
        <w:t>.</w:t>
      </w:r>
    </w:p>
    <w:p w14:paraId="0D27BFEA" w14:textId="77777777" w:rsidR="00FD743D" w:rsidRPr="00DD0C44" w:rsidRDefault="00FD743D" w:rsidP="00FD743D">
      <w:pPr>
        <w:pStyle w:val="NormalIndent"/>
      </w:pPr>
    </w:p>
    <w:p w14:paraId="64A129C1" w14:textId="70E62D6A" w:rsidR="008F6970" w:rsidRPr="00DD0C44" w:rsidRDefault="00F9401F" w:rsidP="008F6970">
      <w:pPr>
        <w:pStyle w:val="NormalIndent"/>
        <w:keepNext/>
        <w:jc w:val="center"/>
      </w:pPr>
      <w:r w:rsidRPr="00DD0C44">
        <w:rPr>
          <w:noProof/>
        </w:rPr>
        <w:drawing>
          <wp:inline distT="0" distB="0" distL="0" distR="0" wp14:anchorId="0266BE2C" wp14:editId="4B310304">
            <wp:extent cx="2476500" cy="24698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469825"/>
                    </a:xfrm>
                    <a:prstGeom prst="rect">
                      <a:avLst/>
                    </a:prstGeom>
                    <a:noFill/>
                    <a:ln>
                      <a:noFill/>
                    </a:ln>
                  </pic:spPr>
                </pic:pic>
              </a:graphicData>
            </a:graphic>
          </wp:inline>
        </w:drawing>
      </w:r>
    </w:p>
    <w:p w14:paraId="15CBC82D" w14:textId="77777777" w:rsidR="008F6970" w:rsidRPr="00DD0C44" w:rsidRDefault="008F6970" w:rsidP="008F6970">
      <w:pPr>
        <w:pStyle w:val="Caption"/>
        <w:jc w:val="center"/>
        <w:rPr>
          <w:b w:val="0"/>
        </w:rPr>
      </w:pPr>
      <w:r w:rsidRPr="00DD0C44">
        <w:t xml:space="preserve">Figure </w:t>
      </w:r>
      <w:fldSimple w:instr=" SEQ Figure \* ARABIC ">
        <w:r w:rsidR="00D96644" w:rsidRPr="00DD0C44">
          <w:rPr>
            <w:noProof/>
          </w:rPr>
          <w:t>2</w:t>
        </w:r>
      </w:fldSimple>
      <w:r w:rsidRPr="00DD0C44">
        <w:t xml:space="preserve">: Partnership search domains. </w:t>
      </w:r>
      <w:r w:rsidRPr="00DD0C44">
        <w:rPr>
          <w:b w:val="0"/>
        </w:rPr>
        <w:t>Individuals can choose their future partner from one’s own CSA or a random CSA within or outside their neighbor group.</w:t>
      </w:r>
    </w:p>
    <w:p w14:paraId="45CB31E0" w14:textId="77777777" w:rsidR="008F6970" w:rsidRPr="00DD0C44" w:rsidRDefault="008F6970" w:rsidP="008F6970">
      <w:pPr>
        <w:pStyle w:val="NormalIndent"/>
        <w:ind w:left="0"/>
      </w:pPr>
    </w:p>
    <w:p w14:paraId="1F453BD0" w14:textId="77777777" w:rsidR="008F6970" w:rsidRPr="00DD0C44" w:rsidRDefault="008F6970" w:rsidP="008F6970">
      <w:pPr>
        <w:pStyle w:val="Heading2"/>
        <w:numPr>
          <w:ilvl w:val="0"/>
          <w:numId w:val="0"/>
        </w:numPr>
        <w:rPr>
          <w:snapToGrid/>
        </w:rPr>
      </w:pPr>
      <w:r w:rsidRPr="00DD0C44">
        <w:rPr>
          <w:snapToGrid/>
        </w:rPr>
        <w:lastRenderedPageBreak/>
        <w:t>Step 3.  Modeling the search mechanism within the partnership domain</w:t>
      </w:r>
    </w:p>
    <w:p w14:paraId="2EEB25D0" w14:textId="1591747F" w:rsidR="009562F8" w:rsidRPr="00DD0C44" w:rsidRDefault="008F6970" w:rsidP="007C6A26">
      <w:pPr>
        <w:rPr>
          <w:snapToGrid/>
        </w:rPr>
      </w:pPr>
      <w:r w:rsidRPr="00DD0C44">
        <w:rPr>
          <w:snapToGrid/>
        </w:rPr>
        <w:t>Once the partnership domain is established, the individual follow</w:t>
      </w:r>
      <w:r w:rsidR="008E7301" w:rsidRPr="00DD0C44">
        <w:rPr>
          <w:snapToGrid/>
        </w:rPr>
        <w:t>s</w:t>
      </w:r>
      <w:r w:rsidRPr="00DD0C44">
        <w:rPr>
          <w:snapToGrid/>
        </w:rPr>
        <w:t xml:space="preserve"> a search mechanism for finding their new partner from the pool of eligible members in the selected domain. The likelihood of partnership between two people is evaluated according to an age- and race-mixing structure</w:t>
      </w:r>
      <w:r w:rsidR="007755D2" w:rsidRPr="00DD0C44">
        <w:rPr>
          <w:snapToGrid/>
        </w:rPr>
        <w:t>. Assuming independent patterns of Age- and race-mixing, the age-race mixing likelihood is computed as the product of age-mixing and race-mixing probabilities for each pair of potential partners. A random search mechanism is implemented to evaluate the probability of partnership with each potential partner in the selected domain until a successful match is found or the entire domain is search. Upon a successful match, a new casual partnership is formed for both parties and they’re excluded from the pool of eligible people.</w:t>
      </w:r>
    </w:p>
    <w:p w14:paraId="0E165669" w14:textId="20E12C5E" w:rsidR="008F6970" w:rsidRPr="00DD0C44" w:rsidRDefault="008F6970" w:rsidP="005E3A44">
      <w:r w:rsidRPr="00DD0C44">
        <w:rPr>
          <w:b/>
          <w:snapToGrid/>
        </w:rPr>
        <w:t>Age-mixing</w:t>
      </w:r>
      <w:r w:rsidR="009562F8" w:rsidRPr="00DD0C44">
        <w:rPr>
          <w:b/>
          <w:snapToGrid/>
        </w:rPr>
        <w:t xml:space="preserve"> pattern</w:t>
      </w:r>
      <w:r w:rsidR="005E3A44" w:rsidRPr="00DD0C44">
        <w:rPr>
          <w:b/>
          <w:snapToGrid/>
        </w:rPr>
        <w:t>:</w:t>
      </w:r>
      <w:r w:rsidR="005E3A44" w:rsidRPr="00DD0C44">
        <w:rPr>
          <w:snapToGrid/>
        </w:rPr>
        <w:t xml:space="preserve"> </w:t>
      </w:r>
      <w:r w:rsidRPr="00DD0C44">
        <w:rPr>
          <w:snapToGrid/>
        </w:rPr>
        <w:t xml:space="preserve">The age-mixing is modeled based on absolute </w:t>
      </w:r>
      <w:r w:rsidRPr="00DD0C44">
        <w:t xml:space="preserve">difference in the square root (ADSR) of men’s ages </w:t>
      </w:r>
      <w:r w:rsidRPr="00DD0C44">
        <w:fldChar w:fldCharType="begin" w:fldLock="1"/>
      </w:r>
      <w:r w:rsidR="00A25AEE" w:rsidRPr="00DD0C44">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"7", "28" ] ] }, "page" : "367-77", "title" : "Global epidemiology of HIV infection in men who have sex with men.", "type" : "article-journal", "volume" : "380" }, "uris" : [ "http://www.mendeley.com/documents/?uuid=9a90b5fc-8758-4c22-b8af-ccd22f39b538" ] } ], "mendeley" : { "formattedCitation" : "[11]", "plainTextFormattedCitation" : "[11]", "previouslyFormattedCitation" : "[11]" }, "properties" : { "noteIndex" : 0 }, "schema" : "https://github.com/citation-style-language/schema/raw/master/csl-citation.json" }</w:instrText>
      </w:r>
      <w:r w:rsidRPr="00DD0C44">
        <w:fldChar w:fldCharType="separate"/>
      </w:r>
      <w:r w:rsidR="005F57B1" w:rsidRPr="00DD0C44">
        <w:rPr>
          <w:noProof/>
        </w:rPr>
        <w:t>[11]</w:t>
      </w:r>
      <w:r w:rsidRPr="00DD0C44">
        <w:fldChar w:fldCharType="end"/>
      </w:r>
      <w:r w:rsidRPr="00DD0C44">
        <w:t xml:space="preserve">. The ADSR provides a closer fit to the observed age-mixing matrix than does age directly. This statistic also has several nice properties, including the fact that the same absolute difference in square root of age becomes less important with older ages. We model the age-mixing likelihood as a function of ADSR and a global coefficient </w:t>
      </w:r>
      <w:proofErr w:type="gramStart"/>
      <w:r w:rsidRPr="00DD0C44">
        <w:t xml:space="preserve">( </w:t>
      </w:r>
      <w:proofErr w:type="spellStart"/>
      <w:r w:rsidRPr="00DD0C44">
        <w:t>cAgeDiff</w:t>
      </w:r>
      <w:proofErr w:type="spellEnd"/>
      <w:proofErr w:type="gramEnd"/>
      <w:r w:rsidRPr="00DD0C44">
        <w:t>), which is used to calibrate the average level of ADSR in the simulation model. The level of ADSR is further tuned to calibrate the expected levels of HIV incidence in various age-groups. The likelihood of age mixing between person p and q is computed as</w:t>
      </w:r>
    </w:p>
    <w:p w14:paraId="09FDB651" w14:textId="77777777" w:rsidR="008F6970" w:rsidRPr="00DD0C44" w:rsidRDefault="008F6970" w:rsidP="008F6970">
      <w:pPr>
        <w:pStyle w:val="NormalIndent"/>
        <w:ind w:left="0"/>
      </w:pPr>
      <w:r w:rsidRPr="00DD0C44">
        <w:tab/>
      </w:r>
      <w:r w:rsidRPr="00DD0C44">
        <w:tab/>
      </w:r>
      <w:r w:rsidRPr="00DD0C44">
        <w:tab/>
      </w:r>
    </w:p>
    <w:p w14:paraId="6547EF6E" w14:textId="77777777" w:rsidR="008F6970" w:rsidRPr="00DD0C44" w:rsidRDefault="008F6970" w:rsidP="008F6970">
      <w:pPr>
        <w:pStyle w:val="NormalIndent"/>
        <w:ind w:left="0"/>
        <w:jc w:val="center"/>
        <w:rPr>
          <w:i/>
        </w:rPr>
      </w:pPr>
      <w:proofErr w:type="spellStart"/>
      <w:r w:rsidRPr="00DD0C44">
        <w:t>pAgeMixing</w:t>
      </w:r>
      <w:proofErr w:type="spellEnd"/>
      <w:r w:rsidRPr="00DD0C44">
        <w:t xml:space="preserve"> = 1 </w:t>
      </w:r>
      <w:r w:rsidRPr="00DD0C44">
        <w:rPr>
          <w:i/>
        </w:rPr>
        <w:t xml:space="preserve">-  </w:t>
      </w:r>
      <w:r w:rsidRPr="00DD0C44">
        <w:t>|</w:t>
      </w:r>
      <w:r w:rsidRPr="00DD0C44">
        <w:rPr>
          <w:i/>
        </w:rPr>
        <w:t xml:space="preserve"> </w:t>
      </w:r>
      <w:proofErr w:type="spellStart"/>
      <w:r w:rsidRPr="00DD0C44">
        <w:rPr>
          <w:i/>
        </w:rPr>
        <w:t>sqrt</w:t>
      </w:r>
      <w:proofErr w:type="spellEnd"/>
      <w:r w:rsidRPr="00DD0C44">
        <w:t>(</w:t>
      </w:r>
      <w:r w:rsidRPr="00DD0C44">
        <w:rPr>
          <w:i/>
        </w:rPr>
        <w:t>p</w:t>
      </w:r>
      <w:r w:rsidRPr="00DD0C44">
        <w:rPr>
          <w:i/>
          <w:vertAlign w:val="subscript"/>
        </w:rPr>
        <w:t>age</w:t>
      </w:r>
      <w:r w:rsidRPr="00DD0C44">
        <w:t>)</w:t>
      </w:r>
      <w:r w:rsidRPr="00DD0C44">
        <w:rPr>
          <w:i/>
        </w:rPr>
        <w:t xml:space="preserve"> – </w:t>
      </w:r>
      <w:proofErr w:type="spellStart"/>
      <w:r w:rsidRPr="00DD0C44">
        <w:rPr>
          <w:i/>
        </w:rPr>
        <w:t>sqrt</w:t>
      </w:r>
      <w:proofErr w:type="spellEnd"/>
      <w:r w:rsidRPr="00DD0C44">
        <w:t>(</w:t>
      </w:r>
      <w:proofErr w:type="spellStart"/>
      <w:r w:rsidRPr="00DD0C44">
        <w:rPr>
          <w:i/>
        </w:rPr>
        <w:t>q</w:t>
      </w:r>
      <w:r w:rsidRPr="00DD0C44">
        <w:rPr>
          <w:i/>
          <w:vertAlign w:val="subscript"/>
        </w:rPr>
        <w:t>age</w:t>
      </w:r>
      <w:proofErr w:type="spellEnd"/>
      <w:r w:rsidRPr="00DD0C44">
        <w:t>))</w:t>
      </w:r>
      <w:r w:rsidRPr="00DD0C44">
        <w:rPr>
          <w:i/>
        </w:rPr>
        <w:t xml:space="preserve"> / </w:t>
      </w:r>
      <w:proofErr w:type="spellStart"/>
      <w:r w:rsidRPr="00DD0C44">
        <w:rPr>
          <w:i/>
        </w:rPr>
        <w:t>cAgeDiff</w:t>
      </w:r>
      <w:proofErr w:type="spellEnd"/>
      <w:r w:rsidRPr="00DD0C44">
        <w:rPr>
          <w:i/>
        </w:rPr>
        <w:t xml:space="preserve"> </w:t>
      </w:r>
      <w:r w:rsidRPr="00DD0C44">
        <w:t>|</w:t>
      </w:r>
    </w:p>
    <w:p w14:paraId="13B93D09" w14:textId="77777777" w:rsidR="008F6970" w:rsidRPr="00DD0C44" w:rsidRDefault="008F6970" w:rsidP="008F6970">
      <w:pPr>
        <w:pStyle w:val="NormalIndent"/>
        <w:ind w:left="0"/>
        <w:rPr>
          <w:i/>
        </w:rPr>
      </w:pPr>
    </w:p>
    <w:p w14:paraId="00ED0150" w14:textId="6DBEC2B3" w:rsidR="00C0102B" w:rsidRPr="00DD0C44" w:rsidRDefault="008F6970" w:rsidP="005E3A44">
      <w:pPr>
        <w:rPr>
          <w:snapToGrid/>
        </w:rPr>
      </w:pPr>
      <w:r w:rsidRPr="00DD0C44">
        <w:rPr>
          <w:b/>
          <w:snapToGrid/>
        </w:rPr>
        <w:t>Race-mixing</w:t>
      </w:r>
      <w:r w:rsidR="005E3A44" w:rsidRPr="00DD0C44">
        <w:rPr>
          <w:b/>
          <w:snapToGrid/>
        </w:rPr>
        <w:t>:</w:t>
      </w:r>
      <w:r w:rsidR="005E3A44" w:rsidRPr="00DD0C44">
        <w:rPr>
          <w:snapToGrid/>
        </w:rPr>
        <w:t xml:space="preserve"> </w:t>
      </w:r>
      <w:r w:rsidRPr="00DD0C44">
        <w:rPr>
          <w:snapToGrid/>
        </w:rPr>
        <w:t>We model the likelihood of partnership between different races via three coefficient corresponding to a partnership between two white people, two black people, and a white and black person (</w:t>
      </w:r>
      <w:proofErr w:type="spellStart"/>
      <w:r w:rsidRPr="00DD0C44">
        <w:rPr>
          <w:snapToGrid/>
        </w:rPr>
        <w:t>pRaceMixing</w:t>
      </w:r>
      <w:proofErr w:type="spellEnd"/>
      <w:r w:rsidRPr="00DD0C44">
        <w:rPr>
          <w:snapToGrid/>
        </w:rPr>
        <w:t>=(</w:t>
      </w:r>
      <w:proofErr w:type="spellStart"/>
      <w:r w:rsidRPr="00DD0C44">
        <w:rPr>
          <w:i/>
          <w:snapToGrid/>
        </w:rPr>
        <w:t>p</w:t>
      </w:r>
      <w:r w:rsidRPr="00DD0C44">
        <w:rPr>
          <w:i/>
          <w:snapToGrid/>
          <w:vertAlign w:val="subscript"/>
        </w:rPr>
        <w:t>WW</w:t>
      </w:r>
      <w:proofErr w:type="spellEnd"/>
      <w:r w:rsidRPr="00DD0C44">
        <w:rPr>
          <w:i/>
          <w:snapToGrid/>
        </w:rPr>
        <w:t xml:space="preserve">, </w:t>
      </w:r>
      <w:proofErr w:type="spellStart"/>
      <w:r w:rsidRPr="00DD0C44">
        <w:rPr>
          <w:i/>
          <w:snapToGrid/>
        </w:rPr>
        <w:t>p</w:t>
      </w:r>
      <w:r w:rsidRPr="00DD0C44">
        <w:rPr>
          <w:i/>
          <w:snapToGrid/>
          <w:vertAlign w:val="subscript"/>
        </w:rPr>
        <w:t>BB</w:t>
      </w:r>
      <w:proofErr w:type="spellEnd"/>
      <w:r w:rsidRPr="00DD0C44">
        <w:rPr>
          <w:i/>
          <w:snapToGrid/>
        </w:rPr>
        <w:t xml:space="preserve">, </w:t>
      </w:r>
      <w:proofErr w:type="spellStart"/>
      <w:r w:rsidRPr="00DD0C44">
        <w:rPr>
          <w:i/>
          <w:snapToGrid/>
        </w:rPr>
        <w:t>p</w:t>
      </w:r>
      <w:r w:rsidRPr="00DD0C44">
        <w:rPr>
          <w:i/>
          <w:snapToGrid/>
          <w:vertAlign w:val="subscript"/>
        </w:rPr>
        <w:t>WB</w:t>
      </w:r>
      <w:proofErr w:type="spellEnd"/>
      <w:proofErr w:type="gramStart"/>
      <w:r w:rsidRPr="00DD0C44">
        <w:rPr>
          <w:snapToGrid/>
        </w:rPr>
        <w:t>) )</w:t>
      </w:r>
      <w:proofErr w:type="gramEnd"/>
      <w:r w:rsidRPr="00DD0C44">
        <w:rPr>
          <w:snapToGrid/>
        </w:rPr>
        <w:t xml:space="preserve">. These coefficient are tuned to calibrate the estimated proportion of same race partnerships in Baltimore’s MSM </w:t>
      </w:r>
      <w:r w:rsidRPr="00DD0C44">
        <w:rPr>
          <w:snapToGrid/>
        </w:rPr>
        <w:fldChar w:fldCharType="begin" w:fldLock="1"/>
      </w:r>
      <w:r w:rsidR="00A25AEE" w:rsidRPr="00DD0C44">
        <w:rPr>
          <w:snapToGrid/>
        </w:rPr>
        <w:instrText>ADDIN CSL_CITATION { "citationItems" : [ { "id" : "ITEM-1", "itemData" : { "author" : [ { "dropping-particle" : "", "family" : "White", "given" : "Jaclyn M.", "non-dropping-particle" : "", "parse-names" : false, "suffix" : "" }, { "dropping-particle" : "", "family" : "Reisner", "given" : "Sari L.", "non-dropping-particle" : "", "parse-names" : false, "suffix" : "" }, { "dropping-particle" : "", "family" : "Dunham", "given" : "Emilia", "non-dropping-particle" : "", "parse-names" : false, "suffix" : "" }, { "dropping-particle" : "", "family" : "Mimiaga", "given" : "Matthew J.", "non-dropping-particle" : "", "parse-names" : false, "suffix" : "" } ], "container-title" : "Journal of Urban Health", "id" : "ITEM-1", "issue" : "4", "issued" : { "date-parts" : [ [ "2014" ] ] }, "page" : "768-775", "title" : "Race-Based Sexual Preferences in a Sample of Online Profiles of Urban Men Seeking Sex with Men.", "type" : "article-journal", "volume" : "91" }, "uris" : [ "http://www.mendeley.com/documents/?uuid=00c918b5-4d92-4b14-bdc6-70a1312564de" ] }, { "id" : "ITEM-2", "itemData" : { "author" : [ { "dropping-particle" : "", "family" : "Wilson", "given" : "David P.", "non-dropping-particle" : "", "parse-names" : false, "suffix" : "" } ], "container-title" : "J Acquir Immune Defic Syndr", "id" : "ITEM-2", "issue" : "3", "issued" : { "date-parts" : [ [ "2009" ] ] }, "note" : "From Duplicate 1 ( Modelling based on Australian HIV notifications data suggests homosexual age mixing is primarily assortative. - Wilson, David P. )\n\n\n\n", "page" : "356-360", "title" : "Modelling based on Australian HIV notifications data suggests homosexual age mixing is primarily assortative.", "type" : "article-journal", "volume" : "51" }, "uris" : [ "http://www.mendeley.com/documents/?uuid=4b7ba334-0f79-456a-b2e7-c8dbdf766dd2" ] } ], "mendeley" : { "formattedCitation" : "[15,16]", "plainTextFormattedCitation" : "[15,16]", "previouslyFormattedCitation" : "[15,16]" }, "properties" : { "noteIndex" : 0 }, "schema" : "https://github.com/citation-style-language/schema/raw/master/csl-citation.json" }</w:instrText>
      </w:r>
      <w:r w:rsidRPr="00DD0C44">
        <w:rPr>
          <w:snapToGrid/>
        </w:rPr>
        <w:fldChar w:fldCharType="separate"/>
      </w:r>
      <w:r w:rsidR="00114C44" w:rsidRPr="00DD0C44">
        <w:rPr>
          <w:noProof/>
          <w:snapToGrid/>
        </w:rPr>
        <w:t>[15,16]</w:t>
      </w:r>
      <w:r w:rsidRPr="00DD0C44">
        <w:rPr>
          <w:snapToGrid/>
        </w:rPr>
        <w:fldChar w:fldCharType="end"/>
      </w:r>
      <w:r w:rsidRPr="00DD0C44">
        <w:rPr>
          <w:snapToGrid/>
        </w:rPr>
        <w:t>.</w:t>
      </w:r>
    </w:p>
    <w:p w14:paraId="0A2B1D25" w14:textId="77777777" w:rsidR="007755D2" w:rsidRPr="00DD0C44" w:rsidRDefault="007755D2" w:rsidP="007755D2">
      <w:pPr>
        <w:pStyle w:val="NormalIndent"/>
      </w:pPr>
    </w:p>
    <w:p w14:paraId="6FAC3EB0" w14:textId="6759CF73" w:rsidR="008F6970" w:rsidRPr="00DD0C44" w:rsidRDefault="00C0102B" w:rsidP="00C0102B">
      <w:pPr>
        <w:pStyle w:val="Heading2"/>
      </w:pPr>
      <w:r w:rsidRPr="00DD0C44">
        <w:t>Epidemiological M</w:t>
      </w:r>
      <w:r w:rsidR="008F6970" w:rsidRPr="00DD0C44">
        <w:t>odule</w:t>
      </w:r>
    </w:p>
    <w:p w14:paraId="3DEDD787" w14:textId="77777777" w:rsidR="009562F8" w:rsidRPr="00DD0C44" w:rsidRDefault="008F6970" w:rsidP="009562F8">
      <w:pPr>
        <w:rPr>
          <w:snapToGrid/>
        </w:rPr>
      </w:pPr>
      <w:r w:rsidRPr="00DD0C44">
        <w:rPr>
          <w:snapToGrid/>
        </w:rPr>
        <w:t>This module governs various aspects of HIV natural history and cascade of care, and is evaluated at the end of each week.</w:t>
      </w:r>
    </w:p>
    <w:p w14:paraId="583D61AA" w14:textId="1F9A95FB" w:rsidR="00A10D8D" w:rsidRPr="00DD0C44" w:rsidRDefault="008F6970" w:rsidP="00A10D8D">
      <w:pPr>
        <w:pStyle w:val="Heading3"/>
        <w:rPr>
          <w:snapToGrid/>
        </w:rPr>
      </w:pPr>
      <w:r w:rsidRPr="00DD0C44">
        <w:rPr>
          <w:snapToGrid/>
        </w:rPr>
        <w:t>HIV Transmission</w:t>
      </w:r>
    </w:p>
    <w:p w14:paraId="68723DF7" w14:textId="45D88CB3" w:rsidR="008F6970" w:rsidRPr="00DD0C44" w:rsidRDefault="008F6970" w:rsidP="008F6970">
      <w:pPr>
        <w:rPr>
          <w:snapToGrid/>
        </w:rPr>
      </w:pPr>
      <w:r w:rsidRPr="00DD0C44">
        <w:rPr>
          <w:snapToGrid/>
        </w:rPr>
        <w:t xml:space="preserve">HIV transmission is evaluated for all active partnerships of HIV infected individuals with susceptible partners at the end of each week. </w:t>
      </w:r>
    </w:p>
    <w:p w14:paraId="0F49F8FE" w14:textId="6A92C0C4" w:rsidR="007176C4" w:rsidRPr="00DD0C44" w:rsidRDefault="008F6970" w:rsidP="008F6970">
      <w:pPr>
        <w:rPr>
          <w:snapToGrid/>
        </w:rPr>
      </w:pPr>
      <w:r w:rsidRPr="00DD0C44">
        <w:rPr>
          <w:snapToGrid/>
        </w:rPr>
        <w:t xml:space="preserve">The likelihood of transmission is modeled as a function of </w:t>
      </w:r>
      <w:r w:rsidR="00450B4C" w:rsidRPr="00DD0C44">
        <w:rPr>
          <w:snapToGrid/>
        </w:rPr>
        <w:t>the HIV-positive</w:t>
      </w:r>
      <w:r w:rsidRPr="00DD0C44">
        <w:rPr>
          <w:snapToGrid/>
        </w:rPr>
        <w:t xml:space="preserve"> partner’s </w:t>
      </w:r>
      <w:r w:rsidR="00450B4C" w:rsidRPr="00DD0C44">
        <w:rPr>
          <w:snapToGrid/>
        </w:rPr>
        <w:t>viral load</w:t>
      </w:r>
      <w:r w:rsidRPr="00DD0C44">
        <w:rPr>
          <w:snapToGrid/>
        </w:rPr>
        <w:t xml:space="preserve">, </w:t>
      </w:r>
      <w:r w:rsidR="00450B4C" w:rsidRPr="00DD0C44">
        <w:rPr>
          <w:snapToGrid/>
        </w:rPr>
        <w:t>susceptibility of the HIV-negative</w:t>
      </w:r>
      <w:r w:rsidRPr="00DD0C44">
        <w:rPr>
          <w:snapToGrid/>
        </w:rPr>
        <w:t xml:space="preserve"> partner, and a global transmission coefficient. </w:t>
      </w:r>
    </w:p>
    <w:p w14:paraId="57D6B8B7" w14:textId="11EC42A9" w:rsidR="007176C4" w:rsidRPr="00DD0C44" w:rsidRDefault="007176C4" w:rsidP="008F6970">
      <w:pPr>
        <w:rPr>
          <w:snapToGrid/>
        </w:rPr>
      </w:pPr>
      <w:r w:rsidRPr="00DD0C44">
        <w:rPr>
          <w:b/>
          <w:snapToGrid/>
        </w:rPr>
        <w:t xml:space="preserve">Infectiousness: </w:t>
      </w:r>
      <w:r w:rsidR="008F6970" w:rsidRPr="00DD0C44">
        <w:rPr>
          <w:snapToGrid/>
        </w:rPr>
        <w:t>Infectiousness is modeled as a function of viral load corresponding t</w:t>
      </w:r>
      <w:r w:rsidR="00CE02A7" w:rsidRPr="00DD0C44">
        <w:rPr>
          <w:snapToGrid/>
        </w:rPr>
        <w:t xml:space="preserve">o their disease </w:t>
      </w:r>
      <w:r w:rsidR="00450B4C" w:rsidRPr="00DD0C44">
        <w:rPr>
          <w:snapToGrid/>
        </w:rPr>
        <w:t xml:space="preserve">state </w:t>
      </w:r>
      <w:r w:rsidR="00CE02A7" w:rsidRPr="00DD0C44">
        <w:rPr>
          <w:snapToGrid/>
        </w:rPr>
        <w:t xml:space="preserve">and </w:t>
      </w:r>
      <w:r w:rsidR="00450B4C" w:rsidRPr="00DD0C44">
        <w:rPr>
          <w:snapToGrid/>
        </w:rPr>
        <w:t>ART status</w:t>
      </w:r>
      <w:r w:rsidR="00CE02A7" w:rsidRPr="00DD0C44">
        <w:rPr>
          <w:snapToGrid/>
        </w:rPr>
        <w:t xml:space="preserve"> as 2.45</w:t>
      </w:r>
      <w:r w:rsidR="00CE02A7" w:rsidRPr="00DD0C44">
        <w:rPr>
          <w:snapToGrid/>
          <w:vertAlign w:val="superscript"/>
        </w:rPr>
        <w:t>(</w:t>
      </w:r>
      <w:proofErr w:type="gramStart"/>
      <w:r w:rsidR="00CE02A7" w:rsidRPr="00DD0C44">
        <w:rPr>
          <w:snapToGrid/>
          <w:vertAlign w:val="superscript"/>
        </w:rPr>
        <w:t>log(</w:t>
      </w:r>
      <w:proofErr w:type="gramEnd"/>
      <w:r w:rsidR="00CE02A7" w:rsidRPr="00DD0C44">
        <w:rPr>
          <w:snapToGrid/>
          <w:vertAlign w:val="superscript"/>
        </w:rPr>
        <w:t>VL)-4.5)</w:t>
      </w:r>
      <w:r w:rsidR="00CE02A7" w:rsidRPr="00DD0C44">
        <w:rPr>
          <w:snapToGrid/>
        </w:rPr>
        <w:t xml:space="preserve"> </w:t>
      </w:r>
      <w:r w:rsidR="00CE02A7" w:rsidRPr="00DD0C44">
        <w:rPr>
          <w:snapToGrid/>
        </w:rPr>
        <w:fldChar w:fldCharType="begin" w:fldLock="1"/>
      </w:r>
      <w:r w:rsidRPr="00DD0C44">
        <w:rPr>
          <w:snapToGrid/>
        </w:rPr>
        <w:instrText>ADDIN CSL_CITATION { "citationItems" : [ { "id" : "ITEM-1", "itemData" : { "DOI" : "10.1016/S0140-6736(08)61115-0", "ISSN" : "1474-547X", "PMID" : "18657710", "abstract" : "BACKGROUND: A consensus statement released on behalf of the Swiss Federal Commission for HIV/AIDS suggests that people receiving effective antiretroviral therapy-ie, those with undetectable plasma HIV RNA (&lt;40 copies per mL)-are sexually non-infectious. We analysed the implications of this statement at a population level.\n\nMETHODS: We used a simple mathematical model to estimate the cumulative risk of HIV transmission from effectively treated HIV-infected patients (HIV RNA &lt;10 copies per mL) over a prolonged period. We investigated the risk of unprotected sexual transmission per act and cumulatively over many exposures, within couples initially discordant for HIV status.\n\nFINDINGS: Assuming that each couple had 100 sexual encounters per year, the cumulative probability of transmission to the serodiscordant partner each year is 0.0022 (uncertainty bounds 0.0008-0.0058) for female-to-male transmission, 0.0043 (0.0016-0.0115) for male-to-female transmission, and 0.043 (0.0159-0.1097) for male-to-male transmission. In a population of 10 000 serodiscordant partnerships, over 10 years the expected number of seroconversions would be 215 (80-564) for female-to-male transmission, 425 (159-1096) for male-to-female transmission, and 3524 (1477-6871) for male-to-male transmission, corresponding to an increase in incidence of four times compared with incidence under current rates of condom use.\n\nINTERPRETATION: Our analyses suggest that the risk of HIV transmission in heterosexual partnerships in the presence of effective treatment is low but non-zero and that the transmission risk in male homosexual partnerships is high over repeated exposures. If the claim of non-infectiousness in effectively treated patients was widely accepted, and condom use subsequently declined, then there is the potential for substantial increases in HIV incidence.\n\nFUNDING: Australian Research Council.", "author" : [ { "dropping-particle" : "", "family" : "Wilson", "given" : "David P", "non-dropping-particle" : "", "parse-names" : false, "suffix" : "" }, { "dropping-particle" : "", "family" : "Law", "given" : "Matthew G", "non-dropping-particle" : "", "parse-names" : false, "suffix" : "" }, { "dropping-particle" : "", "family" : "Grulich", "given" : "Andrew E", "non-dropping-particle" : "", "parse-names" : false, "suffix" : "" }, { "dropping-particle" : "", "family" : "Cooper", "given" : "David A", "non-dropping-particle" : "", "parse-names" : false, "suffix" : "" }, { "dropping-particle" : "", "family" : "Kaldor", "given" : "John M", "non-dropping-particle" : "", "parse-names" : false, "suffix" : "" } ], "container-title" : "Lancet", "id" : "ITEM-1", "issue" : "9635", "issued" : { "date-parts" : [ [ "2008", "7", "26" ] ] }, "language" : "English", "page" : "314-20", "publisher" : "Elsevier", "title" : "Relation between HIV viral load and infectiousness: a model-based analysis.", "type" : "article-journal", "volume" : "372" }, "uris" : [ "http://www.mendeley.com/documents/?uuid=ef592944-8407-4eb3-8ca9-fedf2d33ea8c" ] } ], "mendeley" : { "formattedCitation" : "[17]", "plainTextFormattedCitation" : "[17]", "previouslyFormattedCitation" : "[17]" }, "properties" : { "noteIndex" : 0 }, "schema" : "https://github.com/citation-style-language/schema/raw/master/csl-citation.json" }</w:instrText>
      </w:r>
      <w:r w:rsidR="00CE02A7" w:rsidRPr="00DD0C44">
        <w:rPr>
          <w:snapToGrid/>
        </w:rPr>
        <w:fldChar w:fldCharType="separate"/>
      </w:r>
      <w:r w:rsidR="00CE02A7" w:rsidRPr="00DD0C44">
        <w:rPr>
          <w:noProof/>
          <w:snapToGrid/>
        </w:rPr>
        <w:t>[17]</w:t>
      </w:r>
      <w:r w:rsidR="00CE02A7" w:rsidRPr="00DD0C44">
        <w:rPr>
          <w:snapToGrid/>
        </w:rPr>
        <w:fldChar w:fldCharType="end"/>
      </w:r>
      <w:r w:rsidR="008F6970" w:rsidRPr="00DD0C44">
        <w:rPr>
          <w:snapToGrid/>
        </w:rPr>
        <w:t xml:space="preserve">. </w:t>
      </w:r>
      <w:r w:rsidRPr="00DD0C44">
        <w:rPr>
          <w:snapToGrid/>
        </w:rPr>
        <w:t xml:space="preserve">The average viral load is assumed </w:t>
      </w:r>
      <w:r w:rsidR="00450B4C" w:rsidRPr="00DD0C44">
        <w:rPr>
          <w:snapToGrid/>
        </w:rPr>
        <w:t>to be fixed within each disease stage</w:t>
      </w:r>
      <w:r w:rsidRPr="00DD0C44">
        <w:rPr>
          <w:snapToGrid/>
        </w:rPr>
        <w:t xml:space="preserve"> level according to previous estimates </w:t>
      </w:r>
      <w:r w:rsidRPr="00DD0C44">
        <w:rPr>
          <w:snapToGrid/>
        </w:rPr>
        <w:fldChar w:fldCharType="begin" w:fldLock="1"/>
      </w:r>
      <w:r w:rsidRPr="00DD0C44">
        <w:rPr>
          <w:snapToGrid/>
        </w:rPr>
        <w:instrText>ADDIN CSL_CITATION { "citationItems" : [ { "id" : "ITEM-1", "itemData" : { "DOI" : "10.1016/S0140-6736(12)60821-6", "ISSN" : "1474-547X", "PMID" : "22819660",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"7", "28" ] ] }, "page" : "367-77", "title" : "Global epidemiology of HIV infection in men who have sex with men.", "type" : "article-journal", "volume" : "380" }, "uris" : [ "http://www.mendeley.com/documents/?uuid=903adf83-d472-476e-8b51-b6b2b2c55a0e" ] } ], "mendeley" : { "formattedCitation" : "[18]", "plainTextFormattedCitation" : "[18]", "previouslyFormattedCitation" : "[17]" }, "properties" : { "noteIndex" : 0 }, "schema" : "https://github.com/citation-style-language/schema/raw/master/csl-citation.json" }</w:instrText>
      </w:r>
      <w:r w:rsidRPr="00DD0C44">
        <w:rPr>
          <w:snapToGrid/>
        </w:rPr>
        <w:fldChar w:fldCharType="separate"/>
      </w:r>
      <w:r w:rsidRPr="00DD0C44">
        <w:rPr>
          <w:noProof/>
          <w:snapToGrid/>
        </w:rPr>
        <w:t>[18]</w:t>
      </w:r>
      <w:r w:rsidRPr="00DD0C44">
        <w:rPr>
          <w:snapToGrid/>
        </w:rPr>
        <w:fldChar w:fldCharType="end"/>
      </w:r>
      <w:r w:rsidR="00450B4C" w:rsidRPr="00DD0C44">
        <w:rPr>
          <w:snapToGrid/>
        </w:rPr>
        <w:t>.</w:t>
      </w:r>
    </w:p>
    <w:p w14:paraId="26C6F36B" w14:textId="5D4C97F4" w:rsidR="00276984" w:rsidRPr="00DD0C44" w:rsidRDefault="007176C4" w:rsidP="008F6970">
      <w:pPr>
        <w:rPr>
          <w:snapToGrid/>
        </w:rPr>
      </w:pPr>
      <w:r w:rsidRPr="00DD0C44">
        <w:rPr>
          <w:b/>
          <w:snapToGrid/>
        </w:rPr>
        <w:t>Susceptibility:</w:t>
      </w:r>
      <w:r w:rsidRPr="00DD0C44">
        <w:rPr>
          <w:snapToGrid/>
        </w:rPr>
        <w:t xml:space="preserve"> </w:t>
      </w:r>
      <w:r w:rsidR="00450B4C" w:rsidRPr="00DD0C44">
        <w:rPr>
          <w:snapToGrid/>
        </w:rPr>
        <w:t>S</w:t>
      </w:r>
      <w:r w:rsidRPr="00DD0C44">
        <w:rPr>
          <w:snapToGrid/>
        </w:rPr>
        <w:t>usceptibility</w:t>
      </w:r>
      <w:r w:rsidR="008F6970" w:rsidRPr="00DD0C44">
        <w:rPr>
          <w:snapToGrid/>
        </w:rPr>
        <w:t xml:space="preserve"> to infection is modeled a</w:t>
      </w:r>
      <w:r w:rsidR="009562F8" w:rsidRPr="00DD0C44">
        <w:rPr>
          <w:snapToGrid/>
        </w:rPr>
        <w:t xml:space="preserve">s a function of PrEP </w:t>
      </w:r>
      <w:r w:rsidR="00276984" w:rsidRPr="00DD0C44">
        <w:rPr>
          <w:snapToGrid/>
        </w:rPr>
        <w:t>usage</w:t>
      </w:r>
      <w:r w:rsidR="009562F8" w:rsidRPr="00DD0C44">
        <w:rPr>
          <w:snapToGrid/>
        </w:rPr>
        <w:t xml:space="preserve">, </w:t>
      </w:r>
      <w:r w:rsidR="008F6970" w:rsidRPr="00DD0C44">
        <w:rPr>
          <w:snapToGrid/>
        </w:rPr>
        <w:t xml:space="preserve">ranging between </w:t>
      </w:r>
      <w:r w:rsidR="00276984" w:rsidRPr="00DD0C44">
        <w:rPr>
          <w:snapToGrid/>
        </w:rPr>
        <w:t>1</w:t>
      </w:r>
      <w:r w:rsidR="008F6970" w:rsidRPr="00DD0C44">
        <w:rPr>
          <w:snapToGrid/>
        </w:rPr>
        <w:t xml:space="preserve"> </w:t>
      </w:r>
      <w:r w:rsidR="009562F8" w:rsidRPr="00DD0C44">
        <w:rPr>
          <w:snapToGrid/>
        </w:rPr>
        <w:t xml:space="preserve">(in absence of PrEP) and </w:t>
      </w:r>
      <w:r w:rsidR="00276984" w:rsidRPr="00DD0C44">
        <w:rPr>
          <w:snapToGrid/>
        </w:rPr>
        <w:t>0</w:t>
      </w:r>
      <w:r w:rsidR="009562F8" w:rsidRPr="00DD0C44">
        <w:rPr>
          <w:snapToGrid/>
        </w:rPr>
        <w:t xml:space="preserve"> (full </w:t>
      </w:r>
      <w:r w:rsidR="00276984" w:rsidRPr="00DD0C44">
        <w:rPr>
          <w:snapToGrid/>
        </w:rPr>
        <w:t>protection under</w:t>
      </w:r>
      <w:r w:rsidR="009562F8" w:rsidRPr="00DD0C44">
        <w:rPr>
          <w:snapToGrid/>
        </w:rPr>
        <w:t xml:space="preserve"> PrEP)</w:t>
      </w:r>
      <w:r w:rsidR="008F6970" w:rsidRPr="00DD0C44">
        <w:rPr>
          <w:snapToGrid/>
        </w:rPr>
        <w:t xml:space="preserve">. </w:t>
      </w:r>
    </w:p>
    <w:p w14:paraId="01C02A77" w14:textId="69BE79E3" w:rsidR="008F6970" w:rsidRPr="00DD0C44" w:rsidRDefault="00276984" w:rsidP="008F6970">
      <w:pPr>
        <w:rPr>
          <w:b/>
          <w:snapToGrid/>
        </w:rPr>
      </w:pPr>
      <w:r w:rsidRPr="00DD0C44">
        <w:rPr>
          <w:snapToGrid/>
        </w:rPr>
        <w:lastRenderedPageBreak/>
        <w:t xml:space="preserve">Transmission coefficient: </w:t>
      </w:r>
      <w:r w:rsidR="008F6970" w:rsidRPr="00DD0C44">
        <w:rPr>
          <w:snapToGrid/>
        </w:rPr>
        <w:t>The transmission coefficient</w:t>
      </w:r>
      <w:r w:rsidRPr="00DD0C44">
        <w:rPr>
          <w:snapToGrid/>
        </w:rPr>
        <w:t xml:space="preserve"> is a simulation variable that</w:t>
      </w:r>
      <w:r w:rsidR="008F6970" w:rsidRPr="00DD0C44">
        <w:rPr>
          <w:snapToGrid/>
        </w:rPr>
        <w:t xml:space="preserve"> captures the baseline probability of HIV transmission per contact </w:t>
      </w:r>
      <w:r w:rsidRPr="00DD0C44">
        <w:rPr>
          <w:snapToGrid/>
        </w:rPr>
        <w:t xml:space="preserve">and </w:t>
      </w:r>
      <w:r w:rsidR="00450B4C" w:rsidRPr="00DD0C44">
        <w:rPr>
          <w:snapToGrid/>
        </w:rPr>
        <w:t>is</w:t>
      </w:r>
      <w:r w:rsidRPr="00DD0C44">
        <w:rPr>
          <w:snapToGrid/>
        </w:rPr>
        <w:t xml:space="preserve"> used to </w:t>
      </w:r>
      <w:r w:rsidR="008F6970" w:rsidRPr="00DD0C44">
        <w:rPr>
          <w:snapToGrid/>
        </w:rPr>
        <w:t xml:space="preserve">calibrate </w:t>
      </w:r>
      <w:r w:rsidR="00450B4C" w:rsidRPr="00DD0C44">
        <w:rPr>
          <w:snapToGrid/>
        </w:rPr>
        <w:t xml:space="preserve">the model to </w:t>
      </w:r>
      <w:r w:rsidR="008F6970" w:rsidRPr="00DD0C44">
        <w:rPr>
          <w:snapToGrid/>
        </w:rPr>
        <w:t xml:space="preserve">disease prevalence at equilibrium. </w:t>
      </w:r>
    </w:p>
    <w:p w14:paraId="4429C2C4" w14:textId="1D3112CD" w:rsidR="008F6970" w:rsidRPr="00DD0C44" w:rsidRDefault="00450B4C" w:rsidP="008F6970">
      <w:pPr>
        <w:rPr>
          <w:snapToGrid/>
        </w:rPr>
      </w:pPr>
      <w:r w:rsidRPr="00DD0C44">
        <w:rPr>
          <w:snapToGrid/>
        </w:rPr>
        <w:t>T</w:t>
      </w:r>
      <w:r w:rsidR="008F6970" w:rsidRPr="00DD0C44">
        <w:rPr>
          <w:snapToGrid/>
        </w:rPr>
        <w:t xml:space="preserve">he </w:t>
      </w:r>
      <w:r w:rsidR="00276984" w:rsidRPr="00DD0C44">
        <w:rPr>
          <w:snapToGrid/>
        </w:rPr>
        <w:t>weekly likelihood of transmission</w:t>
      </w:r>
      <w:r w:rsidRPr="00DD0C44">
        <w:rPr>
          <w:snapToGrid/>
        </w:rPr>
        <w:t>, per</w:t>
      </w:r>
      <w:r w:rsidR="00276984" w:rsidRPr="00DD0C44">
        <w:rPr>
          <w:snapToGrid/>
        </w:rPr>
        <w:t xml:space="preserve"> </w:t>
      </w:r>
      <w:r w:rsidR="008F6970" w:rsidRPr="00DD0C44">
        <w:rPr>
          <w:snapToGrid/>
        </w:rPr>
        <w:t>contact</w:t>
      </w:r>
      <w:r w:rsidRPr="00DD0C44">
        <w:rPr>
          <w:snapToGrid/>
        </w:rPr>
        <w:t>,</w:t>
      </w:r>
      <w:r w:rsidR="008F6970" w:rsidRPr="00DD0C44">
        <w:rPr>
          <w:snapToGrid/>
        </w:rPr>
        <w:t xml:space="preserve"> is estimated a</w:t>
      </w:r>
      <w:r w:rsidRPr="00DD0C44">
        <w:rPr>
          <w:snapToGrid/>
        </w:rPr>
        <w:t>ccording to the equation</w:t>
      </w:r>
      <w:r w:rsidR="008F6970" w:rsidRPr="00DD0C44">
        <w:rPr>
          <w:snapToGrid/>
        </w:rPr>
        <w:t>:</w:t>
      </w:r>
    </w:p>
    <w:p w14:paraId="1121A124" w14:textId="3958E6B1" w:rsidR="008F6970" w:rsidRPr="00DD0C44" w:rsidRDefault="008F6970" w:rsidP="008F6970">
      <w:pPr>
        <w:pStyle w:val="NormalIndent"/>
        <w:rPr>
          <w:i/>
        </w:rPr>
      </w:pPr>
      <w:r w:rsidRPr="00DD0C44">
        <w:rPr>
          <w:i/>
        </w:rPr>
        <w:tab/>
      </w:r>
      <w:r w:rsidRPr="00DD0C44">
        <w:rPr>
          <w:i/>
        </w:rPr>
        <w:tab/>
      </w:r>
      <w:r w:rsidRPr="00DD0C44">
        <w:rPr>
          <w:i/>
        </w:rPr>
        <w:tab/>
      </w:r>
      <w:r w:rsidRPr="00DD0C44">
        <w:rPr>
          <w:i/>
        </w:rPr>
        <w:tab/>
      </w:r>
      <w:proofErr w:type="spellStart"/>
      <w:proofErr w:type="gramStart"/>
      <w:r w:rsidRPr="00DD0C44">
        <w:rPr>
          <w:i/>
        </w:rPr>
        <w:t>pTrans</w:t>
      </w:r>
      <w:proofErr w:type="spellEnd"/>
      <w:proofErr w:type="gramEnd"/>
      <w:r w:rsidRPr="00DD0C44">
        <w:rPr>
          <w:i/>
        </w:rPr>
        <w:t>(</w:t>
      </w:r>
      <w:proofErr w:type="spellStart"/>
      <w:r w:rsidRPr="00DD0C44">
        <w:rPr>
          <w:i/>
        </w:rPr>
        <w:t>p,q</w:t>
      </w:r>
      <w:proofErr w:type="spellEnd"/>
      <w:r w:rsidRPr="00DD0C44">
        <w:rPr>
          <w:i/>
        </w:rPr>
        <w:t xml:space="preserve">)= CT * (1- </w:t>
      </w:r>
      <w:proofErr w:type="spellStart"/>
      <w:r w:rsidRPr="00DD0C44">
        <w:rPr>
          <w:i/>
        </w:rPr>
        <w:t>q</w:t>
      </w:r>
      <w:r w:rsidRPr="00DD0C44">
        <w:rPr>
          <w:i/>
          <w:vertAlign w:val="subscript"/>
        </w:rPr>
        <w:t>Immunity</w:t>
      </w:r>
      <w:proofErr w:type="spellEnd"/>
      <w:r w:rsidRPr="00DD0C44">
        <w:rPr>
          <w:i/>
        </w:rPr>
        <w:t xml:space="preserve">) * </w:t>
      </w:r>
      <w:proofErr w:type="spellStart"/>
      <w:r w:rsidRPr="00DD0C44">
        <w:rPr>
          <w:i/>
        </w:rPr>
        <w:t>p</w:t>
      </w:r>
      <w:r w:rsidRPr="00DD0C44">
        <w:rPr>
          <w:i/>
          <w:vertAlign w:val="subscript"/>
        </w:rPr>
        <w:t>Infectiousness</w:t>
      </w:r>
      <w:proofErr w:type="spellEnd"/>
      <w:r w:rsidRPr="00DD0C44">
        <w:rPr>
          <w:i/>
          <w:vertAlign w:val="subscript"/>
        </w:rPr>
        <w:t xml:space="preserve"> </w:t>
      </w:r>
    </w:p>
    <w:p w14:paraId="522F9494" w14:textId="77777777" w:rsidR="008F6970" w:rsidRPr="00DD0C44" w:rsidRDefault="008F6970" w:rsidP="008F6970">
      <w:pPr>
        <w:pStyle w:val="NormalIndent"/>
        <w:ind w:left="0"/>
      </w:pPr>
      <w:r w:rsidRPr="00DD0C44">
        <w:t>where</w:t>
      </w:r>
    </w:p>
    <w:p w14:paraId="0663DBF1" w14:textId="77777777" w:rsidR="008F6970" w:rsidRPr="00DD0C44" w:rsidRDefault="008F6970" w:rsidP="00864575">
      <w:pPr>
        <w:pStyle w:val="NormalIndent"/>
        <w:spacing w:after="0"/>
      </w:pPr>
      <w:proofErr w:type="spellStart"/>
      <w:proofErr w:type="gramStart"/>
      <w:r w:rsidRPr="00DD0C44">
        <w:rPr>
          <w:i/>
        </w:rPr>
        <w:t>pTrans</w:t>
      </w:r>
      <w:proofErr w:type="spellEnd"/>
      <w:proofErr w:type="gramEnd"/>
      <w:r w:rsidRPr="00DD0C44">
        <w:rPr>
          <w:i/>
        </w:rPr>
        <w:t>(</w:t>
      </w:r>
      <w:proofErr w:type="spellStart"/>
      <w:r w:rsidRPr="00DD0C44">
        <w:rPr>
          <w:i/>
        </w:rPr>
        <w:t>p,q,t</w:t>
      </w:r>
      <w:proofErr w:type="spellEnd"/>
      <w:r w:rsidRPr="00DD0C44">
        <w:rPr>
          <w:i/>
        </w:rPr>
        <w:t>):</w:t>
      </w:r>
      <w:r w:rsidRPr="00DD0C44">
        <w:t xml:space="preserve"> </w:t>
      </w:r>
      <w:r w:rsidRPr="00DD0C44">
        <w:tab/>
        <w:t>Probability of transmission between person</w:t>
      </w:r>
      <w:r w:rsidRPr="00DD0C44">
        <w:rPr>
          <w:i/>
        </w:rPr>
        <w:t xml:space="preserve"> p</w:t>
      </w:r>
      <w:r w:rsidRPr="00DD0C44">
        <w:t xml:space="preserve"> (infected) and </w:t>
      </w:r>
      <w:r w:rsidRPr="00DD0C44">
        <w:rPr>
          <w:i/>
        </w:rPr>
        <w:t>q</w:t>
      </w:r>
      <w:r w:rsidRPr="00DD0C44">
        <w:t xml:space="preserve"> (susceptible)</w:t>
      </w:r>
    </w:p>
    <w:p w14:paraId="3FF96ECA" w14:textId="77777777" w:rsidR="008F6970" w:rsidRPr="00DD0C44" w:rsidRDefault="008F6970" w:rsidP="00864575">
      <w:pPr>
        <w:pStyle w:val="NormalIndent"/>
        <w:spacing w:after="0"/>
      </w:pPr>
      <w:r w:rsidRPr="00DD0C44">
        <w:rPr>
          <w:i/>
        </w:rPr>
        <w:t>CT</w:t>
      </w:r>
      <w:r w:rsidRPr="00DD0C44">
        <w:t>:</w:t>
      </w:r>
      <w:r w:rsidRPr="00DD0C44">
        <w:tab/>
      </w:r>
      <w:r w:rsidRPr="00DD0C44">
        <w:tab/>
      </w:r>
      <w:r w:rsidRPr="00DD0C44">
        <w:tab/>
        <w:t>Coefficient of transmission</w:t>
      </w:r>
    </w:p>
    <w:p w14:paraId="5F1C04BC" w14:textId="07352988" w:rsidR="008F6970" w:rsidRPr="00DD0C44" w:rsidRDefault="008F6970" w:rsidP="00864575">
      <w:pPr>
        <w:pStyle w:val="NormalIndent"/>
        <w:spacing w:after="0"/>
      </w:pPr>
      <w:proofErr w:type="spellStart"/>
      <w:proofErr w:type="gramStart"/>
      <w:r w:rsidRPr="00DD0C44">
        <w:rPr>
          <w:i/>
        </w:rPr>
        <w:t>q</w:t>
      </w:r>
      <w:r w:rsidRPr="00DD0C44">
        <w:rPr>
          <w:i/>
          <w:vertAlign w:val="subscript"/>
        </w:rPr>
        <w:t>Immunity</w:t>
      </w:r>
      <w:proofErr w:type="spellEnd"/>
      <w:proofErr w:type="gramEnd"/>
      <w:r w:rsidRPr="00DD0C44">
        <w:rPr>
          <w:i/>
          <w:vertAlign w:val="subscript"/>
        </w:rPr>
        <w:t xml:space="preserve"> </w:t>
      </w:r>
      <w:r w:rsidRPr="00DD0C44">
        <w:rPr>
          <w:i/>
        </w:rPr>
        <w:t>:</w:t>
      </w:r>
      <w:r w:rsidRPr="00DD0C44">
        <w:tab/>
      </w:r>
      <w:r w:rsidR="00450B4C" w:rsidRPr="00DD0C44">
        <w:t>S</w:t>
      </w:r>
      <w:r w:rsidR="00276984" w:rsidRPr="00DD0C44">
        <w:t>usceptibility</w:t>
      </w:r>
      <w:r w:rsidR="00450B4C" w:rsidRPr="00DD0C44">
        <w:t xml:space="preserve"> of the HIV-negative partner (i.e., effect of PrEP)</w:t>
      </w:r>
    </w:p>
    <w:p w14:paraId="50EE99D4" w14:textId="6BB2900F" w:rsidR="008F6970" w:rsidRPr="00DD0C44" w:rsidRDefault="008F6970" w:rsidP="00864575">
      <w:pPr>
        <w:pStyle w:val="NormalIndent"/>
        <w:spacing w:after="0"/>
      </w:pPr>
      <w:proofErr w:type="spellStart"/>
      <w:proofErr w:type="gramStart"/>
      <w:r w:rsidRPr="00DD0C44">
        <w:rPr>
          <w:i/>
        </w:rPr>
        <w:t>p</w:t>
      </w:r>
      <w:r w:rsidRPr="00DD0C44">
        <w:rPr>
          <w:i/>
          <w:vertAlign w:val="subscript"/>
        </w:rPr>
        <w:t>Infectiousness</w:t>
      </w:r>
      <w:proofErr w:type="spellEnd"/>
      <w:proofErr w:type="gramEnd"/>
      <w:r w:rsidRPr="00DD0C44">
        <w:rPr>
          <w:i/>
          <w:vertAlign w:val="subscript"/>
        </w:rPr>
        <w:t xml:space="preserve"> </w:t>
      </w:r>
      <w:r w:rsidRPr="00DD0C44">
        <w:rPr>
          <w:i/>
        </w:rPr>
        <w:t>:</w:t>
      </w:r>
      <w:r w:rsidRPr="00DD0C44">
        <w:tab/>
      </w:r>
      <w:r w:rsidR="00450B4C" w:rsidRPr="00DD0C44">
        <w:t>I</w:t>
      </w:r>
      <w:r w:rsidRPr="00DD0C44">
        <w:t xml:space="preserve">nfectiousness </w:t>
      </w:r>
      <w:r w:rsidR="00450B4C" w:rsidRPr="00DD0C44">
        <w:t>of the HIV-positive partner</w:t>
      </w:r>
    </w:p>
    <w:p w14:paraId="523FED5B" w14:textId="0E90FCCC" w:rsidR="00CE02A7" w:rsidRPr="00DD0C44" w:rsidRDefault="00CE02A7" w:rsidP="008F6970">
      <w:pPr>
        <w:pStyle w:val="NormalIndent"/>
        <w:ind w:left="0"/>
        <w:rPr>
          <w:i/>
        </w:rPr>
      </w:pPr>
    </w:p>
    <w:p w14:paraId="6B3EC751" w14:textId="67571788" w:rsidR="00450B4C" w:rsidRPr="00DD0C44" w:rsidRDefault="00450B4C" w:rsidP="008F6970">
      <w:pPr>
        <w:pStyle w:val="NormalIndent"/>
        <w:ind w:left="0"/>
      </w:pPr>
      <w:r w:rsidRPr="00DD0C44">
        <w:t>Table 1 gives the actual values used in the model for this calculation.</w:t>
      </w:r>
    </w:p>
    <w:p w14:paraId="3C4D82D7" w14:textId="77777777" w:rsidR="00CC751C" w:rsidRPr="00DD0C44" w:rsidRDefault="00CC751C" w:rsidP="008F6970">
      <w:pPr>
        <w:pStyle w:val="NormalIndent"/>
        <w:ind w:left="0"/>
      </w:pPr>
    </w:p>
    <w:p w14:paraId="5B02A6AB" w14:textId="453B9D12" w:rsidR="00CE02A7" w:rsidRPr="00DD0C44" w:rsidRDefault="00CE02A7" w:rsidP="00CE02A7">
      <w:pPr>
        <w:pStyle w:val="Caption"/>
        <w:keepNext/>
        <w:jc w:val="center"/>
      </w:pPr>
      <w:r w:rsidRPr="00DD0C44">
        <w:t xml:space="preserve">Table </w:t>
      </w:r>
      <w:fldSimple w:instr=" SEQ Table \* ARABIC ">
        <w:r w:rsidR="00E53888" w:rsidRPr="00DD0C44">
          <w:rPr>
            <w:noProof/>
          </w:rPr>
          <w:t>1</w:t>
        </w:r>
      </w:fldSimple>
      <w:r w:rsidRPr="00DD0C44">
        <w:t xml:space="preserve">: </w:t>
      </w:r>
      <w:r w:rsidR="007176C4" w:rsidRPr="00DD0C44">
        <w:t>Weekly p</w:t>
      </w:r>
      <w:r w:rsidRPr="00DD0C44">
        <w:t>robability of HI</w:t>
      </w:r>
      <w:r w:rsidR="007176C4" w:rsidRPr="00DD0C44">
        <w:t xml:space="preserve">V transmission over active </w:t>
      </w:r>
      <w:proofErr w:type="gramStart"/>
      <w:r w:rsidR="007176C4" w:rsidRPr="00DD0C44">
        <w:t>contacts</w:t>
      </w:r>
      <w:r w:rsidR="00CC751C" w:rsidRPr="00DD0C44">
        <w:t xml:space="preserve">  in</w:t>
      </w:r>
      <w:proofErr w:type="gramEnd"/>
      <w:r w:rsidR="00CC751C" w:rsidRPr="00DD0C44">
        <w:t xml:space="preserve"> the absence of PrEP</w:t>
      </w:r>
      <w:r w:rsidR="007176C4" w:rsidRPr="00DD0C44">
        <w:t xml:space="preserve">. </w:t>
      </w:r>
    </w:p>
    <w:tbl>
      <w:tblPr>
        <w:tblStyle w:val="LightList"/>
        <w:tblW w:w="0" w:type="auto"/>
        <w:jc w:val="center"/>
        <w:tblLook w:val="04A0" w:firstRow="1" w:lastRow="0" w:firstColumn="1" w:lastColumn="0" w:noHBand="0" w:noVBand="1"/>
      </w:tblPr>
      <w:tblGrid>
        <w:gridCol w:w="2090"/>
        <w:gridCol w:w="802"/>
        <w:gridCol w:w="1405"/>
        <w:gridCol w:w="1308"/>
        <w:gridCol w:w="2022"/>
      </w:tblGrid>
      <w:tr w:rsidR="00DC2828" w:rsidRPr="00DD0C44" w14:paraId="079512EE" w14:textId="77777777" w:rsidTr="00CC75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vAlign w:val="bottom"/>
            <w:hideMark/>
          </w:tcPr>
          <w:p w14:paraId="7F1ABF49" w14:textId="2296EF31" w:rsidR="00DC2828" w:rsidRPr="00DD0C44" w:rsidRDefault="00DC2828" w:rsidP="00276984">
            <w:pPr>
              <w:pStyle w:val="NoSpacing"/>
              <w:jc w:val="left"/>
              <w:rPr>
                <w:color w:val="auto"/>
                <w:sz w:val="20"/>
                <w:szCs w:val="18"/>
              </w:rPr>
            </w:pPr>
            <w:r w:rsidRPr="00DD0C44">
              <w:rPr>
                <w:sz w:val="20"/>
                <w:szCs w:val="18"/>
              </w:rPr>
              <w:t>HIV-positive partner’s disease state:</w:t>
            </w:r>
          </w:p>
        </w:tc>
        <w:tc>
          <w:tcPr>
            <w:tcW w:w="802" w:type="dxa"/>
            <w:noWrap/>
            <w:hideMark/>
          </w:tcPr>
          <w:p w14:paraId="4029604F" w14:textId="77777777" w:rsidR="00DC2828" w:rsidRPr="00DD0C44" w:rsidRDefault="00DC2828" w:rsidP="00CE02A7">
            <w:pPr>
              <w:pStyle w:val="NoSpacing"/>
              <w:cnfStyle w:val="100000000000" w:firstRow="1" w:lastRow="0" w:firstColumn="0" w:lastColumn="0" w:oddVBand="0" w:evenVBand="0" w:oddHBand="0" w:evenHBand="0" w:firstRowFirstColumn="0" w:firstRowLastColumn="0" w:lastRowFirstColumn="0" w:lastRowLastColumn="0"/>
              <w:rPr>
                <w:color w:val="auto"/>
                <w:sz w:val="20"/>
              </w:rPr>
            </w:pPr>
            <w:r w:rsidRPr="00DD0C44">
              <w:rPr>
                <w:color w:val="auto"/>
                <w:sz w:val="20"/>
              </w:rPr>
              <w:t>Viral Load</w:t>
            </w:r>
          </w:p>
        </w:tc>
        <w:tc>
          <w:tcPr>
            <w:tcW w:w="1405" w:type="dxa"/>
            <w:noWrap/>
            <w:hideMark/>
          </w:tcPr>
          <w:p w14:paraId="0E609C3B" w14:textId="583C918B" w:rsidR="00DC2828" w:rsidRPr="00DD0C44" w:rsidRDefault="00DC2828" w:rsidP="00CE02A7">
            <w:pPr>
              <w:pStyle w:val="NoSpacing"/>
              <w:cnfStyle w:val="100000000000" w:firstRow="1" w:lastRow="0" w:firstColumn="0" w:lastColumn="0" w:oddVBand="0" w:evenVBand="0" w:oddHBand="0" w:evenHBand="0" w:firstRowFirstColumn="0" w:firstRowLastColumn="0" w:lastRowFirstColumn="0" w:lastRowLastColumn="0"/>
              <w:rPr>
                <w:color w:val="auto"/>
                <w:sz w:val="20"/>
              </w:rPr>
            </w:pPr>
            <w:r w:rsidRPr="00DD0C44">
              <w:rPr>
                <w:color w:val="auto"/>
                <w:sz w:val="20"/>
              </w:rPr>
              <w:t>Infectiousness Parameter</w:t>
            </w:r>
          </w:p>
        </w:tc>
        <w:tc>
          <w:tcPr>
            <w:tcW w:w="1308" w:type="dxa"/>
            <w:noWrap/>
            <w:hideMark/>
          </w:tcPr>
          <w:p w14:paraId="2B563BA2" w14:textId="1362EAF1" w:rsidR="00DC2828" w:rsidRPr="00DD0C44" w:rsidRDefault="00DC2828" w:rsidP="00CE02A7">
            <w:pPr>
              <w:pStyle w:val="NoSpacing"/>
              <w:cnfStyle w:val="100000000000" w:firstRow="1" w:lastRow="0" w:firstColumn="0" w:lastColumn="0" w:oddVBand="0" w:evenVBand="0" w:oddHBand="0" w:evenHBand="0" w:firstRowFirstColumn="0" w:firstRowLastColumn="0" w:lastRowFirstColumn="0" w:lastRowLastColumn="0"/>
              <w:rPr>
                <w:color w:val="auto"/>
                <w:sz w:val="20"/>
              </w:rPr>
            </w:pPr>
            <w:r w:rsidRPr="00DD0C44">
              <w:rPr>
                <w:color w:val="auto"/>
                <w:sz w:val="20"/>
              </w:rPr>
              <w:t>Coefficient of Transmission</w:t>
            </w:r>
          </w:p>
        </w:tc>
        <w:tc>
          <w:tcPr>
            <w:tcW w:w="2022" w:type="dxa"/>
            <w:noWrap/>
            <w:hideMark/>
          </w:tcPr>
          <w:p w14:paraId="2B3ABDEE" w14:textId="037D7A3D" w:rsidR="00DC2828" w:rsidRPr="00DD0C44" w:rsidRDefault="00DC2828" w:rsidP="00CC751C">
            <w:pPr>
              <w:pStyle w:val="NoSpacing"/>
              <w:cnfStyle w:val="100000000000" w:firstRow="1" w:lastRow="0" w:firstColumn="0" w:lastColumn="0" w:oddVBand="0" w:evenVBand="0" w:oddHBand="0" w:evenHBand="0" w:firstRowFirstColumn="0" w:firstRowLastColumn="0" w:lastRowFirstColumn="0" w:lastRowLastColumn="0"/>
              <w:rPr>
                <w:color w:val="auto"/>
                <w:sz w:val="20"/>
              </w:rPr>
            </w:pPr>
            <w:r w:rsidRPr="00DD0C44">
              <w:rPr>
                <w:color w:val="auto"/>
                <w:sz w:val="20"/>
              </w:rPr>
              <w:t xml:space="preserve">Weekly probability of transmission per contact </w:t>
            </w:r>
          </w:p>
        </w:tc>
      </w:tr>
      <w:tr w:rsidR="00DC2828" w:rsidRPr="00DD0C44" w14:paraId="49F81E99" w14:textId="77777777" w:rsidTr="00CC75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92" w:type="dxa"/>
            <w:gridSpan w:val="2"/>
            <w:noWrap/>
            <w:hideMark/>
          </w:tcPr>
          <w:p w14:paraId="7D03E22A" w14:textId="6E6C4A20" w:rsidR="00DC2828" w:rsidRPr="00DD0C44" w:rsidRDefault="00DC2828" w:rsidP="00CE02A7">
            <w:pPr>
              <w:pStyle w:val="NoSpacing"/>
              <w:rPr>
                <w:sz w:val="20"/>
                <w:szCs w:val="18"/>
              </w:rPr>
            </w:pPr>
          </w:p>
        </w:tc>
        <w:tc>
          <w:tcPr>
            <w:tcW w:w="1405" w:type="dxa"/>
            <w:noWrap/>
            <w:hideMark/>
          </w:tcPr>
          <w:p w14:paraId="19085DD2"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1308" w:type="dxa"/>
            <w:noWrap/>
            <w:hideMark/>
          </w:tcPr>
          <w:p w14:paraId="7103FECD"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0.0124</w:t>
            </w:r>
          </w:p>
        </w:tc>
        <w:tc>
          <w:tcPr>
            <w:tcW w:w="2022" w:type="dxa"/>
            <w:noWrap/>
            <w:hideMark/>
          </w:tcPr>
          <w:p w14:paraId="28BBDC1D"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p>
        </w:tc>
      </w:tr>
      <w:tr w:rsidR="00DC2828" w:rsidRPr="00DD0C44" w14:paraId="7125A253" w14:textId="77777777" w:rsidTr="00CC751C">
        <w:trPr>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hideMark/>
          </w:tcPr>
          <w:p w14:paraId="4EBABA29" w14:textId="54DBE59C" w:rsidR="00DC2828" w:rsidRPr="00DD0C44" w:rsidRDefault="00DC2828" w:rsidP="00CE02A7">
            <w:pPr>
              <w:pStyle w:val="NoSpacing"/>
              <w:numPr>
                <w:ilvl w:val="0"/>
                <w:numId w:val="27"/>
              </w:numPr>
              <w:rPr>
                <w:sz w:val="20"/>
                <w:szCs w:val="18"/>
              </w:rPr>
            </w:pPr>
            <w:r w:rsidRPr="00DD0C44">
              <w:rPr>
                <w:sz w:val="20"/>
                <w:szCs w:val="18"/>
              </w:rPr>
              <w:t>Acute</w:t>
            </w:r>
          </w:p>
        </w:tc>
        <w:tc>
          <w:tcPr>
            <w:tcW w:w="802" w:type="dxa"/>
            <w:noWrap/>
            <w:hideMark/>
          </w:tcPr>
          <w:p w14:paraId="6C8483EB"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6.5</w:t>
            </w:r>
          </w:p>
        </w:tc>
        <w:tc>
          <w:tcPr>
            <w:tcW w:w="1405" w:type="dxa"/>
            <w:noWrap/>
            <w:hideMark/>
          </w:tcPr>
          <w:p w14:paraId="32C5C416"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0.037</w:t>
            </w:r>
          </w:p>
        </w:tc>
        <w:tc>
          <w:tcPr>
            <w:tcW w:w="1308" w:type="dxa"/>
            <w:noWrap/>
            <w:hideMark/>
          </w:tcPr>
          <w:p w14:paraId="68004141"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2022" w:type="dxa"/>
            <w:noWrap/>
            <w:hideMark/>
          </w:tcPr>
          <w:p w14:paraId="2520A9FA" w14:textId="7C4D9E12"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0.0004588 (0.0002752)</w:t>
            </w:r>
          </w:p>
        </w:tc>
      </w:tr>
      <w:tr w:rsidR="00DC2828" w:rsidRPr="00DD0C44" w14:paraId="04CAF51D" w14:textId="77777777" w:rsidTr="00CC75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hideMark/>
          </w:tcPr>
          <w:p w14:paraId="4BD1476F" w14:textId="13046525" w:rsidR="00DC2828" w:rsidRPr="00DD0C44" w:rsidRDefault="00DC2828" w:rsidP="00CE02A7">
            <w:pPr>
              <w:pStyle w:val="NoSpacing"/>
              <w:numPr>
                <w:ilvl w:val="0"/>
                <w:numId w:val="27"/>
              </w:numPr>
              <w:rPr>
                <w:sz w:val="20"/>
                <w:szCs w:val="18"/>
              </w:rPr>
            </w:pPr>
            <w:r w:rsidRPr="00DD0C44">
              <w:rPr>
                <w:sz w:val="20"/>
                <w:szCs w:val="18"/>
              </w:rPr>
              <w:t>Chronic</w:t>
            </w:r>
          </w:p>
        </w:tc>
        <w:tc>
          <w:tcPr>
            <w:tcW w:w="802" w:type="dxa"/>
            <w:noWrap/>
            <w:hideMark/>
          </w:tcPr>
          <w:p w14:paraId="36AE3BC6"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4.5</w:t>
            </w:r>
          </w:p>
        </w:tc>
        <w:tc>
          <w:tcPr>
            <w:tcW w:w="1405" w:type="dxa"/>
            <w:noWrap/>
            <w:hideMark/>
          </w:tcPr>
          <w:p w14:paraId="5537FB96"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0.032</w:t>
            </w:r>
          </w:p>
        </w:tc>
        <w:tc>
          <w:tcPr>
            <w:tcW w:w="1308" w:type="dxa"/>
            <w:noWrap/>
            <w:hideMark/>
          </w:tcPr>
          <w:p w14:paraId="5FBB8F78"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2022" w:type="dxa"/>
            <w:noWrap/>
            <w:hideMark/>
          </w:tcPr>
          <w:p w14:paraId="48B61F1C"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0.0003968</w:t>
            </w:r>
          </w:p>
          <w:p w14:paraId="5DFE6DE6" w14:textId="0DD457B5"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(0.0002380)</w:t>
            </w:r>
          </w:p>
        </w:tc>
      </w:tr>
      <w:tr w:rsidR="00DC2828" w:rsidRPr="00DD0C44" w14:paraId="2A2C2AB2" w14:textId="77777777" w:rsidTr="00CC751C">
        <w:trPr>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hideMark/>
          </w:tcPr>
          <w:p w14:paraId="792A03DE" w14:textId="2AA8FD42" w:rsidR="00DC2828" w:rsidRPr="00DD0C44" w:rsidRDefault="00DC2828" w:rsidP="00CE02A7">
            <w:pPr>
              <w:pStyle w:val="NoSpacing"/>
              <w:numPr>
                <w:ilvl w:val="0"/>
                <w:numId w:val="27"/>
              </w:numPr>
              <w:rPr>
                <w:sz w:val="20"/>
                <w:szCs w:val="18"/>
              </w:rPr>
            </w:pPr>
            <w:r w:rsidRPr="00DD0C44">
              <w:rPr>
                <w:sz w:val="20"/>
                <w:szCs w:val="18"/>
              </w:rPr>
              <w:t>Late (“AIDS”)</w:t>
            </w:r>
          </w:p>
        </w:tc>
        <w:tc>
          <w:tcPr>
            <w:tcW w:w="802" w:type="dxa"/>
            <w:noWrap/>
            <w:hideMark/>
          </w:tcPr>
          <w:p w14:paraId="5BE34D8A"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5</w:t>
            </w:r>
          </w:p>
        </w:tc>
        <w:tc>
          <w:tcPr>
            <w:tcW w:w="1405" w:type="dxa"/>
            <w:noWrap/>
            <w:hideMark/>
          </w:tcPr>
          <w:p w14:paraId="3A228492"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0.033</w:t>
            </w:r>
          </w:p>
        </w:tc>
        <w:tc>
          <w:tcPr>
            <w:tcW w:w="1308" w:type="dxa"/>
            <w:noWrap/>
            <w:hideMark/>
          </w:tcPr>
          <w:p w14:paraId="59449BEC"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2022" w:type="dxa"/>
            <w:noWrap/>
            <w:hideMark/>
          </w:tcPr>
          <w:p w14:paraId="263568C3"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0.0004092</w:t>
            </w:r>
          </w:p>
          <w:p w14:paraId="05265233" w14:textId="3BB74175"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(0.0002455)</w:t>
            </w:r>
          </w:p>
        </w:tc>
      </w:tr>
      <w:tr w:rsidR="00DC2828" w:rsidRPr="00DD0C44" w14:paraId="21487917" w14:textId="77777777" w:rsidTr="00CC75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hideMark/>
          </w:tcPr>
          <w:p w14:paraId="7B6EC308" w14:textId="30088506" w:rsidR="00DC2828" w:rsidRPr="00DD0C44" w:rsidRDefault="00DC2828" w:rsidP="00CE02A7">
            <w:pPr>
              <w:pStyle w:val="NoSpacing"/>
              <w:numPr>
                <w:ilvl w:val="0"/>
                <w:numId w:val="27"/>
              </w:numPr>
              <w:rPr>
                <w:sz w:val="20"/>
                <w:szCs w:val="18"/>
              </w:rPr>
            </w:pPr>
            <w:r w:rsidRPr="00DD0C44">
              <w:rPr>
                <w:sz w:val="20"/>
                <w:szCs w:val="18"/>
              </w:rPr>
              <w:t>On ART, partial suppression</w:t>
            </w:r>
          </w:p>
        </w:tc>
        <w:tc>
          <w:tcPr>
            <w:tcW w:w="802" w:type="dxa"/>
            <w:noWrap/>
            <w:hideMark/>
          </w:tcPr>
          <w:p w14:paraId="633CF7F9"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3.5</w:t>
            </w:r>
          </w:p>
        </w:tc>
        <w:tc>
          <w:tcPr>
            <w:tcW w:w="1405" w:type="dxa"/>
            <w:noWrap/>
            <w:hideMark/>
          </w:tcPr>
          <w:p w14:paraId="35020537"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0.029</w:t>
            </w:r>
          </w:p>
        </w:tc>
        <w:tc>
          <w:tcPr>
            <w:tcW w:w="1308" w:type="dxa"/>
            <w:noWrap/>
            <w:hideMark/>
          </w:tcPr>
          <w:p w14:paraId="298EEF31"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p>
        </w:tc>
        <w:tc>
          <w:tcPr>
            <w:tcW w:w="2022" w:type="dxa"/>
            <w:noWrap/>
            <w:hideMark/>
          </w:tcPr>
          <w:p w14:paraId="3B1A762E" w14:textId="77777777"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0.0003596</w:t>
            </w:r>
          </w:p>
          <w:p w14:paraId="64FB8C76" w14:textId="01349BF4" w:rsidR="00DC2828" w:rsidRPr="00DD0C44" w:rsidRDefault="00DC2828" w:rsidP="00CE02A7">
            <w:pPr>
              <w:pStyle w:val="NoSpacing"/>
              <w:cnfStyle w:val="000000100000" w:firstRow="0" w:lastRow="0" w:firstColumn="0" w:lastColumn="0" w:oddVBand="0" w:evenVBand="0" w:oddHBand="1" w:evenHBand="0" w:firstRowFirstColumn="0" w:firstRowLastColumn="0" w:lastRowFirstColumn="0" w:lastRowLastColumn="0"/>
              <w:rPr>
                <w:sz w:val="20"/>
              </w:rPr>
            </w:pPr>
            <w:r w:rsidRPr="00DD0C44">
              <w:rPr>
                <w:sz w:val="20"/>
              </w:rPr>
              <w:t>(0.0002157)</w:t>
            </w:r>
          </w:p>
        </w:tc>
      </w:tr>
      <w:tr w:rsidR="00DC2828" w:rsidRPr="00DD0C44" w14:paraId="0ABCDDB6" w14:textId="77777777" w:rsidTr="00CC751C">
        <w:trPr>
          <w:trHeight w:val="300"/>
          <w:jc w:val="center"/>
        </w:trPr>
        <w:tc>
          <w:tcPr>
            <w:cnfStyle w:val="001000000000" w:firstRow="0" w:lastRow="0" w:firstColumn="1" w:lastColumn="0" w:oddVBand="0" w:evenVBand="0" w:oddHBand="0" w:evenHBand="0" w:firstRowFirstColumn="0" w:firstRowLastColumn="0" w:lastRowFirstColumn="0" w:lastRowLastColumn="0"/>
            <w:tcW w:w="2090" w:type="dxa"/>
            <w:noWrap/>
            <w:hideMark/>
          </w:tcPr>
          <w:p w14:paraId="745A223F" w14:textId="51E40BEC" w:rsidR="00DC2828" w:rsidRPr="00DD0C44" w:rsidRDefault="00DC2828" w:rsidP="00CE02A7">
            <w:pPr>
              <w:pStyle w:val="NoSpacing"/>
              <w:numPr>
                <w:ilvl w:val="0"/>
                <w:numId w:val="27"/>
              </w:numPr>
              <w:rPr>
                <w:sz w:val="20"/>
                <w:szCs w:val="18"/>
              </w:rPr>
            </w:pPr>
            <w:r w:rsidRPr="00DD0C44">
              <w:rPr>
                <w:sz w:val="20"/>
                <w:szCs w:val="18"/>
              </w:rPr>
              <w:t>On ART, full suppression</w:t>
            </w:r>
          </w:p>
        </w:tc>
        <w:tc>
          <w:tcPr>
            <w:tcW w:w="802" w:type="dxa"/>
            <w:noWrap/>
            <w:hideMark/>
          </w:tcPr>
          <w:p w14:paraId="40E0C23F"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1.5</w:t>
            </w:r>
          </w:p>
        </w:tc>
        <w:tc>
          <w:tcPr>
            <w:tcW w:w="1405" w:type="dxa"/>
            <w:noWrap/>
            <w:hideMark/>
          </w:tcPr>
          <w:p w14:paraId="0988D25E"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0.021</w:t>
            </w:r>
          </w:p>
        </w:tc>
        <w:tc>
          <w:tcPr>
            <w:tcW w:w="1308" w:type="dxa"/>
            <w:noWrap/>
            <w:hideMark/>
          </w:tcPr>
          <w:p w14:paraId="60FB0DB4"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p>
        </w:tc>
        <w:tc>
          <w:tcPr>
            <w:tcW w:w="2022" w:type="dxa"/>
            <w:noWrap/>
            <w:hideMark/>
          </w:tcPr>
          <w:p w14:paraId="0056FC33" w14:textId="77777777"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0.0002604</w:t>
            </w:r>
          </w:p>
          <w:p w14:paraId="15196824" w14:textId="2415EA13" w:rsidR="00DC2828" w:rsidRPr="00DD0C44" w:rsidRDefault="00DC2828" w:rsidP="00CE02A7">
            <w:pPr>
              <w:pStyle w:val="NoSpacing"/>
              <w:cnfStyle w:val="000000000000" w:firstRow="0" w:lastRow="0" w:firstColumn="0" w:lastColumn="0" w:oddVBand="0" w:evenVBand="0" w:oddHBand="0" w:evenHBand="0" w:firstRowFirstColumn="0" w:firstRowLastColumn="0" w:lastRowFirstColumn="0" w:lastRowLastColumn="0"/>
              <w:rPr>
                <w:sz w:val="20"/>
              </w:rPr>
            </w:pPr>
            <w:r w:rsidRPr="00DD0C44">
              <w:rPr>
                <w:sz w:val="20"/>
              </w:rPr>
              <w:t>(0.0001562)</w:t>
            </w:r>
          </w:p>
        </w:tc>
      </w:tr>
    </w:tbl>
    <w:p w14:paraId="7981AEC5" w14:textId="77777777" w:rsidR="00CE02A7" w:rsidRPr="00DD0C44" w:rsidRDefault="00CE02A7" w:rsidP="008F6970">
      <w:pPr>
        <w:pStyle w:val="NormalIndent"/>
        <w:ind w:left="0"/>
        <w:rPr>
          <w:i/>
        </w:rPr>
      </w:pPr>
    </w:p>
    <w:p w14:paraId="087887B1" w14:textId="6E93FF1A" w:rsidR="00A10D8D" w:rsidRPr="00DD0C44" w:rsidRDefault="008F6970" w:rsidP="00A10D8D">
      <w:pPr>
        <w:pStyle w:val="Heading3"/>
        <w:rPr>
          <w:snapToGrid/>
        </w:rPr>
      </w:pPr>
      <w:r w:rsidRPr="00DD0C44">
        <w:rPr>
          <w:snapToGrid/>
        </w:rPr>
        <w:t>HIV Natural History</w:t>
      </w:r>
    </w:p>
    <w:p w14:paraId="76B4411A" w14:textId="12FA4C0C" w:rsidR="008F6970" w:rsidRPr="00DD0C44" w:rsidRDefault="008F6970" w:rsidP="008F6970">
      <w:pPr>
        <w:rPr>
          <w:snapToGrid/>
        </w:rPr>
      </w:pPr>
      <w:r w:rsidRPr="00DD0C44">
        <w:rPr>
          <w:snapToGrid/>
        </w:rPr>
        <w:t>Upon a successful HIV transmission event, individuals experience a gradual decline in CD4 count (accompanied an increase in viral load (VL)) and move through various stages of disease. We consider three disease states in absence of ART, including acute infection lasting for 6 to 9 weeks (CD4 count &gt; 500 cells/</w:t>
      </w:r>
      <w:r w:rsidRPr="00DD0C44">
        <w:t xml:space="preserve"> µL</w:t>
      </w:r>
      <w:r w:rsidRPr="00DD0C44">
        <w:rPr>
          <w:snapToGrid/>
        </w:rPr>
        <w:t>), chronic infection lasting 8 to 10 years (CD4 count between 200-500 cells/</w:t>
      </w:r>
      <w:r w:rsidRPr="00DD0C44">
        <w:t xml:space="preserve"> µL</w:t>
      </w:r>
      <w:r w:rsidRPr="00DD0C44">
        <w:rPr>
          <w:snapToGrid/>
        </w:rPr>
        <w:t>) and finally late infection lasting 1 to 3 years (CD4 count &lt;200). We further model two disease states in presence of ART, including partial-suppression</w:t>
      </w:r>
      <w:r w:rsidRPr="00DD0C44">
        <w:t xml:space="preserve"> state in the first 3 to 6 months after ART initiation,</w:t>
      </w:r>
      <w:r w:rsidRPr="00DD0C44">
        <w:rPr>
          <w:snapToGrid/>
        </w:rPr>
        <w:t xml:space="preserve"> and full-suppression state then after. Table 1 </w:t>
      </w:r>
      <w:r w:rsidR="002A374D" w:rsidRPr="00DD0C44">
        <w:rPr>
          <w:snapToGrid/>
        </w:rPr>
        <w:t>provides</w:t>
      </w:r>
      <w:r w:rsidRPr="00DD0C44">
        <w:rPr>
          <w:snapToGrid/>
        </w:rPr>
        <w:t xml:space="preserve"> </w:t>
      </w:r>
      <w:r w:rsidR="002A374D" w:rsidRPr="00DD0C44">
        <w:rPr>
          <w:snapToGrid/>
        </w:rPr>
        <w:t>a</w:t>
      </w:r>
      <w:r w:rsidRPr="00DD0C44">
        <w:rPr>
          <w:snapToGrid/>
        </w:rPr>
        <w:t xml:space="preserve"> list of HI</w:t>
      </w:r>
      <w:r w:rsidR="009562F8" w:rsidRPr="00DD0C44">
        <w:rPr>
          <w:snapToGrid/>
        </w:rPr>
        <w:t xml:space="preserve">V natural history parameters.  </w:t>
      </w:r>
    </w:p>
    <w:p w14:paraId="27442B6C" w14:textId="77A42107" w:rsidR="00A10D8D" w:rsidRPr="00DD0C44" w:rsidRDefault="00A10D8D" w:rsidP="00A10D8D">
      <w:pPr>
        <w:pStyle w:val="Heading3"/>
      </w:pPr>
      <w:r w:rsidRPr="00DD0C44">
        <w:t>HIV Cascade of Care</w:t>
      </w:r>
    </w:p>
    <w:p w14:paraId="7C327C0D" w14:textId="7D429783" w:rsidR="008F6970" w:rsidRPr="00DD0C44" w:rsidRDefault="008F6970" w:rsidP="008F6970">
      <w:pPr>
        <w:rPr>
          <w:snapToGrid/>
        </w:rPr>
      </w:pPr>
      <w:r w:rsidRPr="00DD0C44">
        <w:rPr>
          <w:snapToGrid/>
        </w:rPr>
        <w:t xml:space="preserve">The continuum of care for infected individuals is modeled in four levels corresponding to those unaware of their HIV infection, diagnosed HIV cases not linked to care, patients retained in care and on ART, and finally those linked to care but off ART. </w:t>
      </w:r>
    </w:p>
    <w:p w14:paraId="0DF2B03E" w14:textId="77777777" w:rsidR="00A10D8D" w:rsidRPr="00DD0C44" w:rsidRDefault="008F6970" w:rsidP="008F6970">
      <w:r w:rsidRPr="00DD0C44">
        <w:rPr>
          <w:snapToGrid/>
        </w:rPr>
        <w:lastRenderedPageBreak/>
        <w:t>Infected i</w:t>
      </w:r>
      <w:r w:rsidRPr="00DD0C44">
        <w:t xml:space="preserve">ndividuals are subject to a probability of testing for HIV at the beginning of each week. Upon diagnosis with HIV infection, individuals have the option for linking to care immediately, and those not-linked-to-care are subject to a weekly probability of linking to care in the future. Upon linking to </w:t>
      </w:r>
      <w:r w:rsidR="009562F8" w:rsidRPr="00DD0C44">
        <w:t xml:space="preserve">care, individuals experience a fixed likelihood for initiating ART immediately, or </w:t>
      </w:r>
      <w:r w:rsidRPr="00DD0C44">
        <w:t>stay</w:t>
      </w:r>
      <w:r w:rsidR="009562F8" w:rsidRPr="00DD0C44">
        <w:t>ing</w:t>
      </w:r>
      <w:r w:rsidRPr="00DD0C44">
        <w:t xml:space="preserve"> off ART until initialing </w:t>
      </w:r>
      <w:r w:rsidR="009562F8" w:rsidRPr="00DD0C44">
        <w:t>it in the future according to a fixed per week probability of reinitiating ART</w:t>
      </w:r>
      <w:r w:rsidRPr="00DD0C44">
        <w:t xml:space="preserve">. These parameters are tuned to calibrate the overall proportion of </w:t>
      </w:r>
      <w:r w:rsidR="009562F8" w:rsidRPr="00DD0C44">
        <w:t>HIV infected MSM on ART.</w:t>
      </w:r>
      <w:r w:rsidRPr="00DD0C44">
        <w:t xml:space="preserve"> </w:t>
      </w:r>
    </w:p>
    <w:p w14:paraId="37CDF76F" w14:textId="369E1CF7" w:rsidR="008F6970" w:rsidRPr="00DD0C44" w:rsidRDefault="008F6970" w:rsidP="008F6970">
      <w:r w:rsidRPr="00DD0C44">
        <w:t>Those individuals retained in care and on ART exper</w:t>
      </w:r>
      <w:r w:rsidR="009562F8" w:rsidRPr="00DD0C44">
        <w:t>i</w:t>
      </w:r>
      <w:r w:rsidRPr="00DD0C44">
        <w:t>ence partial-suppression (</w:t>
      </w:r>
      <w:r w:rsidRPr="00DD0C44">
        <w:rPr>
          <w:snapToGrid/>
        </w:rPr>
        <w:t xml:space="preserve">associated with a lower viral load) at the first few months after ART initiation before reaching full suppression </w:t>
      </w:r>
      <w:r w:rsidRPr="00DD0C44">
        <w:t>(</w:t>
      </w:r>
      <w:r w:rsidRPr="00DD0C44">
        <w:rPr>
          <w:snapToGrid/>
        </w:rPr>
        <w:t>associated with a very low viral load).</w:t>
      </w:r>
      <w:r w:rsidR="00A10D8D" w:rsidRPr="00DD0C44">
        <w:rPr>
          <w:snapToGrid/>
        </w:rPr>
        <w:t xml:space="preserve"> Without modeling the exact pattern of CD4 increase while on ART, we assume that upon achieving viral suppression on ART, individuals transition from late stage infection to the chronic state.</w:t>
      </w:r>
    </w:p>
    <w:p w14:paraId="739A28C6" w14:textId="32013DBD" w:rsidR="008F6970" w:rsidRPr="00DD0C44" w:rsidRDefault="0000252F" w:rsidP="005E3A44">
      <w:r w:rsidRPr="00DD0C44">
        <w:t>Individual’s adherence to A</w:t>
      </w:r>
      <w:r w:rsidR="008F6970" w:rsidRPr="00DD0C44">
        <w:t xml:space="preserve">RT </w:t>
      </w:r>
      <w:r w:rsidRPr="00DD0C44">
        <w:t>is modeled as a step function with fixed probabilities of losing adherence by the first, second and 8</w:t>
      </w:r>
      <w:r w:rsidRPr="00DD0C44">
        <w:rPr>
          <w:vertAlign w:val="superscript"/>
        </w:rPr>
        <w:t>th</w:t>
      </w:r>
      <w:r w:rsidRPr="00DD0C44">
        <w:t xml:space="preserve"> year after initiation of ART (and 50% per year after the 8</w:t>
      </w:r>
      <w:r w:rsidRPr="00DD0C44">
        <w:rPr>
          <w:vertAlign w:val="superscript"/>
        </w:rPr>
        <w:t>th</w:t>
      </w:r>
      <w:r w:rsidRPr="00DD0C44">
        <w:t xml:space="preserve"> year), upon which the individual lose viral suppression immediately</w:t>
      </w:r>
      <w:r w:rsidR="00A347E7" w:rsidRPr="00DD0C44">
        <w:t>.</w:t>
      </w:r>
      <w:r w:rsidR="008F6970" w:rsidRPr="00DD0C44">
        <w:t xml:space="preserve"> </w:t>
      </w:r>
      <w:r w:rsidR="00A347E7" w:rsidRPr="00DD0C44">
        <w:t>Without modeling the exact level of CD4 decline over time, we assume that p</w:t>
      </w:r>
      <w:r w:rsidRPr="00DD0C44">
        <w:t>artially suppressed individuals will immediately</w:t>
      </w:r>
      <w:r w:rsidR="008F6970" w:rsidRPr="00DD0C44">
        <w:t xml:space="preserve"> return for to chronic or late disease state based</w:t>
      </w:r>
      <w:r w:rsidRPr="00DD0C44">
        <w:t xml:space="preserve"> on the original timing of ART (e.g., </w:t>
      </w:r>
      <w:r w:rsidR="008F6970" w:rsidRPr="00DD0C44">
        <w:t>those starting ART through chronic</w:t>
      </w:r>
      <w:r w:rsidRPr="00DD0C44">
        <w:t xml:space="preserve"> </w:t>
      </w:r>
      <w:r w:rsidR="008F6970" w:rsidRPr="00DD0C44">
        <w:t>(or acute) or late infection will return to chronic or late state accordingly). For individuals with full suppression, we assume an immediate return to chronic state</w:t>
      </w:r>
      <w:r w:rsidRPr="00DD0C44">
        <w:t xml:space="preserve">. The </w:t>
      </w:r>
      <w:r w:rsidR="008F6970" w:rsidRPr="00DD0C44">
        <w:t xml:space="preserve">remaining period </w:t>
      </w:r>
      <w:r w:rsidRPr="00DD0C44">
        <w:t xml:space="preserve">in the chronic state is set to an additional </w:t>
      </w:r>
      <w:r w:rsidR="008F6970" w:rsidRPr="00DD0C44">
        <w:t xml:space="preserve">3-6months for those originally started ART through late infection, or alternatively set to </w:t>
      </w:r>
      <w:r w:rsidRPr="00DD0C44">
        <w:t xml:space="preserve">the </w:t>
      </w:r>
      <w:r w:rsidR="008F6970" w:rsidRPr="00DD0C44">
        <w:t>original remaining duration</w:t>
      </w:r>
      <w:r w:rsidRPr="00DD0C44">
        <w:t xml:space="preserve"> of the chronic state</w:t>
      </w:r>
      <w:r w:rsidR="008F6970" w:rsidRPr="00DD0C44">
        <w:t xml:space="preserve"> for those initiated ART through acute/chronic </w:t>
      </w:r>
      <w:r w:rsidRPr="00DD0C44">
        <w:t>infection</w:t>
      </w:r>
      <w:r w:rsidR="008F6970" w:rsidRPr="00DD0C44">
        <w:t>.</w:t>
      </w:r>
      <w:r w:rsidRPr="00DD0C44">
        <w:t xml:space="preserve"> </w:t>
      </w:r>
      <w:r w:rsidR="008F6970" w:rsidRPr="00DD0C44">
        <w:t>These individuals are subject to a weekly probability of reinitiating ART in the future</w:t>
      </w:r>
      <w:r w:rsidRPr="00DD0C44">
        <w:t>, but can</w:t>
      </w:r>
      <w:r w:rsidR="008F6970" w:rsidRPr="00DD0C44">
        <w:t xml:space="preserve"> not reinitiate AR</w:t>
      </w:r>
      <w:r w:rsidRPr="00DD0C44">
        <w:t>T</w:t>
      </w:r>
      <w:r w:rsidR="008F6970" w:rsidRPr="00DD0C44">
        <w:t xml:space="preserve"> for 6 months </w:t>
      </w:r>
      <w:r w:rsidR="008F6970" w:rsidRPr="00DD0C44">
        <w:fldChar w:fldCharType="begin" w:fldLock="1"/>
      </w:r>
      <w:r w:rsidR="007176C4" w:rsidRPr="00DD0C44">
        <w:instrText>ADDIN CSL_CITATION { "citationItems" : [ { "id" : "ITEM-1", "itemData" : { "author" : [ { "dropping-particle" : "", "family" : "Rana", "given" : "Aadia I.", "non-dropping-particle" : "", "parse-names" : false, "suffix" : "" }, { "dropping-particle" : "", "family" : "Liu", "given" : "Tao", "non-dropping-particle" : "", "parse-names" : false, "suffix" : "" }, { "dropping-particle" : "", "family" : "Gillani", "given" : "Fizza S.", "non-dropping-particle" : "", "parse-names" : false, "suffix" : "" }, { "dropping-particle" : "", "family" : "Reece", "given" : "Rebecca", "non-dropping-particle" : "", "parse-names" : false, "suffix" : "" }, { "dropping-particle" : "", "family" : "Kojic", "given" : "Erna M.", "non-dropping-particle" : "", "parse-names" : false, "suffix" : "" }, { "dropping-particle" : "", "family" : "Zlotnick", "given" : "Caron", "non-dropping-particle" : "", "parse-names" : false, "suffix" : "" }, { "dropping-particle" : "", "family" : "Wilson", "given" : "Ira B.", "non-dropping-particle" : "", "parse-names" : false, "suffix" : "" } ], "container-title" : "AIDS care", "id" : "ITEM-1", "issue" : "6", "issued" : { "date-parts" : [ [ "2015" ] ] }, "page" : "697-687", "title" : "Multiple gaps in care common among newly diagnosed HIV patients", "type" : "article-journal", "volume" : "27" }, "uris" : [ "http://www.mendeley.com/documents/?uuid=6be7f8c9-d33b-4e85-9287-bcce3b4ed5dd" ] } ], "mendeley" : { "formattedCitation" : "[19]", "plainTextFormattedCitation" : "[19]", "previouslyFormattedCitation" : "[18]" }, "properties" : { "noteIndex" : 0 }, "schema" : "https://github.com/citation-style-language/schema/raw/master/csl-citation.json" }</w:instrText>
      </w:r>
      <w:r w:rsidR="008F6970" w:rsidRPr="00DD0C44">
        <w:fldChar w:fldCharType="separate"/>
      </w:r>
      <w:r w:rsidR="007176C4" w:rsidRPr="00DD0C44">
        <w:rPr>
          <w:noProof/>
        </w:rPr>
        <w:t>[19]</w:t>
      </w:r>
      <w:r w:rsidR="008F6970" w:rsidRPr="00DD0C44">
        <w:fldChar w:fldCharType="end"/>
      </w:r>
      <w:r w:rsidRPr="00DD0C44">
        <w:t>.</w:t>
      </w:r>
      <w:r w:rsidR="00A347E7" w:rsidRPr="00DD0C44">
        <w:t xml:space="preserve">  </w:t>
      </w:r>
    </w:p>
    <w:p w14:paraId="7C1B30C2" w14:textId="77777777" w:rsidR="0000252F" w:rsidRPr="00DD0C44" w:rsidRDefault="0000252F" w:rsidP="005E3A44"/>
    <w:p w14:paraId="099E18AA" w14:textId="1124DA5F" w:rsidR="005E3A44" w:rsidRPr="00DD0C44" w:rsidRDefault="005E3A44" w:rsidP="005E3A44">
      <w:r w:rsidRPr="00DD0C44">
        <w:br w:type="page"/>
      </w:r>
    </w:p>
    <w:p w14:paraId="25381038" w14:textId="24F4375D" w:rsidR="00D56DB2" w:rsidRPr="00DD0C44" w:rsidRDefault="002458EE" w:rsidP="00AB1AD4">
      <w:pPr>
        <w:pStyle w:val="Heading1"/>
      </w:pPr>
      <w:r w:rsidRPr="00DD0C44">
        <w:lastRenderedPageBreak/>
        <w:t xml:space="preserve">Simulation </w:t>
      </w:r>
      <w:r w:rsidR="00D56DB2" w:rsidRPr="00DD0C44">
        <w:t xml:space="preserve">Calibration </w:t>
      </w:r>
    </w:p>
    <w:p w14:paraId="164441E1" w14:textId="77777777" w:rsidR="00B01459" w:rsidRPr="00DD0C44" w:rsidRDefault="00B01459" w:rsidP="00B01459">
      <w:pPr>
        <w:pStyle w:val="NormalIndent"/>
        <w:spacing w:after="0"/>
        <w:ind w:left="0"/>
      </w:pPr>
      <w:r w:rsidRPr="00DD0C44">
        <w:t>Individual-level data (e.g., age- and race-specific probability of condom use) were incorporated as agent-level characteristics. Network-level data (e.g., assortative sexual mixing and frequency of concurrent partnerships) were incorporated as a modification to the sexual partnership module. For example, we calibrated agents’ preferences for selecting sexual partners to provide network-level estimates of assortative mixing and concurrency that were consistent with those measured in BESURE. Data on disparities in clinical care was incorporated as an expansion of the epidemiological module.</w:t>
      </w:r>
    </w:p>
    <w:p w14:paraId="53A00B83" w14:textId="77777777" w:rsidR="00B01459" w:rsidRPr="00DD0C44" w:rsidRDefault="00B01459" w:rsidP="00B01459">
      <w:pPr>
        <w:pStyle w:val="NormalIndent"/>
        <w:spacing w:after="0"/>
        <w:ind w:left="0"/>
      </w:pPr>
      <w:r w:rsidRPr="00DD0C44">
        <w:t>Upon collection of all data and incorporation of those data into the model as above, we recalibrated the model as a whole</w:t>
      </w:r>
      <w:r w:rsidRPr="00DD0C44">
        <w:rPr>
          <w:b/>
        </w:rPr>
        <w:t xml:space="preserve"> </w:t>
      </w:r>
      <w:r w:rsidRPr="00DD0C44">
        <w:t xml:space="preserve">against population census and HIV surveillance data in Baltimore City, to ensure that the model provides realistic outputs. Calibration targets for the model included the size of the MSM population, the frequency distribution and type of reported partnerships in the past year, the number of MSM living with HIV, the proportion of MSM diagnosed and those with suppressed viral loads, and the proportion of HIV infected individuals who are black. </w:t>
      </w:r>
    </w:p>
    <w:p w14:paraId="1869F3AB" w14:textId="77777777" w:rsidR="002458EE" w:rsidRPr="00DD0C44" w:rsidRDefault="002458EE" w:rsidP="002458EE">
      <w:pPr>
        <w:pStyle w:val="NormalIndent"/>
      </w:pPr>
    </w:p>
    <w:p w14:paraId="6942B531" w14:textId="38EEB5A4" w:rsidR="002458EE" w:rsidRPr="00DD0C44" w:rsidRDefault="002458EE" w:rsidP="002458EE">
      <w:pPr>
        <w:pStyle w:val="Caption"/>
        <w:keepNext/>
        <w:jc w:val="center"/>
      </w:pPr>
      <w:r w:rsidRPr="00DD0C44">
        <w:t xml:space="preserve">Table </w:t>
      </w:r>
      <w:fldSimple w:instr=" SEQ Table \* ARABIC ">
        <w:r w:rsidR="00E53888" w:rsidRPr="00DD0C44">
          <w:rPr>
            <w:noProof/>
          </w:rPr>
          <w:t>2</w:t>
        </w:r>
      </w:fldSimple>
      <w:r w:rsidRPr="00DD0C44">
        <w:t>: List of calibration targets</w:t>
      </w:r>
      <w:r w:rsidR="008D567C" w:rsidRPr="00DD0C44">
        <w:t xml:space="preserve"> and data sources</w:t>
      </w:r>
    </w:p>
    <w:tbl>
      <w:tblPr>
        <w:tblStyle w:val="LightList"/>
        <w:tblW w:w="9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78"/>
        <w:gridCol w:w="5670"/>
        <w:gridCol w:w="720"/>
      </w:tblGrid>
      <w:tr w:rsidR="00722CA9" w:rsidRPr="00DD0C44" w14:paraId="0211DCF9" w14:textId="77777777" w:rsidTr="00CC5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F2E17A8" w14:textId="77777777" w:rsidR="002458EE" w:rsidRPr="00DD0C44" w:rsidRDefault="002458EE" w:rsidP="00F411A5">
            <w:pPr>
              <w:pStyle w:val="NoSpacing"/>
              <w:rPr>
                <w:rFonts w:ascii="Calibri" w:hAnsi="Calibri"/>
              </w:rPr>
            </w:pPr>
            <w:r w:rsidRPr="00DD0C44">
              <w:rPr>
                <w:rFonts w:ascii="Calibri" w:hAnsi="Calibri"/>
              </w:rPr>
              <w:t>Validation Measures</w:t>
            </w:r>
          </w:p>
        </w:tc>
        <w:tc>
          <w:tcPr>
            <w:tcW w:w="5670" w:type="dxa"/>
          </w:tcPr>
          <w:p w14:paraId="664E4F5C" w14:textId="77777777" w:rsidR="002458EE" w:rsidRPr="00DD0C44" w:rsidRDefault="002458EE" w:rsidP="00F411A5">
            <w:pPr>
              <w:pStyle w:val="NoSpacing"/>
              <w:cnfStyle w:val="100000000000" w:firstRow="1"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Validation target</w:t>
            </w:r>
          </w:p>
        </w:tc>
        <w:tc>
          <w:tcPr>
            <w:tcW w:w="720" w:type="dxa"/>
          </w:tcPr>
          <w:p w14:paraId="654779A0" w14:textId="3D092325" w:rsidR="002458EE" w:rsidRPr="00DD0C44" w:rsidRDefault="002458EE" w:rsidP="00CC5CEC">
            <w:pPr>
              <w:pStyle w:val="NoSpacing"/>
              <w:cnfStyle w:val="100000000000" w:firstRow="1"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Ref</w:t>
            </w:r>
            <w:r w:rsidR="00CC5CEC" w:rsidRPr="00DD0C44">
              <w:rPr>
                <w:rFonts w:ascii="Calibri" w:hAnsi="Calibri"/>
              </w:rPr>
              <w:t>.</w:t>
            </w:r>
          </w:p>
        </w:tc>
      </w:tr>
      <w:tr w:rsidR="00722CA9" w:rsidRPr="00DD0C44" w14:paraId="2847AB2A"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0256FAE0" w14:textId="77777777" w:rsidR="002458EE" w:rsidRPr="00DD0C44" w:rsidRDefault="002458EE" w:rsidP="00F411A5">
            <w:pPr>
              <w:pStyle w:val="NoSpacing"/>
              <w:rPr>
                <w:rFonts w:ascii="Calibri" w:hAnsi="Calibri"/>
              </w:rPr>
            </w:pPr>
            <w:r w:rsidRPr="00DD0C44">
              <w:rPr>
                <w:rFonts w:ascii="Calibri" w:hAnsi="Calibri"/>
              </w:rPr>
              <w:t>PARTNERSHHSIPS</w:t>
            </w:r>
          </w:p>
        </w:tc>
        <w:tc>
          <w:tcPr>
            <w:tcW w:w="5670" w:type="dxa"/>
            <w:tcBorders>
              <w:top w:val="none" w:sz="0" w:space="0" w:color="auto"/>
              <w:bottom w:val="none" w:sz="0" w:space="0" w:color="auto"/>
            </w:tcBorders>
          </w:tcPr>
          <w:p w14:paraId="5DE3229E"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720" w:type="dxa"/>
            <w:tcBorders>
              <w:top w:val="none" w:sz="0" w:space="0" w:color="auto"/>
              <w:bottom w:val="none" w:sz="0" w:space="0" w:color="auto"/>
              <w:right w:val="none" w:sz="0" w:space="0" w:color="auto"/>
            </w:tcBorders>
          </w:tcPr>
          <w:p w14:paraId="6DB3DD8F"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722CA9" w:rsidRPr="00DD0C44" w14:paraId="5CB73BB3" w14:textId="77777777" w:rsidTr="00CC5CEC">
        <w:trPr>
          <w:trHeight w:val="638"/>
        </w:trPr>
        <w:tc>
          <w:tcPr>
            <w:cnfStyle w:val="001000000000" w:firstRow="0" w:lastRow="0" w:firstColumn="1" w:lastColumn="0" w:oddVBand="0" w:evenVBand="0" w:oddHBand="0" w:evenHBand="0" w:firstRowFirstColumn="0" w:firstRowLastColumn="0" w:lastRowFirstColumn="0" w:lastRowLastColumn="0"/>
            <w:tcW w:w="3078" w:type="dxa"/>
          </w:tcPr>
          <w:p w14:paraId="607E399B" w14:textId="39FD5ADD" w:rsidR="002458EE" w:rsidRPr="00DD0C44" w:rsidRDefault="002458EE" w:rsidP="00722CA9">
            <w:pPr>
              <w:pStyle w:val="NoSpacing"/>
              <w:rPr>
                <w:rFonts w:ascii="Calibri" w:hAnsi="Calibri"/>
              </w:rPr>
            </w:pPr>
            <w:r w:rsidRPr="00DD0C44">
              <w:rPr>
                <w:rFonts w:ascii="Calibri" w:hAnsi="Calibri"/>
              </w:rPr>
              <w:t xml:space="preserve">Distribution of number of partnerships in the last </w:t>
            </w:r>
            <w:r w:rsidR="00722CA9" w:rsidRPr="00DD0C44">
              <w:rPr>
                <w:rFonts w:ascii="Calibri" w:hAnsi="Calibri"/>
              </w:rPr>
              <w:t>12 months</w:t>
            </w:r>
          </w:p>
        </w:tc>
        <w:tc>
          <w:tcPr>
            <w:tcW w:w="5670" w:type="dxa"/>
          </w:tcPr>
          <w:p w14:paraId="6574D6DC" w14:textId="77777777"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(11, 27, 16, 15, 3, 27)% for  (0,1,2,3,4,5+) partners</w:t>
            </w:r>
          </w:p>
        </w:tc>
        <w:tc>
          <w:tcPr>
            <w:tcW w:w="720" w:type="dxa"/>
          </w:tcPr>
          <w:p w14:paraId="4E6390CF" w14:textId="7ECBF139" w:rsidR="002458EE" w:rsidRPr="00DD0C44" w:rsidRDefault="00722CA9" w:rsidP="00722CA9">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fldChar w:fldCharType="begin" w:fldLock="1"/>
            </w:r>
            <w:r w:rsidR="0065397E" w:rsidRPr="00DD0C44">
              <w:rPr>
                <w:rFonts w:ascii="Calibri" w:hAnsi="Calibri"/>
              </w:rPr>
              <w:instrText>ADDIN CSL_CITATION { "citationItems" : [ { "id" : "ITEM-1", "itemData" : { "URL" : "http://www.jhsph.edu/faculty/research/map/US/1413/8192", "author" : [ { "dropping-particle" : "", "family" : "German", "given" : "Danielle", "non-dropping-particle" : "", "parse-names" : false, "suffix" : "" } ], "id" : "ITEM-1", "issued" : { "date-parts" : [ [ "0" ] ] }, "title" : "BESURE Study: National HIV Behavioral Surveillance Study in Baltimore", "type" : "webpage" }, "uris" : [ "http://www.mendeley.com/documents/?uuid=31d3abe5-461b-4976-a1a7-514ece9dde6a" ] } ], "mendeley" : { "formattedCitation" : "[9]", "plainTextFormattedCitation" : "[9]", "previouslyFormattedCitation" : "[9]"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[9]</w:t>
            </w:r>
            <w:r w:rsidRPr="00DD0C44">
              <w:rPr>
                <w:rFonts w:ascii="Calibri" w:hAnsi="Calibri"/>
              </w:rPr>
              <w:fldChar w:fldCharType="end"/>
            </w:r>
          </w:p>
        </w:tc>
      </w:tr>
      <w:tr w:rsidR="00722CA9" w:rsidRPr="00DD0C44" w14:paraId="44D25395"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7C7A2E72" w14:textId="23F0CE06" w:rsidR="002458EE" w:rsidRPr="00DD0C44" w:rsidRDefault="002458EE" w:rsidP="00F411A5">
            <w:pPr>
              <w:pStyle w:val="NoSpacing"/>
              <w:rPr>
                <w:rFonts w:ascii="Calibri" w:hAnsi="Calibri"/>
              </w:rPr>
            </w:pPr>
            <w:r w:rsidRPr="00DD0C44">
              <w:rPr>
                <w:rFonts w:ascii="Calibri" w:hAnsi="Calibri"/>
              </w:rPr>
              <w:t xml:space="preserve">Distribution of number of partnerships in the last </w:t>
            </w:r>
            <w:r w:rsidR="00722CA9" w:rsidRPr="00DD0C44">
              <w:rPr>
                <w:rFonts w:ascii="Calibri" w:hAnsi="Calibri"/>
              </w:rPr>
              <w:t xml:space="preserve">12 months </w:t>
            </w:r>
            <w:r w:rsidRPr="00DD0C44">
              <w:rPr>
                <w:rFonts w:ascii="Calibri" w:hAnsi="Calibri"/>
              </w:rPr>
              <w:t>for each age-group (</w:t>
            </w:r>
            <w:r w:rsidR="00722CA9" w:rsidRPr="00DD0C44">
              <w:rPr>
                <w:rFonts w:ascii="Calibri" w:hAnsi="Calibri"/>
              </w:rPr>
              <w:t xml:space="preserve">values in </w:t>
            </w:r>
            <w:r w:rsidRPr="00DD0C44">
              <w:rPr>
                <w:rFonts w:ascii="Calibri" w:hAnsi="Calibri"/>
              </w:rPr>
              <w:t>%)</w:t>
            </w:r>
          </w:p>
        </w:tc>
        <w:tc>
          <w:tcPr>
            <w:tcW w:w="5670" w:type="dxa"/>
            <w:tcBorders>
              <w:top w:val="none" w:sz="0" w:space="0" w:color="auto"/>
              <w:bottom w:val="none" w:sz="0" w:space="0" w:color="auto"/>
            </w:tcBorders>
          </w:tcPr>
          <w:p w14:paraId="7654C53F"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tbl>
            <w:tblPr>
              <w:tblW w:w="5022" w:type="dxa"/>
              <w:tblBorders>
                <w:top w:val="single" w:sz="4" w:space="0" w:color="auto"/>
                <w:bottom w:val="single" w:sz="4" w:space="0" w:color="auto"/>
              </w:tblBorders>
              <w:tblLayout w:type="fixed"/>
              <w:tblLook w:val="04A0" w:firstRow="1" w:lastRow="0" w:firstColumn="1" w:lastColumn="0" w:noHBand="0" w:noVBand="1"/>
            </w:tblPr>
            <w:tblGrid>
              <w:gridCol w:w="1083"/>
              <w:gridCol w:w="798"/>
              <w:gridCol w:w="823"/>
              <w:gridCol w:w="806"/>
              <w:gridCol w:w="800"/>
              <w:gridCol w:w="712"/>
            </w:tblGrid>
            <w:tr w:rsidR="00722CA9" w:rsidRPr="00DD0C44" w14:paraId="645BB81A" w14:textId="77777777" w:rsidTr="00CC5CEC">
              <w:trPr>
                <w:trHeight w:val="105"/>
              </w:trPr>
              <w:tc>
                <w:tcPr>
                  <w:tcW w:w="1083" w:type="dxa"/>
                  <w:vMerge w:val="restart"/>
                  <w:shd w:val="clear" w:color="auto" w:fill="auto"/>
                  <w:noWrap/>
                  <w:vAlign w:val="bottom"/>
                  <w:hideMark/>
                </w:tcPr>
                <w:p w14:paraId="2D1FE937" w14:textId="3657B4D2" w:rsidR="00722CA9" w:rsidRPr="00DD0C44" w:rsidRDefault="00722CA9" w:rsidP="00CC5CEC">
                  <w:pPr>
                    <w:pStyle w:val="NoSpacing"/>
                    <w:jc w:val="center"/>
                    <w:rPr>
                      <w:rFonts w:ascii="Calibri" w:hAnsi="Calibri"/>
                    </w:rPr>
                  </w:pPr>
                  <w:r w:rsidRPr="00DD0C44">
                    <w:rPr>
                      <w:rFonts w:ascii="Calibri" w:hAnsi="Calibri"/>
                    </w:rPr>
                    <w:t>Number of partners:</w:t>
                  </w:r>
                </w:p>
              </w:tc>
              <w:tc>
                <w:tcPr>
                  <w:tcW w:w="3939" w:type="dxa"/>
                  <w:gridSpan w:val="5"/>
                  <w:tcBorders>
                    <w:bottom w:val="nil"/>
                  </w:tcBorders>
                  <w:shd w:val="clear" w:color="auto" w:fill="auto"/>
                  <w:noWrap/>
                  <w:vAlign w:val="bottom"/>
                  <w:hideMark/>
                </w:tcPr>
                <w:p w14:paraId="3C42A90A" w14:textId="75F91B4F" w:rsidR="00722CA9" w:rsidRPr="00DD0C44" w:rsidRDefault="00722CA9" w:rsidP="00CC5CEC">
                  <w:pPr>
                    <w:pStyle w:val="NoSpacing"/>
                    <w:jc w:val="center"/>
                    <w:rPr>
                      <w:rFonts w:ascii="Calibri" w:hAnsi="Calibri"/>
                    </w:rPr>
                  </w:pPr>
                  <w:r w:rsidRPr="00DD0C44">
                    <w:rPr>
                      <w:rFonts w:ascii="Calibri" w:hAnsi="Calibri"/>
                    </w:rPr>
                    <w:t>Age groups:</w:t>
                  </w:r>
                </w:p>
              </w:tc>
            </w:tr>
            <w:tr w:rsidR="00722CA9" w:rsidRPr="00DD0C44" w14:paraId="1689B9DF" w14:textId="77777777" w:rsidTr="00CC5CEC">
              <w:trPr>
                <w:trHeight w:val="274"/>
              </w:trPr>
              <w:tc>
                <w:tcPr>
                  <w:tcW w:w="1083" w:type="dxa"/>
                  <w:vMerge/>
                  <w:shd w:val="clear" w:color="auto" w:fill="auto"/>
                  <w:noWrap/>
                  <w:vAlign w:val="bottom"/>
                  <w:hideMark/>
                </w:tcPr>
                <w:p w14:paraId="2DB2A49F" w14:textId="018C878A" w:rsidR="00722CA9" w:rsidRPr="00DD0C44" w:rsidRDefault="00722CA9" w:rsidP="00CC5CEC">
                  <w:pPr>
                    <w:pStyle w:val="NoSpacing"/>
                    <w:jc w:val="center"/>
                    <w:rPr>
                      <w:rFonts w:ascii="Calibri" w:hAnsi="Calibri"/>
                    </w:rPr>
                  </w:pPr>
                </w:p>
              </w:tc>
              <w:tc>
                <w:tcPr>
                  <w:tcW w:w="798" w:type="dxa"/>
                  <w:tcBorders>
                    <w:top w:val="nil"/>
                    <w:bottom w:val="single" w:sz="4" w:space="0" w:color="auto"/>
                  </w:tcBorders>
                  <w:shd w:val="clear" w:color="auto" w:fill="auto"/>
                  <w:noWrap/>
                  <w:vAlign w:val="bottom"/>
                  <w:hideMark/>
                </w:tcPr>
                <w:p w14:paraId="3962462C" w14:textId="77777777" w:rsidR="00722CA9" w:rsidRPr="00DD0C44" w:rsidRDefault="00722CA9" w:rsidP="00CC5CEC">
                  <w:pPr>
                    <w:pStyle w:val="NoSpacing"/>
                    <w:jc w:val="center"/>
                    <w:rPr>
                      <w:rFonts w:ascii="Calibri" w:hAnsi="Calibri"/>
                    </w:rPr>
                  </w:pPr>
                  <w:r w:rsidRPr="00DD0C44">
                    <w:rPr>
                      <w:rFonts w:ascii="Calibri" w:hAnsi="Calibri"/>
                    </w:rPr>
                    <w:t>18-24</w:t>
                  </w:r>
                </w:p>
              </w:tc>
              <w:tc>
                <w:tcPr>
                  <w:tcW w:w="823" w:type="dxa"/>
                  <w:tcBorders>
                    <w:top w:val="nil"/>
                    <w:bottom w:val="single" w:sz="4" w:space="0" w:color="auto"/>
                  </w:tcBorders>
                  <w:shd w:val="clear" w:color="auto" w:fill="auto"/>
                  <w:noWrap/>
                  <w:vAlign w:val="bottom"/>
                  <w:hideMark/>
                </w:tcPr>
                <w:p w14:paraId="0A2ADABB" w14:textId="77777777" w:rsidR="00722CA9" w:rsidRPr="00DD0C44" w:rsidRDefault="00722CA9" w:rsidP="00CC5CEC">
                  <w:pPr>
                    <w:pStyle w:val="NoSpacing"/>
                    <w:jc w:val="center"/>
                    <w:rPr>
                      <w:rFonts w:ascii="Calibri" w:hAnsi="Calibri"/>
                    </w:rPr>
                  </w:pPr>
                  <w:r w:rsidRPr="00DD0C44">
                    <w:rPr>
                      <w:rFonts w:ascii="Calibri" w:hAnsi="Calibri"/>
                    </w:rPr>
                    <w:t>25-34</w:t>
                  </w:r>
                </w:p>
              </w:tc>
              <w:tc>
                <w:tcPr>
                  <w:tcW w:w="806" w:type="dxa"/>
                  <w:tcBorders>
                    <w:top w:val="nil"/>
                    <w:bottom w:val="single" w:sz="4" w:space="0" w:color="auto"/>
                  </w:tcBorders>
                  <w:shd w:val="clear" w:color="auto" w:fill="auto"/>
                  <w:noWrap/>
                  <w:vAlign w:val="bottom"/>
                  <w:hideMark/>
                </w:tcPr>
                <w:p w14:paraId="2915FC1F" w14:textId="77777777" w:rsidR="00722CA9" w:rsidRPr="00DD0C44" w:rsidRDefault="00722CA9" w:rsidP="00CC5CEC">
                  <w:pPr>
                    <w:pStyle w:val="NoSpacing"/>
                    <w:jc w:val="center"/>
                    <w:rPr>
                      <w:rFonts w:ascii="Calibri" w:hAnsi="Calibri"/>
                    </w:rPr>
                  </w:pPr>
                  <w:r w:rsidRPr="00DD0C44">
                    <w:rPr>
                      <w:rFonts w:ascii="Calibri" w:hAnsi="Calibri"/>
                    </w:rPr>
                    <w:t>35-44</w:t>
                  </w:r>
                </w:p>
              </w:tc>
              <w:tc>
                <w:tcPr>
                  <w:tcW w:w="800" w:type="dxa"/>
                  <w:tcBorders>
                    <w:top w:val="nil"/>
                    <w:bottom w:val="single" w:sz="4" w:space="0" w:color="auto"/>
                  </w:tcBorders>
                  <w:shd w:val="clear" w:color="auto" w:fill="auto"/>
                  <w:noWrap/>
                  <w:vAlign w:val="bottom"/>
                  <w:hideMark/>
                </w:tcPr>
                <w:p w14:paraId="4B75EFFA" w14:textId="77777777" w:rsidR="00722CA9" w:rsidRPr="00DD0C44" w:rsidRDefault="00722CA9" w:rsidP="00CC5CEC">
                  <w:pPr>
                    <w:pStyle w:val="NoSpacing"/>
                    <w:jc w:val="center"/>
                    <w:rPr>
                      <w:rFonts w:ascii="Calibri" w:hAnsi="Calibri"/>
                    </w:rPr>
                  </w:pPr>
                  <w:r w:rsidRPr="00DD0C44">
                    <w:rPr>
                      <w:rFonts w:ascii="Calibri" w:hAnsi="Calibri"/>
                    </w:rPr>
                    <w:t>45-60</w:t>
                  </w:r>
                </w:p>
              </w:tc>
              <w:tc>
                <w:tcPr>
                  <w:tcW w:w="710" w:type="dxa"/>
                  <w:tcBorders>
                    <w:top w:val="nil"/>
                    <w:bottom w:val="single" w:sz="4" w:space="0" w:color="auto"/>
                  </w:tcBorders>
                  <w:shd w:val="clear" w:color="auto" w:fill="auto"/>
                  <w:noWrap/>
                  <w:vAlign w:val="bottom"/>
                  <w:hideMark/>
                </w:tcPr>
                <w:p w14:paraId="068424F0" w14:textId="77777777" w:rsidR="00722CA9" w:rsidRPr="00DD0C44" w:rsidRDefault="00722CA9" w:rsidP="00CC5CEC">
                  <w:pPr>
                    <w:pStyle w:val="NoSpacing"/>
                    <w:jc w:val="center"/>
                    <w:rPr>
                      <w:rFonts w:ascii="Calibri" w:hAnsi="Calibri"/>
                    </w:rPr>
                  </w:pPr>
                  <w:r w:rsidRPr="00DD0C44">
                    <w:rPr>
                      <w:rFonts w:ascii="Calibri" w:hAnsi="Calibri"/>
                    </w:rPr>
                    <w:t>60+</w:t>
                  </w:r>
                </w:p>
              </w:tc>
            </w:tr>
            <w:tr w:rsidR="00722CA9" w:rsidRPr="00DD0C44" w14:paraId="00280C47" w14:textId="77777777" w:rsidTr="00CC5CEC">
              <w:trPr>
                <w:trHeight w:val="274"/>
              </w:trPr>
              <w:tc>
                <w:tcPr>
                  <w:tcW w:w="1083" w:type="dxa"/>
                  <w:shd w:val="clear" w:color="auto" w:fill="auto"/>
                  <w:noWrap/>
                  <w:vAlign w:val="bottom"/>
                  <w:hideMark/>
                </w:tcPr>
                <w:p w14:paraId="3CAC59B5" w14:textId="77777777" w:rsidR="002458EE" w:rsidRPr="00DD0C44" w:rsidRDefault="002458EE" w:rsidP="00CC5CEC">
                  <w:pPr>
                    <w:pStyle w:val="NoSpacing"/>
                    <w:jc w:val="center"/>
                    <w:rPr>
                      <w:rFonts w:ascii="Calibri" w:hAnsi="Calibri"/>
                    </w:rPr>
                  </w:pPr>
                  <w:r w:rsidRPr="00DD0C44">
                    <w:rPr>
                      <w:rFonts w:ascii="Calibri" w:hAnsi="Calibri"/>
                    </w:rPr>
                    <w:t>0</w:t>
                  </w:r>
                </w:p>
              </w:tc>
              <w:tc>
                <w:tcPr>
                  <w:tcW w:w="798" w:type="dxa"/>
                  <w:tcBorders>
                    <w:top w:val="single" w:sz="4" w:space="0" w:color="auto"/>
                  </w:tcBorders>
                  <w:shd w:val="clear" w:color="auto" w:fill="auto"/>
                  <w:noWrap/>
                  <w:vAlign w:val="bottom"/>
                  <w:hideMark/>
                </w:tcPr>
                <w:p w14:paraId="3AFA4959" w14:textId="77777777" w:rsidR="002458EE" w:rsidRPr="00DD0C44" w:rsidRDefault="002458EE" w:rsidP="00CC5CEC">
                  <w:pPr>
                    <w:pStyle w:val="NoSpacing"/>
                    <w:jc w:val="center"/>
                    <w:rPr>
                      <w:rFonts w:ascii="Calibri" w:hAnsi="Calibri"/>
                    </w:rPr>
                  </w:pPr>
                  <w:r w:rsidRPr="00DD0C44">
                    <w:rPr>
                      <w:rFonts w:ascii="Calibri" w:hAnsi="Calibri"/>
                    </w:rPr>
                    <w:t>3.95</w:t>
                  </w:r>
                </w:p>
              </w:tc>
              <w:tc>
                <w:tcPr>
                  <w:tcW w:w="823" w:type="dxa"/>
                  <w:tcBorders>
                    <w:top w:val="single" w:sz="4" w:space="0" w:color="auto"/>
                  </w:tcBorders>
                  <w:shd w:val="clear" w:color="auto" w:fill="auto"/>
                  <w:noWrap/>
                  <w:vAlign w:val="bottom"/>
                  <w:hideMark/>
                </w:tcPr>
                <w:p w14:paraId="2EDCB7F2" w14:textId="77777777" w:rsidR="002458EE" w:rsidRPr="00DD0C44" w:rsidRDefault="002458EE" w:rsidP="00CC5CEC">
                  <w:pPr>
                    <w:pStyle w:val="NoSpacing"/>
                    <w:jc w:val="center"/>
                    <w:rPr>
                      <w:rFonts w:ascii="Calibri" w:hAnsi="Calibri"/>
                    </w:rPr>
                  </w:pPr>
                  <w:r w:rsidRPr="00DD0C44">
                    <w:rPr>
                      <w:rFonts w:ascii="Calibri" w:hAnsi="Calibri"/>
                    </w:rPr>
                    <w:t>7.53</w:t>
                  </w:r>
                </w:p>
              </w:tc>
              <w:tc>
                <w:tcPr>
                  <w:tcW w:w="806" w:type="dxa"/>
                  <w:tcBorders>
                    <w:top w:val="single" w:sz="4" w:space="0" w:color="auto"/>
                  </w:tcBorders>
                  <w:shd w:val="clear" w:color="auto" w:fill="auto"/>
                  <w:noWrap/>
                  <w:vAlign w:val="bottom"/>
                  <w:hideMark/>
                </w:tcPr>
                <w:p w14:paraId="648985DF" w14:textId="77777777" w:rsidR="002458EE" w:rsidRPr="00DD0C44" w:rsidRDefault="002458EE" w:rsidP="00CC5CEC">
                  <w:pPr>
                    <w:pStyle w:val="NoSpacing"/>
                    <w:jc w:val="center"/>
                    <w:rPr>
                      <w:rFonts w:ascii="Calibri" w:hAnsi="Calibri"/>
                    </w:rPr>
                  </w:pPr>
                  <w:r w:rsidRPr="00DD0C44">
                    <w:rPr>
                      <w:rFonts w:ascii="Calibri" w:hAnsi="Calibri"/>
                    </w:rPr>
                    <w:t>8.2</w:t>
                  </w:r>
                </w:p>
              </w:tc>
              <w:tc>
                <w:tcPr>
                  <w:tcW w:w="800" w:type="dxa"/>
                  <w:tcBorders>
                    <w:top w:val="single" w:sz="4" w:space="0" w:color="auto"/>
                  </w:tcBorders>
                  <w:shd w:val="clear" w:color="auto" w:fill="auto"/>
                  <w:noWrap/>
                  <w:vAlign w:val="bottom"/>
                  <w:hideMark/>
                </w:tcPr>
                <w:p w14:paraId="0AE19661" w14:textId="77777777" w:rsidR="002458EE" w:rsidRPr="00DD0C44" w:rsidRDefault="002458EE" w:rsidP="00CC5CEC">
                  <w:pPr>
                    <w:pStyle w:val="NoSpacing"/>
                    <w:jc w:val="center"/>
                    <w:rPr>
                      <w:rFonts w:ascii="Calibri" w:hAnsi="Calibri"/>
                    </w:rPr>
                  </w:pPr>
                  <w:r w:rsidRPr="00DD0C44">
                    <w:rPr>
                      <w:rFonts w:ascii="Calibri" w:hAnsi="Calibri"/>
                    </w:rPr>
                    <w:t>16.28</w:t>
                  </w:r>
                </w:p>
              </w:tc>
              <w:tc>
                <w:tcPr>
                  <w:tcW w:w="710" w:type="dxa"/>
                  <w:tcBorders>
                    <w:top w:val="single" w:sz="4" w:space="0" w:color="auto"/>
                  </w:tcBorders>
                  <w:shd w:val="clear" w:color="auto" w:fill="auto"/>
                  <w:noWrap/>
                  <w:vAlign w:val="bottom"/>
                  <w:hideMark/>
                </w:tcPr>
                <w:p w14:paraId="0B52BCF7" w14:textId="77777777" w:rsidR="002458EE" w:rsidRPr="00DD0C44" w:rsidRDefault="002458EE" w:rsidP="00CC5CEC">
                  <w:pPr>
                    <w:pStyle w:val="NoSpacing"/>
                    <w:jc w:val="center"/>
                    <w:rPr>
                      <w:rFonts w:ascii="Calibri" w:hAnsi="Calibri"/>
                    </w:rPr>
                  </w:pPr>
                  <w:r w:rsidRPr="00DD0C44">
                    <w:rPr>
                      <w:rFonts w:ascii="Calibri" w:hAnsi="Calibri"/>
                    </w:rPr>
                    <w:t>18.75</w:t>
                  </w:r>
                </w:p>
              </w:tc>
            </w:tr>
            <w:tr w:rsidR="00722CA9" w:rsidRPr="00DD0C44" w14:paraId="40C2EE3E" w14:textId="77777777" w:rsidTr="00CC5CEC">
              <w:trPr>
                <w:trHeight w:val="274"/>
              </w:trPr>
              <w:tc>
                <w:tcPr>
                  <w:tcW w:w="1083" w:type="dxa"/>
                  <w:shd w:val="clear" w:color="auto" w:fill="auto"/>
                  <w:noWrap/>
                  <w:vAlign w:val="bottom"/>
                  <w:hideMark/>
                </w:tcPr>
                <w:p w14:paraId="1B6BAA48" w14:textId="77777777" w:rsidR="002458EE" w:rsidRPr="00DD0C44" w:rsidRDefault="002458EE" w:rsidP="00CC5CEC">
                  <w:pPr>
                    <w:pStyle w:val="NoSpacing"/>
                    <w:jc w:val="center"/>
                    <w:rPr>
                      <w:rFonts w:ascii="Calibri" w:hAnsi="Calibri"/>
                    </w:rPr>
                  </w:pPr>
                  <w:r w:rsidRPr="00DD0C44">
                    <w:rPr>
                      <w:rFonts w:ascii="Calibri" w:hAnsi="Calibri"/>
                    </w:rPr>
                    <w:t>1</w:t>
                  </w:r>
                </w:p>
              </w:tc>
              <w:tc>
                <w:tcPr>
                  <w:tcW w:w="798" w:type="dxa"/>
                  <w:shd w:val="clear" w:color="auto" w:fill="auto"/>
                  <w:noWrap/>
                  <w:vAlign w:val="bottom"/>
                  <w:hideMark/>
                </w:tcPr>
                <w:p w14:paraId="0C703F43" w14:textId="77777777" w:rsidR="002458EE" w:rsidRPr="00DD0C44" w:rsidRDefault="002458EE" w:rsidP="00CC5CEC">
                  <w:pPr>
                    <w:pStyle w:val="NoSpacing"/>
                    <w:jc w:val="center"/>
                    <w:rPr>
                      <w:rFonts w:ascii="Calibri" w:hAnsi="Calibri"/>
                    </w:rPr>
                  </w:pPr>
                  <w:r w:rsidRPr="00DD0C44">
                    <w:rPr>
                      <w:rFonts w:ascii="Calibri" w:hAnsi="Calibri"/>
                    </w:rPr>
                    <w:t>28.95</w:t>
                  </w:r>
                </w:p>
              </w:tc>
              <w:tc>
                <w:tcPr>
                  <w:tcW w:w="823" w:type="dxa"/>
                  <w:shd w:val="clear" w:color="auto" w:fill="auto"/>
                  <w:noWrap/>
                  <w:vAlign w:val="bottom"/>
                  <w:hideMark/>
                </w:tcPr>
                <w:p w14:paraId="4937AA8E" w14:textId="77777777" w:rsidR="002458EE" w:rsidRPr="00DD0C44" w:rsidRDefault="002458EE" w:rsidP="00CC5CEC">
                  <w:pPr>
                    <w:pStyle w:val="NoSpacing"/>
                    <w:jc w:val="center"/>
                    <w:rPr>
                      <w:rFonts w:ascii="Calibri" w:hAnsi="Calibri"/>
                    </w:rPr>
                  </w:pPr>
                  <w:r w:rsidRPr="00DD0C44">
                    <w:rPr>
                      <w:rFonts w:ascii="Calibri" w:hAnsi="Calibri"/>
                    </w:rPr>
                    <w:t>26.71</w:t>
                  </w:r>
                </w:p>
              </w:tc>
              <w:tc>
                <w:tcPr>
                  <w:tcW w:w="806" w:type="dxa"/>
                  <w:shd w:val="clear" w:color="auto" w:fill="auto"/>
                  <w:noWrap/>
                  <w:vAlign w:val="bottom"/>
                  <w:hideMark/>
                </w:tcPr>
                <w:p w14:paraId="7796F2C8" w14:textId="77777777" w:rsidR="002458EE" w:rsidRPr="00DD0C44" w:rsidRDefault="002458EE" w:rsidP="00CC5CEC">
                  <w:pPr>
                    <w:pStyle w:val="NoSpacing"/>
                    <w:jc w:val="center"/>
                    <w:rPr>
                      <w:rFonts w:ascii="Calibri" w:hAnsi="Calibri"/>
                    </w:rPr>
                  </w:pPr>
                  <w:r w:rsidRPr="00DD0C44">
                    <w:rPr>
                      <w:rFonts w:ascii="Calibri" w:hAnsi="Calibri"/>
                    </w:rPr>
                    <w:t>22.95</w:t>
                  </w:r>
                </w:p>
              </w:tc>
              <w:tc>
                <w:tcPr>
                  <w:tcW w:w="800" w:type="dxa"/>
                  <w:shd w:val="clear" w:color="auto" w:fill="auto"/>
                  <w:noWrap/>
                  <w:vAlign w:val="bottom"/>
                  <w:hideMark/>
                </w:tcPr>
                <w:p w14:paraId="74ECE3C1" w14:textId="77777777" w:rsidR="002458EE" w:rsidRPr="00DD0C44" w:rsidRDefault="002458EE" w:rsidP="00CC5CEC">
                  <w:pPr>
                    <w:pStyle w:val="NoSpacing"/>
                    <w:jc w:val="center"/>
                    <w:rPr>
                      <w:rFonts w:ascii="Calibri" w:hAnsi="Calibri"/>
                    </w:rPr>
                  </w:pPr>
                  <w:r w:rsidRPr="00DD0C44">
                    <w:rPr>
                      <w:rFonts w:ascii="Calibri" w:hAnsi="Calibri"/>
                    </w:rPr>
                    <w:t>33.72</w:t>
                  </w:r>
                </w:p>
              </w:tc>
              <w:tc>
                <w:tcPr>
                  <w:tcW w:w="710" w:type="dxa"/>
                  <w:shd w:val="clear" w:color="auto" w:fill="auto"/>
                  <w:noWrap/>
                  <w:vAlign w:val="bottom"/>
                  <w:hideMark/>
                </w:tcPr>
                <w:p w14:paraId="3EEA621E" w14:textId="77777777" w:rsidR="002458EE" w:rsidRPr="00DD0C44" w:rsidRDefault="002458EE" w:rsidP="00CC5CEC">
                  <w:pPr>
                    <w:pStyle w:val="NoSpacing"/>
                    <w:jc w:val="center"/>
                    <w:rPr>
                      <w:rFonts w:ascii="Calibri" w:hAnsi="Calibri"/>
                    </w:rPr>
                  </w:pPr>
                  <w:r w:rsidRPr="00DD0C44">
                    <w:rPr>
                      <w:rFonts w:ascii="Calibri" w:hAnsi="Calibri"/>
                    </w:rPr>
                    <w:t>25</w:t>
                  </w:r>
                </w:p>
              </w:tc>
            </w:tr>
            <w:tr w:rsidR="00722CA9" w:rsidRPr="00DD0C44" w14:paraId="5EA9E299" w14:textId="77777777" w:rsidTr="00CC5CEC">
              <w:trPr>
                <w:trHeight w:val="274"/>
              </w:trPr>
              <w:tc>
                <w:tcPr>
                  <w:tcW w:w="1083" w:type="dxa"/>
                  <w:shd w:val="clear" w:color="auto" w:fill="auto"/>
                  <w:noWrap/>
                  <w:vAlign w:val="bottom"/>
                  <w:hideMark/>
                </w:tcPr>
                <w:p w14:paraId="113A9618" w14:textId="77777777" w:rsidR="002458EE" w:rsidRPr="00DD0C44" w:rsidRDefault="002458EE" w:rsidP="00CC5CEC">
                  <w:pPr>
                    <w:pStyle w:val="NoSpacing"/>
                    <w:jc w:val="center"/>
                    <w:rPr>
                      <w:rFonts w:ascii="Calibri" w:hAnsi="Calibri"/>
                    </w:rPr>
                  </w:pPr>
                  <w:r w:rsidRPr="00DD0C44">
                    <w:rPr>
                      <w:rFonts w:ascii="Calibri" w:hAnsi="Calibri"/>
                    </w:rPr>
                    <w:t>2</w:t>
                  </w:r>
                </w:p>
              </w:tc>
              <w:tc>
                <w:tcPr>
                  <w:tcW w:w="798" w:type="dxa"/>
                  <w:shd w:val="clear" w:color="auto" w:fill="auto"/>
                  <w:noWrap/>
                  <w:vAlign w:val="bottom"/>
                  <w:hideMark/>
                </w:tcPr>
                <w:p w14:paraId="0F9CDAD5" w14:textId="77777777" w:rsidR="002458EE" w:rsidRPr="00DD0C44" w:rsidRDefault="002458EE" w:rsidP="00CC5CEC">
                  <w:pPr>
                    <w:pStyle w:val="NoSpacing"/>
                    <w:jc w:val="center"/>
                    <w:rPr>
                      <w:rFonts w:ascii="Calibri" w:hAnsi="Calibri"/>
                    </w:rPr>
                  </w:pPr>
                  <w:r w:rsidRPr="00DD0C44">
                    <w:rPr>
                      <w:rFonts w:ascii="Calibri" w:hAnsi="Calibri"/>
                    </w:rPr>
                    <w:t>17.11</w:t>
                  </w:r>
                </w:p>
              </w:tc>
              <w:tc>
                <w:tcPr>
                  <w:tcW w:w="823" w:type="dxa"/>
                  <w:shd w:val="clear" w:color="auto" w:fill="auto"/>
                  <w:noWrap/>
                  <w:vAlign w:val="bottom"/>
                  <w:hideMark/>
                </w:tcPr>
                <w:p w14:paraId="0F83D521" w14:textId="77777777" w:rsidR="002458EE" w:rsidRPr="00DD0C44" w:rsidRDefault="002458EE" w:rsidP="00CC5CEC">
                  <w:pPr>
                    <w:pStyle w:val="NoSpacing"/>
                    <w:jc w:val="center"/>
                    <w:rPr>
                      <w:rFonts w:ascii="Calibri" w:hAnsi="Calibri"/>
                    </w:rPr>
                  </w:pPr>
                  <w:r w:rsidRPr="00DD0C44">
                    <w:rPr>
                      <w:rFonts w:ascii="Calibri" w:hAnsi="Calibri"/>
                    </w:rPr>
                    <w:t>8.22</w:t>
                  </w:r>
                </w:p>
              </w:tc>
              <w:tc>
                <w:tcPr>
                  <w:tcW w:w="806" w:type="dxa"/>
                  <w:shd w:val="clear" w:color="auto" w:fill="auto"/>
                  <w:noWrap/>
                  <w:vAlign w:val="bottom"/>
                  <w:hideMark/>
                </w:tcPr>
                <w:p w14:paraId="4F940BDC" w14:textId="77777777" w:rsidR="002458EE" w:rsidRPr="00DD0C44" w:rsidRDefault="002458EE" w:rsidP="00CC5CEC">
                  <w:pPr>
                    <w:pStyle w:val="NoSpacing"/>
                    <w:jc w:val="center"/>
                    <w:rPr>
                      <w:rFonts w:ascii="Calibri" w:hAnsi="Calibri"/>
                    </w:rPr>
                  </w:pPr>
                  <w:r w:rsidRPr="00DD0C44">
                    <w:rPr>
                      <w:rFonts w:ascii="Calibri" w:hAnsi="Calibri"/>
                    </w:rPr>
                    <w:t>22.95</w:t>
                  </w:r>
                </w:p>
              </w:tc>
              <w:tc>
                <w:tcPr>
                  <w:tcW w:w="800" w:type="dxa"/>
                  <w:shd w:val="clear" w:color="auto" w:fill="auto"/>
                  <w:noWrap/>
                  <w:vAlign w:val="bottom"/>
                  <w:hideMark/>
                </w:tcPr>
                <w:p w14:paraId="7D97CB96" w14:textId="77777777" w:rsidR="002458EE" w:rsidRPr="00DD0C44" w:rsidRDefault="002458EE" w:rsidP="00CC5CEC">
                  <w:pPr>
                    <w:pStyle w:val="NoSpacing"/>
                    <w:jc w:val="center"/>
                    <w:rPr>
                      <w:rFonts w:ascii="Calibri" w:hAnsi="Calibri"/>
                    </w:rPr>
                  </w:pPr>
                  <w:r w:rsidRPr="00DD0C44">
                    <w:rPr>
                      <w:rFonts w:ascii="Calibri" w:hAnsi="Calibri"/>
                    </w:rPr>
                    <w:t>18.6</w:t>
                  </w:r>
                </w:p>
              </w:tc>
              <w:tc>
                <w:tcPr>
                  <w:tcW w:w="710" w:type="dxa"/>
                  <w:shd w:val="clear" w:color="auto" w:fill="auto"/>
                  <w:noWrap/>
                  <w:vAlign w:val="bottom"/>
                  <w:hideMark/>
                </w:tcPr>
                <w:p w14:paraId="436A436F" w14:textId="77777777" w:rsidR="002458EE" w:rsidRPr="00DD0C44" w:rsidRDefault="002458EE" w:rsidP="00CC5CEC">
                  <w:pPr>
                    <w:pStyle w:val="NoSpacing"/>
                    <w:jc w:val="center"/>
                    <w:rPr>
                      <w:rFonts w:ascii="Calibri" w:hAnsi="Calibri"/>
                    </w:rPr>
                  </w:pPr>
                  <w:r w:rsidRPr="00DD0C44">
                    <w:rPr>
                      <w:rFonts w:ascii="Calibri" w:hAnsi="Calibri"/>
                    </w:rPr>
                    <w:t>12.5</w:t>
                  </w:r>
                </w:p>
              </w:tc>
            </w:tr>
            <w:tr w:rsidR="00722CA9" w:rsidRPr="00DD0C44" w14:paraId="3BA59C03" w14:textId="77777777" w:rsidTr="00CC5CEC">
              <w:trPr>
                <w:trHeight w:val="274"/>
              </w:trPr>
              <w:tc>
                <w:tcPr>
                  <w:tcW w:w="1083" w:type="dxa"/>
                  <w:shd w:val="clear" w:color="auto" w:fill="auto"/>
                  <w:noWrap/>
                  <w:vAlign w:val="bottom"/>
                  <w:hideMark/>
                </w:tcPr>
                <w:p w14:paraId="3666E94A" w14:textId="77777777" w:rsidR="002458EE" w:rsidRPr="00DD0C44" w:rsidRDefault="002458EE" w:rsidP="00CC5CEC">
                  <w:pPr>
                    <w:pStyle w:val="NoSpacing"/>
                    <w:jc w:val="center"/>
                    <w:rPr>
                      <w:rFonts w:ascii="Calibri" w:hAnsi="Calibri"/>
                    </w:rPr>
                  </w:pPr>
                  <w:r w:rsidRPr="00DD0C44">
                    <w:rPr>
                      <w:rFonts w:ascii="Calibri" w:hAnsi="Calibri"/>
                    </w:rPr>
                    <w:t>3</w:t>
                  </w:r>
                </w:p>
              </w:tc>
              <w:tc>
                <w:tcPr>
                  <w:tcW w:w="798" w:type="dxa"/>
                  <w:shd w:val="clear" w:color="auto" w:fill="auto"/>
                  <w:noWrap/>
                  <w:vAlign w:val="bottom"/>
                  <w:hideMark/>
                </w:tcPr>
                <w:p w14:paraId="25109054" w14:textId="77777777" w:rsidR="002458EE" w:rsidRPr="00DD0C44" w:rsidRDefault="002458EE" w:rsidP="00CC5CEC">
                  <w:pPr>
                    <w:pStyle w:val="NoSpacing"/>
                    <w:jc w:val="center"/>
                    <w:rPr>
                      <w:rFonts w:ascii="Calibri" w:hAnsi="Calibri"/>
                    </w:rPr>
                  </w:pPr>
                  <w:r w:rsidRPr="00DD0C44">
                    <w:rPr>
                      <w:rFonts w:ascii="Calibri" w:hAnsi="Calibri"/>
                    </w:rPr>
                    <w:t>17.11</w:t>
                  </w:r>
                </w:p>
              </w:tc>
              <w:tc>
                <w:tcPr>
                  <w:tcW w:w="823" w:type="dxa"/>
                  <w:shd w:val="clear" w:color="auto" w:fill="auto"/>
                  <w:noWrap/>
                  <w:vAlign w:val="bottom"/>
                  <w:hideMark/>
                </w:tcPr>
                <w:p w14:paraId="077DB532" w14:textId="77777777" w:rsidR="002458EE" w:rsidRPr="00DD0C44" w:rsidRDefault="002458EE" w:rsidP="00CC5CEC">
                  <w:pPr>
                    <w:pStyle w:val="NoSpacing"/>
                    <w:jc w:val="center"/>
                    <w:rPr>
                      <w:rFonts w:ascii="Calibri" w:hAnsi="Calibri"/>
                    </w:rPr>
                  </w:pPr>
                  <w:r w:rsidRPr="00DD0C44">
                    <w:rPr>
                      <w:rFonts w:ascii="Calibri" w:hAnsi="Calibri"/>
                    </w:rPr>
                    <w:t>13.01</w:t>
                  </w:r>
                </w:p>
              </w:tc>
              <w:tc>
                <w:tcPr>
                  <w:tcW w:w="806" w:type="dxa"/>
                  <w:shd w:val="clear" w:color="auto" w:fill="auto"/>
                  <w:noWrap/>
                  <w:vAlign w:val="bottom"/>
                  <w:hideMark/>
                </w:tcPr>
                <w:p w14:paraId="7C9CE7FF" w14:textId="77777777" w:rsidR="002458EE" w:rsidRPr="00DD0C44" w:rsidRDefault="002458EE" w:rsidP="00CC5CEC">
                  <w:pPr>
                    <w:pStyle w:val="NoSpacing"/>
                    <w:jc w:val="center"/>
                    <w:rPr>
                      <w:rFonts w:ascii="Calibri" w:hAnsi="Calibri"/>
                    </w:rPr>
                  </w:pPr>
                  <w:r w:rsidRPr="00DD0C44">
                    <w:rPr>
                      <w:rFonts w:ascii="Calibri" w:hAnsi="Calibri"/>
                    </w:rPr>
                    <w:t>16.39</w:t>
                  </w:r>
                </w:p>
              </w:tc>
              <w:tc>
                <w:tcPr>
                  <w:tcW w:w="800" w:type="dxa"/>
                  <w:shd w:val="clear" w:color="auto" w:fill="auto"/>
                  <w:noWrap/>
                  <w:vAlign w:val="bottom"/>
                  <w:hideMark/>
                </w:tcPr>
                <w:p w14:paraId="2A7D219E" w14:textId="77777777" w:rsidR="002458EE" w:rsidRPr="00DD0C44" w:rsidRDefault="002458EE" w:rsidP="00CC5CEC">
                  <w:pPr>
                    <w:pStyle w:val="NoSpacing"/>
                    <w:jc w:val="center"/>
                    <w:rPr>
                      <w:rFonts w:ascii="Calibri" w:hAnsi="Calibri"/>
                    </w:rPr>
                  </w:pPr>
                  <w:r w:rsidRPr="00DD0C44">
                    <w:rPr>
                      <w:rFonts w:ascii="Calibri" w:hAnsi="Calibri"/>
                    </w:rPr>
                    <w:t>8.14</w:t>
                  </w:r>
                </w:p>
              </w:tc>
              <w:tc>
                <w:tcPr>
                  <w:tcW w:w="710" w:type="dxa"/>
                  <w:shd w:val="clear" w:color="auto" w:fill="auto"/>
                  <w:noWrap/>
                  <w:vAlign w:val="bottom"/>
                  <w:hideMark/>
                </w:tcPr>
                <w:p w14:paraId="1D7F672B" w14:textId="77777777" w:rsidR="002458EE" w:rsidRPr="00DD0C44" w:rsidRDefault="002458EE" w:rsidP="00CC5CEC">
                  <w:pPr>
                    <w:pStyle w:val="NoSpacing"/>
                    <w:jc w:val="center"/>
                    <w:rPr>
                      <w:rFonts w:ascii="Calibri" w:hAnsi="Calibri"/>
                    </w:rPr>
                  </w:pPr>
                  <w:r w:rsidRPr="00DD0C44">
                    <w:rPr>
                      <w:rFonts w:ascii="Calibri" w:hAnsi="Calibri"/>
                    </w:rPr>
                    <w:t>18.75</w:t>
                  </w:r>
                </w:p>
              </w:tc>
            </w:tr>
            <w:tr w:rsidR="00722CA9" w:rsidRPr="00DD0C44" w14:paraId="023BFD2E" w14:textId="77777777" w:rsidTr="00CC5CEC">
              <w:trPr>
                <w:trHeight w:val="274"/>
              </w:trPr>
              <w:tc>
                <w:tcPr>
                  <w:tcW w:w="1083" w:type="dxa"/>
                  <w:shd w:val="clear" w:color="auto" w:fill="auto"/>
                  <w:noWrap/>
                  <w:vAlign w:val="bottom"/>
                  <w:hideMark/>
                </w:tcPr>
                <w:p w14:paraId="5B5EEC31" w14:textId="77777777" w:rsidR="002458EE" w:rsidRPr="00DD0C44" w:rsidRDefault="002458EE" w:rsidP="00CC5CEC">
                  <w:pPr>
                    <w:pStyle w:val="NoSpacing"/>
                    <w:jc w:val="center"/>
                    <w:rPr>
                      <w:rFonts w:ascii="Calibri" w:hAnsi="Calibri"/>
                    </w:rPr>
                  </w:pPr>
                  <w:r w:rsidRPr="00DD0C44">
                    <w:rPr>
                      <w:rFonts w:ascii="Calibri" w:hAnsi="Calibri"/>
                    </w:rPr>
                    <w:t>4</w:t>
                  </w:r>
                </w:p>
              </w:tc>
              <w:tc>
                <w:tcPr>
                  <w:tcW w:w="798" w:type="dxa"/>
                  <w:shd w:val="clear" w:color="auto" w:fill="auto"/>
                  <w:noWrap/>
                  <w:vAlign w:val="bottom"/>
                  <w:hideMark/>
                </w:tcPr>
                <w:p w14:paraId="6397EA1E" w14:textId="77777777" w:rsidR="002458EE" w:rsidRPr="00DD0C44" w:rsidRDefault="002458EE" w:rsidP="00CC5CEC">
                  <w:pPr>
                    <w:pStyle w:val="NoSpacing"/>
                    <w:jc w:val="center"/>
                    <w:rPr>
                      <w:rFonts w:ascii="Calibri" w:hAnsi="Calibri"/>
                    </w:rPr>
                  </w:pPr>
                  <w:r w:rsidRPr="00DD0C44">
                    <w:rPr>
                      <w:rFonts w:ascii="Calibri" w:hAnsi="Calibri"/>
                    </w:rPr>
                    <w:t>1.32</w:t>
                  </w:r>
                </w:p>
              </w:tc>
              <w:tc>
                <w:tcPr>
                  <w:tcW w:w="823" w:type="dxa"/>
                  <w:shd w:val="clear" w:color="auto" w:fill="auto"/>
                  <w:noWrap/>
                  <w:vAlign w:val="bottom"/>
                  <w:hideMark/>
                </w:tcPr>
                <w:p w14:paraId="55FD6454" w14:textId="77777777" w:rsidR="002458EE" w:rsidRPr="00DD0C44" w:rsidRDefault="002458EE" w:rsidP="00CC5CEC">
                  <w:pPr>
                    <w:pStyle w:val="NoSpacing"/>
                    <w:jc w:val="center"/>
                    <w:rPr>
                      <w:rFonts w:ascii="Calibri" w:hAnsi="Calibri"/>
                    </w:rPr>
                  </w:pPr>
                  <w:r w:rsidRPr="00DD0C44">
                    <w:rPr>
                      <w:rFonts w:ascii="Calibri" w:hAnsi="Calibri"/>
                    </w:rPr>
                    <w:t>6.85</w:t>
                  </w:r>
                </w:p>
              </w:tc>
              <w:tc>
                <w:tcPr>
                  <w:tcW w:w="806" w:type="dxa"/>
                  <w:shd w:val="clear" w:color="auto" w:fill="auto"/>
                  <w:noWrap/>
                  <w:vAlign w:val="bottom"/>
                  <w:hideMark/>
                </w:tcPr>
                <w:p w14:paraId="74FEC5C6" w14:textId="77777777" w:rsidR="002458EE" w:rsidRPr="00DD0C44" w:rsidRDefault="002458EE" w:rsidP="00CC5CEC">
                  <w:pPr>
                    <w:pStyle w:val="NoSpacing"/>
                    <w:jc w:val="center"/>
                    <w:rPr>
                      <w:rFonts w:ascii="Calibri" w:hAnsi="Calibri"/>
                    </w:rPr>
                  </w:pPr>
                  <w:r w:rsidRPr="00DD0C44">
                    <w:rPr>
                      <w:rFonts w:ascii="Calibri" w:hAnsi="Calibri"/>
                    </w:rPr>
                    <w:t>3.28</w:t>
                  </w:r>
                </w:p>
              </w:tc>
              <w:tc>
                <w:tcPr>
                  <w:tcW w:w="800" w:type="dxa"/>
                  <w:shd w:val="clear" w:color="auto" w:fill="auto"/>
                  <w:noWrap/>
                  <w:vAlign w:val="bottom"/>
                  <w:hideMark/>
                </w:tcPr>
                <w:p w14:paraId="6CF64645" w14:textId="77777777" w:rsidR="002458EE" w:rsidRPr="00DD0C44" w:rsidRDefault="002458EE" w:rsidP="00CC5CEC">
                  <w:pPr>
                    <w:pStyle w:val="NoSpacing"/>
                    <w:jc w:val="center"/>
                    <w:rPr>
                      <w:rFonts w:ascii="Calibri" w:hAnsi="Calibri"/>
                    </w:rPr>
                  </w:pPr>
                  <w:r w:rsidRPr="00DD0C44">
                    <w:rPr>
                      <w:rFonts w:ascii="Calibri" w:hAnsi="Calibri"/>
                    </w:rPr>
                    <w:t>5.81</w:t>
                  </w:r>
                </w:p>
              </w:tc>
              <w:tc>
                <w:tcPr>
                  <w:tcW w:w="710" w:type="dxa"/>
                  <w:shd w:val="clear" w:color="auto" w:fill="auto"/>
                  <w:noWrap/>
                  <w:vAlign w:val="bottom"/>
                  <w:hideMark/>
                </w:tcPr>
                <w:p w14:paraId="3EF2C352" w14:textId="77777777" w:rsidR="002458EE" w:rsidRPr="00DD0C44" w:rsidRDefault="002458EE" w:rsidP="00CC5CEC">
                  <w:pPr>
                    <w:pStyle w:val="NoSpacing"/>
                    <w:jc w:val="center"/>
                    <w:rPr>
                      <w:rFonts w:ascii="Calibri" w:hAnsi="Calibri"/>
                    </w:rPr>
                  </w:pPr>
                  <w:r w:rsidRPr="00DD0C44">
                    <w:rPr>
                      <w:rFonts w:ascii="Calibri" w:hAnsi="Calibri"/>
                    </w:rPr>
                    <w:t>0</w:t>
                  </w:r>
                </w:p>
              </w:tc>
            </w:tr>
            <w:tr w:rsidR="00722CA9" w:rsidRPr="00DD0C44" w14:paraId="0FAAA949" w14:textId="77777777" w:rsidTr="00CC5CEC">
              <w:trPr>
                <w:trHeight w:val="274"/>
              </w:trPr>
              <w:tc>
                <w:tcPr>
                  <w:tcW w:w="1083" w:type="dxa"/>
                  <w:shd w:val="clear" w:color="auto" w:fill="auto"/>
                  <w:noWrap/>
                  <w:vAlign w:val="bottom"/>
                  <w:hideMark/>
                </w:tcPr>
                <w:p w14:paraId="526C7FC3" w14:textId="77777777" w:rsidR="002458EE" w:rsidRPr="00DD0C44" w:rsidRDefault="002458EE" w:rsidP="00CC5CEC">
                  <w:pPr>
                    <w:pStyle w:val="NoSpacing"/>
                    <w:jc w:val="center"/>
                    <w:rPr>
                      <w:rFonts w:ascii="Calibri" w:hAnsi="Calibri"/>
                    </w:rPr>
                  </w:pPr>
                  <w:r w:rsidRPr="00DD0C44">
                    <w:rPr>
                      <w:rFonts w:ascii="Calibri" w:hAnsi="Calibri"/>
                    </w:rPr>
                    <w:t>5+</w:t>
                  </w:r>
                </w:p>
              </w:tc>
              <w:tc>
                <w:tcPr>
                  <w:tcW w:w="798" w:type="dxa"/>
                  <w:shd w:val="clear" w:color="auto" w:fill="auto"/>
                  <w:noWrap/>
                  <w:vAlign w:val="bottom"/>
                  <w:hideMark/>
                </w:tcPr>
                <w:p w14:paraId="276E4292" w14:textId="77777777" w:rsidR="002458EE" w:rsidRPr="00DD0C44" w:rsidRDefault="002458EE" w:rsidP="00CC5CEC">
                  <w:pPr>
                    <w:pStyle w:val="NoSpacing"/>
                    <w:jc w:val="center"/>
                    <w:rPr>
                      <w:rFonts w:ascii="Calibri" w:hAnsi="Calibri"/>
                    </w:rPr>
                  </w:pPr>
                  <w:r w:rsidRPr="00DD0C44">
                    <w:rPr>
                      <w:rFonts w:ascii="Calibri" w:hAnsi="Calibri"/>
                    </w:rPr>
                    <w:t>3.95</w:t>
                  </w:r>
                </w:p>
              </w:tc>
              <w:tc>
                <w:tcPr>
                  <w:tcW w:w="823" w:type="dxa"/>
                  <w:shd w:val="clear" w:color="auto" w:fill="auto"/>
                  <w:noWrap/>
                  <w:vAlign w:val="bottom"/>
                  <w:hideMark/>
                </w:tcPr>
                <w:p w14:paraId="4BFCA6A4" w14:textId="77777777" w:rsidR="002458EE" w:rsidRPr="00DD0C44" w:rsidRDefault="002458EE" w:rsidP="00CC5CEC">
                  <w:pPr>
                    <w:pStyle w:val="NoSpacing"/>
                    <w:jc w:val="center"/>
                    <w:rPr>
                      <w:rFonts w:ascii="Calibri" w:hAnsi="Calibri"/>
                    </w:rPr>
                  </w:pPr>
                  <w:r w:rsidRPr="00DD0C44">
                    <w:rPr>
                      <w:rFonts w:ascii="Calibri" w:hAnsi="Calibri"/>
                    </w:rPr>
                    <w:t>15.75</w:t>
                  </w:r>
                </w:p>
              </w:tc>
              <w:tc>
                <w:tcPr>
                  <w:tcW w:w="806" w:type="dxa"/>
                  <w:shd w:val="clear" w:color="auto" w:fill="auto"/>
                  <w:noWrap/>
                  <w:vAlign w:val="bottom"/>
                  <w:hideMark/>
                </w:tcPr>
                <w:p w14:paraId="3691C5FC" w14:textId="77777777" w:rsidR="002458EE" w:rsidRPr="00DD0C44" w:rsidRDefault="002458EE" w:rsidP="00CC5CEC">
                  <w:pPr>
                    <w:pStyle w:val="NoSpacing"/>
                    <w:jc w:val="center"/>
                    <w:rPr>
                      <w:rFonts w:ascii="Calibri" w:hAnsi="Calibri"/>
                    </w:rPr>
                  </w:pPr>
                  <w:r w:rsidRPr="00DD0C44">
                    <w:rPr>
                      <w:rFonts w:ascii="Calibri" w:hAnsi="Calibri"/>
                    </w:rPr>
                    <w:t>6.56</w:t>
                  </w:r>
                </w:p>
              </w:tc>
              <w:tc>
                <w:tcPr>
                  <w:tcW w:w="800" w:type="dxa"/>
                  <w:shd w:val="clear" w:color="auto" w:fill="auto"/>
                  <w:noWrap/>
                  <w:vAlign w:val="bottom"/>
                  <w:hideMark/>
                </w:tcPr>
                <w:p w14:paraId="11651750" w14:textId="77777777" w:rsidR="002458EE" w:rsidRPr="00DD0C44" w:rsidRDefault="002458EE" w:rsidP="00CC5CEC">
                  <w:pPr>
                    <w:pStyle w:val="NoSpacing"/>
                    <w:jc w:val="center"/>
                    <w:rPr>
                      <w:rFonts w:ascii="Calibri" w:hAnsi="Calibri"/>
                    </w:rPr>
                  </w:pPr>
                  <w:r w:rsidRPr="00DD0C44">
                    <w:rPr>
                      <w:rFonts w:ascii="Calibri" w:hAnsi="Calibri"/>
                    </w:rPr>
                    <w:t>4.65</w:t>
                  </w:r>
                </w:p>
              </w:tc>
              <w:tc>
                <w:tcPr>
                  <w:tcW w:w="710" w:type="dxa"/>
                  <w:shd w:val="clear" w:color="auto" w:fill="auto"/>
                  <w:noWrap/>
                  <w:vAlign w:val="bottom"/>
                  <w:hideMark/>
                </w:tcPr>
                <w:p w14:paraId="6E3C0577" w14:textId="77777777" w:rsidR="002458EE" w:rsidRPr="00DD0C44" w:rsidRDefault="002458EE" w:rsidP="00CC5CEC">
                  <w:pPr>
                    <w:pStyle w:val="NoSpacing"/>
                    <w:jc w:val="center"/>
                    <w:rPr>
                      <w:rFonts w:ascii="Calibri" w:hAnsi="Calibri"/>
                    </w:rPr>
                  </w:pPr>
                  <w:r w:rsidRPr="00DD0C44">
                    <w:rPr>
                      <w:rFonts w:ascii="Calibri" w:hAnsi="Calibri"/>
                    </w:rPr>
                    <w:t>6.25</w:t>
                  </w:r>
                </w:p>
              </w:tc>
            </w:tr>
          </w:tbl>
          <w:p w14:paraId="212CFD29"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p w14:paraId="43A0855D"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720" w:type="dxa"/>
            <w:tcBorders>
              <w:top w:val="none" w:sz="0" w:space="0" w:color="auto"/>
              <w:bottom w:val="none" w:sz="0" w:space="0" w:color="auto"/>
              <w:right w:val="none" w:sz="0" w:space="0" w:color="auto"/>
            </w:tcBorders>
          </w:tcPr>
          <w:p w14:paraId="0029208C" w14:textId="751C1096" w:rsidR="002458EE" w:rsidRPr="00DD0C44" w:rsidRDefault="00722CA9"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fldChar w:fldCharType="begin" w:fldLock="1"/>
            </w:r>
            <w:r w:rsidR="0065397E" w:rsidRPr="00DD0C44">
              <w:rPr>
                <w:rFonts w:ascii="Calibri" w:hAnsi="Calibri"/>
              </w:rPr>
              <w:instrText>ADDIN CSL_CITATION { "citationItems" : [ { "id" : "ITEM-1", "itemData" : { "URL" : "http://www.jhsph.edu/faculty/research/map/US/1413/8192", "author" : [ { "dropping-particle" : "", "family" : "German", "given" : "Danielle", "non-dropping-particle" : "", "parse-names" : false, "suffix" : "" } ], "id" : "ITEM-1", "issued" : { "date-parts" : [ [ "0" ] ] }, "title" : "BESURE Study: National HIV Behavioral Surveillance Study in Baltimore", "type" : "webpage" }, "uris" : [ "http://www.mendeley.com/documents/?uuid=31d3abe5-461b-4976-a1a7-514ece9dde6a" ] } ], "mendeley" : { "formattedCitation" : "[9]", "plainTextFormattedCitation" : "[9]", "previouslyFormattedCitation" : "[9]"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[9]</w:t>
            </w:r>
            <w:r w:rsidRPr="00DD0C44">
              <w:rPr>
                <w:rFonts w:ascii="Calibri" w:hAnsi="Calibri"/>
              </w:rPr>
              <w:fldChar w:fldCharType="end"/>
            </w:r>
          </w:p>
        </w:tc>
      </w:tr>
      <w:tr w:rsidR="00722CA9" w:rsidRPr="00DD0C44" w14:paraId="78152BBE" w14:textId="77777777" w:rsidTr="00CC5CEC">
        <w:trPr>
          <w:trHeight w:val="612"/>
        </w:trPr>
        <w:tc>
          <w:tcPr>
            <w:cnfStyle w:val="001000000000" w:firstRow="0" w:lastRow="0" w:firstColumn="1" w:lastColumn="0" w:oddVBand="0" w:evenVBand="0" w:oddHBand="0" w:evenHBand="0" w:firstRowFirstColumn="0" w:firstRowLastColumn="0" w:lastRowFirstColumn="0" w:lastRowLastColumn="0"/>
            <w:tcW w:w="3078" w:type="dxa"/>
          </w:tcPr>
          <w:p w14:paraId="53DD41DD" w14:textId="50577E32" w:rsidR="002458EE" w:rsidRPr="00DD0C44" w:rsidRDefault="002458EE" w:rsidP="00F411A5">
            <w:pPr>
              <w:pStyle w:val="NoSpacing"/>
              <w:rPr>
                <w:rFonts w:ascii="Calibri" w:hAnsi="Calibri"/>
              </w:rPr>
            </w:pPr>
            <w:r w:rsidRPr="00DD0C44">
              <w:rPr>
                <w:rFonts w:ascii="Calibri" w:hAnsi="Calibri"/>
              </w:rPr>
              <w:t xml:space="preserve">Distribution of reported partnership types in the last </w:t>
            </w:r>
            <w:r w:rsidR="00722CA9" w:rsidRPr="00DD0C44">
              <w:rPr>
                <w:rFonts w:ascii="Calibri" w:hAnsi="Calibri"/>
              </w:rPr>
              <w:t>12 months</w:t>
            </w:r>
          </w:p>
        </w:tc>
        <w:tc>
          <w:tcPr>
            <w:tcW w:w="5670" w:type="dxa"/>
          </w:tcPr>
          <w:p w14:paraId="21184E83" w14:textId="2BA25CF6" w:rsidR="00722CA9" w:rsidRPr="00DD0C44" w:rsidRDefault="002458EE" w:rsidP="00722CA9">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23</w:t>
            </w:r>
            <w:r w:rsidR="00722CA9" w:rsidRPr="00DD0C44">
              <w:rPr>
                <w:rFonts w:ascii="Calibri" w:hAnsi="Calibri"/>
              </w:rPr>
              <w:t>%:  stable-only</w:t>
            </w:r>
          </w:p>
          <w:p w14:paraId="676CDF6A" w14:textId="0ED50C95" w:rsidR="00722CA9" w:rsidRPr="00DD0C44" w:rsidRDefault="00722CA9" w:rsidP="00722CA9">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35%: casual-only</w:t>
            </w:r>
          </w:p>
          <w:p w14:paraId="751B5646" w14:textId="77777777" w:rsidR="00722CA9" w:rsidRPr="00DD0C44" w:rsidRDefault="00722CA9" w:rsidP="00722CA9">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41%: stable &amp; casual</w:t>
            </w:r>
          </w:p>
          <w:p w14:paraId="6A348F21" w14:textId="6B354169" w:rsidR="00CC5CEC" w:rsidRPr="00DD0C44" w:rsidRDefault="00CC5CEC" w:rsidP="00722CA9">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720" w:type="dxa"/>
          </w:tcPr>
          <w:p w14:paraId="7D63C8A4" w14:textId="4956EE1F" w:rsidR="002458EE" w:rsidRPr="00DD0C44" w:rsidRDefault="00722CA9"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 xml:space="preserve"> </w:t>
            </w:r>
          </w:p>
        </w:tc>
      </w:tr>
      <w:tr w:rsidR="00722CA9" w:rsidRPr="00DD0C44" w14:paraId="38D6461C"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5F3C1514" w14:textId="77777777" w:rsidR="002458EE" w:rsidRPr="00DD0C44" w:rsidRDefault="002458EE" w:rsidP="00F411A5">
            <w:pPr>
              <w:pStyle w:val="NoSpacing"/>
              <w:rPr>
                <w:rFonts w:ascii="Calibri" w:hAnsi="Calibri"/>
              </w:rPr>
            </w:pPr>
            <w:r w:rsidRPr="00DD0C44">
              <w:rPr>
                <w:rFonts w:ascii="Calibri" w:hAnsi="Calibri"/>
              </w:rPr>
              <w:t>Assortative race-mixing proportions in each race</w:t>
            </w:r>
          </w:p>
        </w:tc>
        <w:tc>
          <w:tcPr>
            <w:tcW w:w="5670" w:type="dxa"/>
            <w:tcBorders>
              <w:top w:val="none" w:sz="0" w:space="0" w:color="auto"/>
              <w:bottom w:val="none" w:sz="0" w:space="0" w:color="auto"/>
            </w:tcBorders>
          </w:tcPr>
          <w:p w14:paraId="4080B666" w14:textId="5B869050" w:rsidR="00722CA9"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t>80%</w:t>
            </w:r>
            <w:r w:rsidR="00722CA9" w:rsidRPr="00DD0C44">
              <w:rPr>
                <w:rFonts w:ascii="Calibri" w:hAnsi="Calibri"/>
              </w:rPr>
              <w:t>: black-black</w:t>
            </w:r>
          </w:p>
          <w:p w14:paraId="1F018040" w14:textId="7A373A86" w:rsidR="002458EE" w:rsidRPr="00DD0C44" w:rsidRDefault="00722CA9" w:rsidP="00722CA9">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t>92%: white-white</w:t>
            </w:r>
          </w:p>
        </w:tc>
        <w:tc>
          <w:tcPr>
            <w:tcW w:w="720" w:type="dxa"/>
            <w:tcBorders>
              <w:top w:val="none" w:sz="0" w:space="0" w:color="auto"/>
              <w:bottom w:val="none" w:sz="0" w:space="0" w:color="auto"/>
              <w:right w:val="none" w:sz="0" w:space="0" w:color="auto"/>
            </w:tcBorders>
          </w:tcPr>
          <w:p w14:paraId="17A1E4E1" w14:textId="644B209B"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fldChar w:fldCharType="begin" w:fldLock="1"/>
            </w:r>
            <w:r w:rsidR="007176C4" w:rsidRPr="00DD0C44">
              <w:rPr>
                <w:rFonts w:ascii="Calibri" w:hAnsi="Calibri"/>
              </w:rPr>
              <w:instrText>ADDIN CSL_CITATION { "citationItems" : [ { "id" : "ITEM-1", "itemData" : { "author" : [ { "dropping-particle" : "", "family" : "Maulsby", "given" : "Cathy", "non-dropping-particle" : "", "parse-names" : false, "suffix" : "" }, { "dropping-particle" : "", "family" : "Jain", "given" : "Kriti", "non-dropping-particle" : "", "parse-names" : false, "suffix" : "" }, { "dropping-particle" : "", "family" : "Sifakis", "given" : "Frangiscos", "non-dropping-particle" : "", "parse-names" : false, "suffix" : "" }, { "dropping-particle" : "", "family" : "German", "given" : "Danielle", "non-dropping-particle" : "", "parse-names" : false, "suffix" : "" }, { "dropping-particle" : "", "family" : "Flynn", "given" : "Colin P.", "non-dropping-particle" : "", "parse-names" : false, "suffix" : "" }, { "dropping-particle" : "", "family" : "Holtgrave", "given" : "David", "non-dropping-particle" : "", "parse-names" : false, "suffix" : "" } ], "container-title" : "AIDS and Behavior", "id" : "ITEM-1", "issued" : { "date-parts" : [ [ "2014" ] ] }, "page" : "1-9", "title" : "Individual-Level and Partner-Level Predictors of Newly Diagnosed HIV Infection Among Black and White Men Who Have Sex with Men in Baltimore, MD.", "type" : "article-journal" }, "uris" : [ "http://www.mendeley.com/documents/?uuid=6b60b970-6420-4be8-9901-924fa73deb7d" ] } ], "mendeley" : { "formattedCitation" : "[20]", "plainTextFormattedCitation" : "[20]", "previouslyFormattedCitation" : "[19]" }, "properties" : { "noteIndex" : 0 }, "schema" : "https://github.com/citation-style-language/schema/raw/master/csl-citation.json" }</w:instrText>
            </w:r>
            <w:r w:rsidRPr="00DD0C44">
              <w:rPr>
                <w:rFonts w:ascii="Calibri" w:hAnsi="Calibri"/>
              </w:rPr>
              <w:fldChar w:fldCharType="separate"/>
            </w:r>
            <w:r w:rsidR="007176C4" w:rsidRPr="00DD0C44">
              <w:rPr>
                <w:rFonts w:ascii="Calibri" w:hAnsi="Calibri"/>
                <w:noProof/>
              </w:rPr>
              <w:t>[20]</w:t>
            </w:r>
            <w:r w:rsidRPr="00DD0C44">
              <w:rPr>
                <w:rFonts w:ascii="Calibri" w:hAnsi="Calibri"/>
              </w:rPr>
              <w:fldChar w:fldCharType="end"/>
            </w:r>
          </w:p>
        </w:tc>
      </w:tr>
      <w:tr w:rsidR="00722CA9" w:rsidRPr="00DD0C44" w14:paraId="46DA718D" w14:textId="77777777" w:rsidTr="00CC5CEC">
        <w:trPr>
          <w:trHeight w:val="513"/>
        </w:trPr>
        <w:tc>
          <w:tcPr>
            <w:cnfStyle w:val="001000000000" w:firstRow="0" w:lastRow="0" w:firstColumn="1" w:lastColumn="0" w:oddVBand="0" w:evenVBand="0" w:oddHBand="0" w:evenHBand="0" w:firstRowFirstColumn="0" w:firstRowLastColumn="0" w:lastRowFirstColumn="0" w:lastRowLastColumn="0"/>
            <w:tcW w:w="3078" w:type="dxa"/>
            <w:vAlign w:val="bottom"/>
          </w:tcPr>
          <w:p w14:paraId="0F4C66C2" w14:textId="24E24E88" w:rsidR="002458EE" w:rsidRPr="00DD0C44" w:rsidRDefault="002458EE" w:rsidP="00F411A5">
            <w:pPr>
              <w:pStyle w:val="NoSpacing"/>
              <w:jc w:val="left"/>
              <w:rPr>
                <w:rFonts w:ascii="Calibri" w:hAnsi="Calibri"/>
              </w:rPr>
            </w:pPr>
            <w:r w:rsidRPr="00DD0C44">
              <w:rPr>
                <w:rFonts w:ascii="Calibri" w:hAnsi="Calibri"/>
              </w:rPr>
              <w:t>HIV MEASURES</w:t>
            </w:r>
            <w:r w:rsidRPr="00DD0C44">
              <w:rPr>
                <w:rStyle w:val="FootnoteReference"/>
              </w:rPr>
              <w:footnoteReference w:id="1"/>
            </w:r>
          </w:p>
        </w:tc>
        <w:tc>
          <w:tcPr>
            <w:tcW w:w="5670" w:type="dxa"/>
          </w:tcPr>
          <w:p w14:paraId="010ED801" w14:textId="77777777"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720" w:type="dxa"/>
          </w:tcPr>
          <w:p w14:paraId="31814254" w14:textId="77777777"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722CA9" w:rsidRPr="00DD0C44" w14:paraId="60A11C6A"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4542F5D1" w14:textId="77777777" w:rsidR="002458EE" w:rsidRPr="00DD0C44" w:rsidRDefault="002458EE" w:rsidP="00F411A5">
            <w:pPr>
              <w:pStyle w:val="NoSpacing"/>
              <w:rPr>
                <w:rFonts w:ascii="Calibri" w:hAnsi="Calibri"/>
              </w:rPr>
            </w:pPr>
            <w:r w:rsidRPr="00DD0C44">
              <w:rPr>
                <w:rFonts w:ascii="Calibri" w:hAnsi="Calibri"/>
              </w:rPr>
              <w:t>Prevalence</w:t>
            </w:r>
          </w:p>
        </w:tc>
        <w:tc>
          <w:tcPr>
            <w:tcW w:w="5670" w:type="dxa"/>
            <w:tcBorders>
              <w:top w:val="none" w:sz="0" w:space="0" w:color="auto"/>
              <w:bottom w:val="none" w:sz="0" w:space="0" w:color="auto"/>
            </w:tcBorders>
          </w:tcPr>
          <w:p w14:paraId="34C9A275"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t>3329</w:t>
            </w:r>
            <w:r w:rsidR="00CC5CEC" w:rsidRPr="00DD0C44">
              <w:rPr>
                <w:rFonts w:ascii="Calibri" w:hAnsi="Calibri"/>
              </w:rPr>
              <w:t xml:space="preserve"> infected cases with HIV</w:t>
            </w:r>
          </w:p>
          <w:p w14:paraId="245E8920" w14:textId="07F3202A" w:rsidR="00CC5CEC" w:rsidRPr="00DD0C44" w:rsidRDefault="00CC5CEC"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720" w:type="dxa"/>
            <w:tcBorders>
              <w:top w:val="none" w:sz="0" w:space="0" w:color="auto"/>
              <w:bottom w:val="none" w:sz="0" w:space="0" w:color="auto"/>
              <w:right w:val="none" w:sz="0" w:space="0" w:color="auto"/>
            </w:tcBorders>
          </w:tcPr>
          <w:p w14:paraId="1EA95150" w14:textId="13AE0413" w:rsidR="002458EE" w:rsidRPr="00DD0C44" w:rsidRDefault="002458EE" w:rsidP="00CC5CEC">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fldChar w:fldCharType="begin" w:fldLock="1"/>
            </w:r>
            <w:r w:rsidR="00A25AEE" w:rsidRPr="00DD0C44">
              <w:rPr>
                <w:rFonts w:ascii="Calibri" w:hAnsi="Calibri"/>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[2]</w:t>
            </w:r>
            <w:r w:rsidRPr="00DD0C44">
              <w:rPr>
                <w:rFonts w:ascii="Calibri" w:hAnsi="Calibri"/>
              </w:rPr>
              <w:fldChar w:fldCharType="end"/>
            </w:r>
          </w:p>
        </w:tc>
      </w:tr>
      <w:tr w:rsidR="00722CA9" w:rsidRPr="00DD0C44" w14:paraId="5B46F8E8" w14:textId="77777777" w:rsidTr="00CC5CEC">
        <w:tc>
          <w:tcPr>
            <w:cnfStyle w:val="001000000000" w:firstRow="0" w:lastRow="0" w:firstColumn="1" w:lastColumn="0" w:oddVBand="0" w:evenVBand="0" w:oddHBand="0" w:evenHBand="0" w:firstRowFirstColumn="0" w:firstRowLastColumn="0" w:lastRowFirstColumn="0" w:lastRowLastColumn="0"/>
            <w:tcW w:w="3078" w:type="dxa"/>
          </w:tcPr>
          <w:p w14:paraId="04069A0A" w14:textId="7FACDD6F" w:rsidR="002458EE" w:rsidRPr="00DD0C44" w:rsidRDefault="002458EE" w:rsidP="00CC5CEC">
            <w:pPr>
              <w:pStyle w:val="NoSpacing"/>
              <w:rPr>
                <w:rFonts w:ascii="Calibri" w:hAnsi="Calibri"/>
              </w:rPr>
            </w:pPr>
            <w:r w:rsidRPr="00DD0C44">
              <w:rPr>
                <w:rFonts w:ascii="Calibri" w:hAnsi="Calibri"/>
              </w:rPr>
              <w:t xml:space="preserve">Proportion of HIV infected </w:t>
            </w:r>
            <w:r w:rsidR="00CC5CEC" w:rsidRPr="00DD0C44">
              <w:rPr>
                <w:rFonts w:ascii="Calibri" w:hAnsi="Calibri"/>
              </w:rPr>
              <w:t xml:space="preserve">population </w:t>
            </w:r>
            <w:r w:rsidRPr="00DD0C44">
              <w:rPr>
                <w:rFonts w:ascii="Calibri" w:hAnsi="Calibri"/>
              </w:rPr>
              <w:t xml:space="preserve">diagnosed </w:t>
            </w:r>
          </w:p>
        </w:tc>
        <w:tc>
          <w:tcPr>
            <w:tcW w:w="5670" w:type="dxa"/>
          </w:tcPr>
          <w:p w14:paraId="0C50324D" w14:textId="77777777"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51%</w:t>
            </w:r>
          </w:p>
        </w:tc>
        <w:tc>
          <w:tcPr>
            <w:tcW w:w="720" w:type="dxa"/>
          </w:tcPr>
          <w:p w14:paraId="7BA65E14" w14:textId="27F162C6"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fldChar w:fldCharType="begin" w:fldLock="1"/>
            </w:r>
            <w:r w:rsidR="00A25AEE" w:rsidRPr="00DD0C44">
              <w:rPr>
                <w:rFonts w:ascii="Calibri" w:hAnsi="Calibri"/>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[2]</w:t>
            </w:r>
            <w:r w:rsidRPr="00DD0C44">
              <w:rPr>
                <w:rFonts w:ascii="Calibri" w:hAnsi="Calibri"/>
              </w:rPr>
              <w:fldChar w:fldCharType="end"/>
            </w:r>
          </w:p>
          <w:p w14:paraId="3874289E" w14:textId="15DEFB83"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722CA9" w:rsidRPr="00DD0C44" w14:paraId="1EC1FA5C"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4CC7CF5F" w14:textId="4F4DCE91" w:rsidR="002458EE" w:rsidRPr="00DD0C44" w:rsidRDefault="002458EE" w:rsidP="00CC5CEC">
            <w:pPr>
              <w:pStyle w:val="NoSpacing"/>
              <w:rPr>
                <w:rFonts w:ascii="Calibri" w:hAnsi="Calibri"/>
              </w:rPr>
            </w:pPr>
            <w:r w:rsidRPr="00DD0C44">
              <w:rPr>
                <w:rFonts w:ascii="Calibri" w:hAnsi="Calibri"/>
              </w:rPr>
              <w:t xml:space="preserve">Proportion of HIV infected </w:t>
            </w:r>
            <w:r w:rsidR="00CC5CEC" w:rsidRPr="00DD0C44">
              <w:rPr>
                <w:rFonts w:ascii="Calibri" w:hAnsi="Calibri"/>
              </w:rPr>
              <w:t xml:space="preserve">population </w:t>
            </w:r>
            <w:r w:rsidRPr="00DD0C44">
              <w:rPr>
                <w:rFonts w:ascii="Calibri" w:hAnsi="Calibri"/>
              </w:rPr>
              <w:t xml:space="preserve">virally suppressed </w:t>
            </w:r>
          </w:p>
        </w:tc>
        <w:tc>
          <w:tcPr>
            <w:tcW w:w="5670" w:type="dxa"/>
            <w:tcBorders>
              <w:top w:val="none" w:sz="0" w:space="0" w:color="auto"/>
              <w:bottom w:val="none" w:sz="0" w:space="0" w:color="auto"/>
            </w:tcBorders>
          </w:tcPr>
          <w:p w14:paraId="286B495A"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t>34%</w:t>
            </w:r>
          </w:p>
        </w:tc>
        <w:tc>
          <w:tcPr>
            <w:tcW w:w="720" w:type="dxa"/>
            <w:tcBorders>
              <w:top w:val="none" w:sz="0" w:space="0" w:color="auto"/>
              <w:bottom w:val="none" w:sz="0" w:space="0" w:color="auto"/>
              <w:right w:val="none" w:sz="0" w:space="0" w:color="auto"/>
            </w:tcBorders>
          </w:tcPr>
          <w:p w14:paraId="435E968A" w14:textId="26638351" w:rsidR="002458EE" w:rsidRPr="00DD0C44" w:rsidRDefault="002458EE" w:rsidP="00CC5CEC">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fldChar w:fldCharType="begin" w:fldLock="1"/>
            </w:r>
            <w:r w:rsidR="00A25AEE" w:rsidRPr="00DD0C44">
              <w:rPr>
                <w:rFonts w:ascii="Calibri" w:hAnsi="Calibri"/>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[2]</w:t>
            </w:r>
            <w:r w:rsidRPr="00DD0C44">
              <w:rPr>
                <w:rFonts w:ascii="Calibri" w:hAnsi="Calibri"/>
              </w:rPr>
              <w:fldChar w:fldCharType="end"/>
            </w:r>
          </w:p>
        </w:tc>
      </w:tr>
      <w:tr w:rsidR="00722CA9" w:rsidRPr="00DD0C44" w14:paraId="45B1D607" w14:textId="77777777" w:rsidTr="00CC5CEC">
        <w:tc>
          <w:tcPr>
            <w:cnfStyle w:val="001000000000" w:firstRow="0" w:lastRow="0" w:firstColumn="1" w:lastColumn="0" w:oddVBand="0" w:evenVBand="0" w:oddHBand="0" w:evenHBand="0" w:firstRowFirstColumn="0" w:firstRowLastColumn="0" w:lastRowFirstColumn="0" w:lastRowLastColumn="0"/>
            <w:tcW w:w="3078" w:type="dxa"/>
          </w:tcPr>
          <w:p w14:paraId="12AE672D" w14:textId="46A7531C" w:rsidR="002458EE" w:rsidRPr="00DD0C44" w:rsidRDefault="00CC5CEC" w:rsidP="00CC5CEC">
            <w:pPr>
              <w:pStyle w:val="NoSpacing"/>
              <w:rPr>
                <w:rFonts w:ascii="Calibri" w:hAnsi="Calibri"/>
              </w:rPr>
            </w:pPr>
            <w:r w:rsidRPr="00DD0C44">
              <w:rPr>
                <w:rFonts w:ascii="Calibri" w:hAnsi="Calibri"/>
              </w:rPr>
              <w:t xml:space="preserve">Proportion </w:t>
            </w:r>
            <w:r w:rsidR="002458EE" w:rsidRPr="00DD0C44">
              <w:rPr>
                <w:rFonts w:ascii="Calibri" w:hAnsi="Calibri"/>
              </w:rPr>
              <w:t xml:space="preserve">of </w:t>
            </w:r>
            <w:r w:rsidRPr="00DD0C44">
              <w:rPr>
                <w:rFonts w:ascii="Calibri" w:hAnsi="Calibri"/>
              </w:rPr>
              <w:t xml:space="preserve">HIV </w:t>
            </w:r>
            <w:r w:rsidR="002458EE" w:rsidRPr="00DD0C44">
              <w:rPr>
                <w:rFonts w:ascii="Calibri" w:hAnsi="Calibri"/>
              </w:rPr>
              <w:t>infected population currently with AIDS (CD4&lt;200)</w:t>
            </w:r>
          </w:p>
        </w:tc>
        <w:tc>
          <w:tcPr>
            <w:tcW w:w="5670" w:type="dxa"/>
          </w:tcPr>
          <w:p w14:paraId="47B8F553" w14:textId="77777777"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12%</w:t>
            </w:r>
          </w:p>
        </w:tc>
        <w:tc>
          <w:tcPr>
            <w:tcW w:w="720" w:type="dxa"/>
          </w:tcPr>
          <w:p w14:paraId="5D5FF7CA" w14:textId="52B19324" w:rsidR="002458EE" w:rsidRPr="00DD0C44" w:rsidRDefault="002458EE" w:rsidP="00CC5CEC">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fldChar w:fldCharType="begin" w:fldLock="1"/>
            </w:r>
            <w:r w:rsidR="00A25AEE" w:rsidRPr="00DD0C44">
              <w:rPr>
                <w:rFonts w:ascii="Calibri" w:hAnsi="Calibri"/>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[2]</w:t>
            </w:r>
            <w:r w:rsidRPr="00DD0C44">
              <w:rPr>
                <w:rFonts w:ascii="Calibri" w:hAnsi="Calibri"/>
              </w:rPr>
              <w:fldChar w:fldCharType="end"/>
            </w:r>
            <w:r w:rsidRPr="00DD0C44">
              <w:rPr>
                <w:rFonts w:ascii="Calibri" w:hAnsi="Calibri"/>
              </w:rPr>
              <w:t xml:space="preserve"> </w:t>
            </w:r>
          </w:p>
        </w:tc>
      </w:tr>
      <w:tr w:rsidR="00722CA9" w:rsidRPr="00DD0C44" w14:paraId="16D3AB0A" w14:textId="77777777" w:rsidTr="00CC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tcBorders>
          </w:tcPr>
          <w:p w14:paraId="74A43516" w14:textId="18E80D6B" w:rsidR="002458EE" w:rsidRPr="00DD0C44" w:rsidRDefault="002458EE" w:rsidP="00CC5CEC">
            <w:pPr>
              <w:pStyle w:val="NoSpacing"/>
              <w:rPr>
                <w:rFonts w:ascii="Calibri" w:hAnsi="Calibri"/>
              </w:rPr>
            </w:pPr>
            <w:r w:rsidRPr="00DD0C44">
              <w:rPr>
                <w:rFonts w:ascii="Calibri" w:hAnsi="Calibri"/>
              </w:rPr>
              <w:t>Proportion of living HIV case</w:t>
            </w:r>
            <w:r w:rsidR="00CC5CEC" w:rsidRPr="00DD0C44">
              <w:rPr>
                <w:rFonts w:ascii="Calibri" w:hAnsi="Calibri"/>
              </w:rPr>
              <w:t>s</w:t>
            </w:r>
            <w:r w:rsidRPr="00DD0C44">
              <w:rPr>
                <w:rFonts w:ascii="Calibri" w:hAnsi="Calibri"/>
              </w:rPr>
              <w:t xml:space="preserve"> who are </w:t>
            </w:r>
            <w:r w:rsidRPr="00DD0C44">
              <w:rPr>
                <w:rFonts w:ascii="Calibri" w:hAnsi="Calibri"/>
              </w:rPr>
              <w:lastRenderedPageBreak/>
              <w:t>black</w:t>
            </w:r>
          </w:p>
        </w:tc>
        <w:tc>
          <w:tcPr>
            <w:tcW w:w="5670" w:type="dxa"/>
            <w:tcBorders>
              <w:top w:val="none" w:sz="0" w:space="0" w:color="auto"/>
              <w:bottom w:val="none" w:sz="0" w:space="0" w:color="auto"/>
            </w:tcBorders>
          </w:tcPr>
          <w:p w14:paraId="5A957F08" w14:textId="77777777" w:rsidR="002458EE" w:rsidRPr="00DD0C44" w:rsidRDefault="002458EE" w:rsidP="00F411A5">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lastRenderedPageBreak/>
              <w:t xml:space="preserve">76%  </w:t>
            </w:r>
          </w:p>
        </w:tc>
        <w:tc>
          <w:tcPr>
            <w:tcW w:w="720" w:type="dxa"/>
            <w:tcBorders>
              <w:top w:val="none" w:sz="0" w:space="0" w:color="auto"/>
              <w:bottom w:val="none" w:sz="0" w:space="0" w:color="auto"/>
              <w:right w:val="none" w:sz="0" w:space="0" w:color="auto"/>
            </w:tcBorders>
          </w:tcPr>
          <w:p w14:paraId="46D5E58A" w14:textId="0166A852" w:rsidR="002458EE" w:rsidRPr="00DD0C44" w:rsidRDefault="002458EE" w:rsidP="00CC5CEC">
            <w:pPr>
              <w:pStyle w:val="NoSpacing"/>
              <w:cnfStyle w:val="000000100000" w:firstRow="0" w:lastRow="0" w:firstColumn="0" w:lastColumn="0" w:oddVBand="0" w:evenVBand="0" w:oddHBand="1" w:evenHBand="0" w:firstRowFirstColumn="0" w:firstRowLastColumn="0" w:lastRowFirstColumn="0" w:lastRowLastColumn="0"/>
              <w:rPr>
                <w:rFonts w:ascii="Calibri" w:hAnsi="Calibri"/>
              </w:rPr>
            </w:pPr>
            <w:r w:rsidRPr="00DD0C44">
              <w:rPr>
                <w:rFonts w:ascii="Calibri" w:hAnsi="Calibri"/>
              </w:rPr>
              <w:fldChar w:fldCharType="begin" w:fldLock="1"/>
            </w:r>
            <w:r w:rsidR="00A25AEE" w:rsidRPr="00DD0C44">
              <w:rPr>
                <w:rFonts w:ascii="Calibri" w:hAnsi="Calibri"/>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rPr>
                <w:rFonts w:ascii="Calibri" w:hAnsi="Calibri"/>
              </w:rPr>
              <w:fldChar w:fldCharType="separate"/>
            </w:r>
            <w:r w:rsidRPr="00DD0C44">
              <w:rPr>
                <w:rFonts w:ascii="Calibri" w:hAnsi="Calibri"/>
                <w:noProof/>
              </w:rPr>
              <w:t>[2]</w:t>
            </w:r>
            <w:r w:rsidRPr="00DD0C44">
              <w:rPr>
                <w:rFonts w:ascii="Calibri" w:hAnsi="Calibri"/>
              </w:rPr>
              <w:fldChar w:fldCharType="end"/>
            </w:r>
          </w:p>
        </w:tc>
      </w:tr>
      <w:tr w:rsidR="00722CA9" w:rsidRPr="00DD0C44" w14:paraId="155E065A" w14:textId="77777777" w:rsidTr="00CC5CEC">
        <w:tc>
          <w:tcPr>
            <w:cnfStyle w:val="001000000000" w:firstRow="0" w:lastRow="0" w:firstColumn="1" w:lastColumn="0" w:oddVBand="0" w:evenVBand="0" w:oddHBand="0" w:evenHBand="0" w:firstRowFirstColumn="0" w:firstRowLastColumn="0" w:lastRowFirstColumn="0" w:lastRowLastColumn="0"/>
            <w:tcW w:w="3078" w:type="dxa"/>
          </w:tcPr>
          <w:p w14:paraId="5155522F" w14:textId="77777777" w:rsidR="002458EE" w:rsidRPr="00DD0C44" w:rsidRDefault="002458EE" w:rsidP="00CC5CEC">
            <w:pPr>
              <w:pStyle w:val="NoSpacing"/>
              <w:rPr>
                <w:rFonts w:ascii="Calibri" w:hAnsi="Calibri"/>
              </w:rPr>
            </w:pPr>
            <w:r w:rsidRPr="00DD0C44">
              <w:rPr>
                <w:rFonts w:ascii="Calibri" w:hAnsi="Calibri"/>
              </w:rPr>
              <w:lastRenderedPageBreak/>
              <w:t xml:space="preserve">Differential cascade of care in black MSMs (relative to white MSMs) </w:t>
            </w:r>
          </w:p>
        </w:tc>
        <w:tc>
          <w:tcPr>
            <w:tcW w:w="5670" w:type="dxa"/>
          </w:tcPr>
          <w:p w14:paraId="029CD32E" w14:textId="5A16019A" w:rsidR="00CC5CEC" w:rsidRPr="00DD0C44" w:rsidRDefault="00CC5CEC" w:rsidP="00CC5CEC">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90%: Diagnosed</w:t>
            </w:r>
          </w:p>
          <w:p w14:paraId="3D4D31D0" w14:textId="4D4CD67A" w:rsidR="00CC5CEC" w:rsidRPr="00DD0C44" w:rsidRDefault="00CC5CEC" w:rsidP="00CC5CEC">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56%: On ART</w:t>
            </w:r>
          </w:p>
          <w:p w14:paraId="513EADB7" w14:textId="791007AD" w:rsidR="002458EE" w:rsidRPr="00DD0C44" w:rsidRDefault="002458EE" w:rsidP="00CC5CEC">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t>47</w:t>
            </w:r>
            <w:r w:rsidR="00CC5CEC" w:rsidRPr="00DD0C44">
              <w:rPr>
                <w:rFonts w:ascii="Calibri" w:hAnsi="Calibri"/>
              </w:rPr>
              <w:t>%: VL Suppressed</w:t>
            </w:r>
          </w:p>
        </w:tc>
        <w:tc>
          <w:tcPr>
            <w:tcW w:w="720" w:type="dxa"/>
          </w:tcPr>
          <w:p w14:paraId="6C9B1ABF" w14:textId="7E00BC79" w:rsidR="002458EE" w:rsidRPr="00DD0C44" w:rsidRDefault="002458EE" w:rsidP="00F411A5">
            <w:pPr>
              <w:pStyle w:val="NoSpacing"/>
              <w:cnfStyle w:val="000000000000" w:firstRow="0" w:lastRow="0" w:firstColumn="0" w:lastColumn="0" w:oddVBand="0" w:evenVBand="0" w:oddHBand="0" w:evenHBand="0" w:firstRowFirstColumn="0" w:firstRowLastColumn="0" w:lastRowFirstColumn="0" w:lastRowLastColumn="0"/>
              <w:rPr>
                <w:rFonts w:ascii="Calibri" w:hAnsi="Calibri"/>
              </w:rPr>
            </w:pPr>
            <w:r w:rsidRPr="00DD0C44">
              <w:rPr>
                <w:rFonts w:ascii="Calibri" w:hAnsi="Calibri"/>
              </w:rPr>
              <w:fldChar w:fldCharType="begin" w:fldLock="1"/>
            </w:r>
            <w:r w:rsidR="007176C4" w:rsidRPr="00DD0C44">
              <w:rPr>
                <w:rFonts w:ascii="Calibri" w:hAnsi="Calibri"/>
              </w:rPr>
              <w:instrText>ADDIN CSL_CITATION { "citationItems" : [ { "id" : "ITEM-1", "itemData" : { "author" : [ { "dropping-particle" : "", "family" : "Rosenberg", "given" : "Eli S.", "non-dropping-particle" : "", "parse-names" : false, "suffix" : "" }, { "dropping-particle" : "", "family" : "Millett", "given" : "Gregorio A.", "non-dropping-particle" : "", "parse-names" : false, "suffix" : "" }, { "dropping-particle" : "", "family" : "Sullivan", "given" : "Patrick S.", "non-dropping-particle" : "", "parse-names" : false, "suffix" : "" }, { "dropping-particle" : "del", "family" : "Rio", "given" : "Carlos", "non-dropping-particle" : "", "parse-names" : false, "suffix" : "" }, { "dropping-particle" : "", "family" : "Curran", "given" : "James W.", "non-dropping-particle" : "", "parse-names" : false, "suffix" : "" } ], "container-title" : "The Lancet HIV", "id" : "ITEM-1", "issue" : "3", "issued" : { "date-parts" : [ [ "2014" ] ] }, "page" : "e112-e118", "title" : "Understanding the HIV disparities between black and white men who have sex with men in the USA using the HIV care continuum: a modelling study.", "type" : "article-journal", "volume" : "1" }, "uris" : [ "http://www.mendeley.com/documents/?uuid=b4420e9a-6782-4962-82f0-f858322500d8" ] } ], "mendeley" : { "formattedCitation" : "[21]", "plainTextFormattedCitation" : "[21]", "previouslyFormattedCitation" : "[20]" }, "properties" : { "noteIndex" : 0 }, "schema" : "https://github.com/citation-style-language/schema/raw/master/csl-citation.json" }</w:instrText>
            </w:r>
            <w:r w:rsidRPr="00DD0C44">
              <w:rPr>
                <w:rFonts w:ascii="Calibri" w:hAnsi="Calibri"/>
              </w:rPr>
              <w:fldChar w:fldCharType="separate"/>
            </w:r>
            <w:r w:rsidR="007176C4" w:rsidRPr="00DD0C44">
              <w:rPr>
                <w:rFonts w:ascii="Calibri" w:hAnsi="Calibri"/>
                <w:noProof/>
              </w:rPr>
              <w:t>[21]</w:t>
            </w:r>
            <w:r w:rsidRPr="00DD0C44">
              <w:rPr>
                <w:rFonts w:ascii="Calibri" w:hAnsi="Calibri"/>
              </w:rPr>
              <w:fldChar w:fldCharType="end"/>
            </w:r>
          </w:p>
        </w:tc>
      </w:tr>
    </w:tbl>
    <w:p w14:paraId="236BD5F9" w14:textId="77777777" w:rsidR="00DF415A" w:rsidRPr="00DD0C44" w:rsidRDefault="00DF415A" w:rsidP="00DF415A">
      <w:pPr>
        <w:pStyle w:val="NormalIndent"/>
        <w:ind w:left="0"/>
      </w:pPr>
    </w:p>
    <w:p w14:paraId="7F44E84B" w14:textId="1B05971B" w:rsidR="00A9737C" w:rsidRPr="00DD0C44" w:rsidRDefault="00A9737C" w:rsidP="00B75E08">
      <w:pPr>
        <w:pStyle w:val="Heading2"/>
      </w:pPr>
      <w:r w:rsidRPr="00DD0C44">
        <w:t>Burn</w:t>
      </w:r>
      <w:r w:rsidR="00597053" w:rsidRPr="00DD0C44">
        <w:t>-</w:t>
      </w:r>
      <w:r w:rsidRPr="00DD0C44">
        <w:t>in period</w:t>
      </w:r>
    </w:p>
    <w:p w14:paraId="11906F46" w14:textId="30CB2329" w:rsidR="00A9737C" w:rsidRPr="00DD0C44" w:rsidRDefault="00A9737C" w:rsidP="00A9737C">
      <w:pPr>
        <w:rPr>
          <w:snapToGrid/>
        </w:rPr>
      </w:pPr>
      <w:r w:rsidRPr="00DD0C44">
        <w:t xml:space="preserve">The model starts from a randomly generated population of MSM with no active partnership at time zero. In order to create a realistic pattern of sexual partnerships with age, we allowed the original population to age and evolve for one generation (75 years) and then introduced a single HIV infection (randomly according to age, race and location of residence). The model was then run for another generation (75 years) to stabilize the dynamics of disease transmission and entry/exit through the cascade of care. Conservatively, we ran the model for another 50 extra years to ensure reaching a stable level of HIV incidence in the absence of PrEP – thus generating a full burn-in period of 200 years (a decision made on an a-priori basis). </w:t>
      </w:r>
    </w:p>
    <w:p w14:paraId="263B914F" w14:textId="77777777" w:rsidR="00A9737C" w:rsidRPr="00DD0C44" w:rsidRDefault="00A9737C" w:rsidP="00A9737C">
      <w:pPr>
        <w:pStyle w:val="NormalIndent"/>
      </w:pPr>
    </w:p>
    <w:p w14:paraId="1EA7723F" w14:textId="77777777" w:rsidR="00B75E08" w:rsidRPr="00DD0C44" w:rsidRDefault="00B75E08" w:rsidP="00B75E08">
      <w:pPr>
        <w:pStyle w:val="Heading2"/>
      </w:pPr>
      <w:r w:rsidRPr="00DD0C44">
        <w:t>Calculating the require number of independent simulation replications</w:t>
      </w:r>
    </w:p>
    <w:p w14:paraId="18D6A3A5" w14:textId="6BED0711" w:rsidR="00B75E08" w:rsidRPr="00DD0C44" w:rsidRDefault="00B75E08" w:rsidP="00B75E08">
      <w:r w:rsidRPr="00DD0C44">
        <w:t xml:space="preserve">In order to calculate the required number of independent simulation replications required to ensure appropriate precision of results, we follow the classical literature on calibration of computer simulation models </w:t>
      </w:r>
      <w:r w:rsidRPr="00DD0C44">
        <w:fldChar w:fldCharType="begin" w:fldLock="1"/>
      </w:r>
      <w:r w:rsidR="007176C4" w:rsidRPr="00DD0C44">
        <w:instrText>ADDIN CSL_CITATION { "citationItems" : [ { "id" : "ITEM-1", "itemData" : { "author" : [ { "dropping-particle" : "", "family" : "Law", "given" : "Averill M.", "non-dropping-particle" : "", "parse-names" : false, "suffix" : "" }, { "dropping-particle" : "", "family" : "Kelton", "given" : "W. David", "non-dropping-particle" : "", "parse-names" : false, "suffix" : "" } ], "edition" : "Third", "id" : "ITEM-1", "issued" : { "date-parts" : [ [ "2000" ] ] }, "publisher" : "McGraw-Hill", "title" : "Simulation Modeling and Analysis", "type" : "book" }, "uris" : [ "http://www.mendeley.com/documents/?uuid=26af1249-2858-4ee1-9b6c-deb507bdd719" ] } ], "mendeley" : { "formattedCitation" : "[22]", "plainTextFormattedCitation" : "[22]", "previouslyFormattedCitation" : "[21]" }, "properties" : { "noteIndex" : 0 }, "schema" : "https://github.com/citation-style-language/schema/raw/master/csl-citation.json" }</w:instrText>
      </w:r>
      <w:r w:rsidRPr="00DD0C44">
        <w:fldChar w:fldCharType="separate"/>
      </w:r>
      <w:r w:rsidR="007176C4" w:rsidRPr="00DD0C44">
        <w:rPr>
          <w:noProof/>
        </w:rPr>
        <w:t>[22]</w:t>
      </w:r>
      <w:r w:rsidRPr="00DD0C44">
        <w:fldChar w:fldCharType="end"/>
      </w:r>
      <w:r w:rsidRPr="00DD0C44">
        <w:t>. Running simulation for an initial number of replications, we compute the 95% half-width confidence interval around each simulation output (e.g., prevalence) via:</w:t>
      </w:r>
    </w:p>
    <w:p w14:paraId="7D50B2BA" w14:textId="77777777" w:rsidR="00B75E08" w:rsidRPr="00DD0C44" w:rsidRDefault="00B75E08" w:rsidP="00B75E08">
      <w:pPr>
        <w:pStyle w:val="NormalIndent"/>
      </w:pPr>
    </w:p>
    <w:p w14:paraId="1BE575D8" w14:textId="77777777" w:rsidR="00B75E08" w:rsidRPr="00DD0C44" w:rsidRDefault="0092692A" w:rsidP="00B75E08">
      <w:pPr>
        <w:jc w:val="cente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n0-1, α/2</m:t>
              </m:r>
            </m:sub>
          </m:sSub>
          <m:r>
            <w:rPr>
              <w:rFonts w:ascii="Cambria Math" w:hAnsi="Cambria Math"/>
            </w:rPr>
            <m:t xml:space="preserve"> </m:t>
          </m:r>
          <m:f>
            <m:fPr>
              <m:type m:val="skw"/>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0</m:t>
                  </m:r>
                </m:sub>
                <m:sup>
                  <m:r>
                    <w:rPr>
                      <w:rFonts w:ascii="Cambria Math" w:hAnsi="Cambria Math"/>
                    </w:rPr>
                    <m:t>2</m:t>
                  </m:r>
                </m:sup>
              </m:sSub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0</m:t>
                      </m:r>
                    </m:sub>
                  </m:sSub>
                </m:e>
              </m:rad>
            </m:den>
          </m:f>
        </m:oMath>
      </m:oMathPara>
    </w:p>
    <w:p w14:paraId="4CE6A514" w14:textId="77777777" w:rsidR="00B75E08" w:rsidRPr="00DD0C44" w:rsidRDefault="00B75E08" w:rsidP="00B75E08"/>
    <w:p w14:paraId="4757C04A" w14:textId="77777777" w:rsidR="00B75E08" w:rsidRPr="00DD0C44" w:rsidRDefault="00B75E08" w:rsidP="00B75E08">
      <w:r w:rsidRPr="00DD0C44">
        <w:t>where n0 denotes the initial number of replications and S0 is the standard deviation of simulation outputs gathered from each run. Using this information, the sample size (n1) required to achieve a confidence interval with half-width equal to a pre-specified desired h1 level can approximated via in two ways:</w:t>
      </w:r>
    </w:p>
    <w:p w14:paraId="0C78B06D" w14:textId="77777777" w:rsidR="00B75E08" w:rsidRPr="00DD0C44" w:rsidRDefault="00B75E08" w:rsidP="00B75E08">
      <w:pPr>
        <w:pStyle w:val="NormalIndent"/>
      </w:pPr>
    </w:p>
    <w:p w14:paraId="0D14FB66" w14:textId="77777777" w:rsidR="00B75E08" w:rsidRPr="00DD0C44" w:rsidRDefault="0092692A" w:rsidP="00B75E08">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1-α/2</m:t>
              </m:r>
            </m:sub>
            <m:sup>
              <m:r>
                <w:rPr>
                  <w:rFonts w:ascii="Cambria Math" w:hAnsi="Cambria Math"/>
                </w:rPr>
                <m:t>2</m:t>
              </m:r>
            </m:sup>
          </m:sSubSup>
          <m:r>
            <w:rPr>
              <w:rFonts w:ascii="Cambria Math" w:hAnsi="Cambria Math"/>
            </w:rPr>
            <m:t xml:space="preserve"> </m:t>
          </m:r>
          <m:f>
            <m:fPr>
              <m:type m:val="skw"/>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0</m:t>
                  </m:r>
                </m:sub>
                <m:sup>
                  <m:r>
                    <w:rPr>
                      <w:rFonts w:ascii="Cambria Math" w:hAnsi="Cambria Math"/>
                    </w:rPr>
                    <m:t>2</m:t>
                  </m:r>
                </m:sup>
              </m:sSubSup>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2</m:t>
                  </m:r>
                </m:sup>
              </m:sSubSup>
            </m:den>
          </m:f>
        </m:oMath>
      </m:oMathPara>
    </w:p>
    <w:p w14:paraId="78FD3B90" w14:textId="77777777" w:rsidR="00B75E08" w:rsidRPr="00DD0C44" w:rsidRDefault="0092692A" w:rsidP="00B75E08">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f>
            <m:fPr>
              <m:type m:val="skw"/>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2</m:t>
                  </m:r>
                </m:sup>
              </m:sSubSup>
            </m:num>
            <m:den>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2</m:t>
                  </m:r>
                </m:sup>
              </m:sSubSup>
            </m:den>
          </m:f>
        </m:oMath>
      </m:oMathPara>
    </w:p>
    <w:p w14:paraId="25E2F667" w14:textId="77777777" w:rsidR="00B75E08" w:rsidRPr="00DD0C44" w:rsidRDefault="00B75E08" w:rsidP="00B75E08">
      <w:pPr>
        <w:pStyle w:val="NormalIndent"/>
      </w:pPr>
    </w:p>
    <w:p w14:paraId="64B0B712" w14:textId="1C553A61" w:rsidR="00A26665" w:rsidRPr="00DD0C44" w:rsidRDefault="00B75E08" w:rsidP="00A26665">
      <w:r w:rsidRPr="00DD0C44">
        <w:t>Using an initial sample of 50 replications, we compute the required number of simulation runs to achieve a 1% error around mean prevalence via both approaches, and choose the maximum suggested value at n1= 85. We round up this number to 100 replications.</w:t>
      </w:r>
    </w:p>
    <w:p w14:paraId="1F83218C" w14:textId="48F757C8" w:rsidR="0092692A" w:rsidRPr="00DD0C44" w:rsidRDefault="0092692A" w:rsidP="0092692A">
      <w:pPr>
        <w:pStyle w:val="Heading3"/>
      </w:pPr>
      <w:r w:rsidRPr="00DD0C44">
        <w:lastRenderedPageBreak/>
        <w:t>Reporting the uncertainty range</w:t>
      </w:r>
    </w:p>
    <w:p w14:paraId="53EF79C8" w14:textId="2F64892A" w:rsidR="0092692A" w:rsidRPr="00DD0C44" w:rsidRDefault="0092692A" w:rsidP="0092692A">
      <w:r w:rsidRPr="00DD0C44">
        <w:rPr>
          <w:snapToGrid/>
        </w:rPr>
        <w:t xml:space="preserve">Any stochastic simulation model will generate a range of different outcomes over independent simulation runs.  For this reason, several replications of the model are performed, and the results are usually reported in terms of the average value over all simulation runs, as well as the range of simulated values (as a representation of uncertainty). Given the highly stochastic nature of our model and the wide uncertainty intervals around simulation outcomes, we applied a resampling approximation method to report the 95% uncertainty range (95% UR) as the 95% UR not around a single simulation, but rather around the mean of 100 simulations. In this method, we initially computed the required within-group sample size to provide a precision of at worst 5% around the main simulation output (HIV incidence) and estimated that at 100 replications (above). In the next step, we ran a large sample of simulation replications (&gt;2000) and then resampled, with replacement (i.e., bootstrapped) random samples of size 100 from the original pool of simulations. We measured the mean value of each output over those 100 simulations and repeated this process (with other groups of 100 simulations) until the distribution of these means was stable.  Once we had taken enough bootstrap samples to achieve stability, we estimated the 95% UR as the 2.5th and 97.5th percentile around this outcome (i.e., the mean value of the output across bootstrapped groups of 100 simulations).  </w:t>
      </w:r>
    </w:p>
    <w:p w14:paraId="57FA9FD6" w14:textId="77777777" w:rsidR="00A26665" w:rsidRPr="00DD0C44" w:rsidRDefault="00A26665" w:rsidP="00B75E08">
      <w:pPr>
        <w:pStyle w:val="NormalIndent"/>
      </w:pPr>
    </w:p>
    <w:p w14:paraId="7AFC6514" w14:textId="12621350" w:rsidR="00DF415A" w:rsidRPr="00DD0C44" w:rsidRDefault="00DF415A" w:rsidP="00923A2A">
      <w:pPr>
        <w:pStyle w:val="Heading2"/>
      </w:pPr>
      <w:r w:rsidRPr="00DD0C44">
        <w:t>Calibrating partnerships</w:t>
      </w:r>
    </w:p>
    <w:p w14:paraId="61A375E0" w14:textId="34E8D5DE" w:rsidR="00A26665" w:rsidRPr="00DD0C44" w:rsidRDefault="00CC5CEC" w:rsidP="00DF415A">
      <w:pPr>
        <w:pStyle w:val="NormalIndent"/>
        <w:ind w:left="0"/>
      </w:pPr>
      <w:r w:rsidRPr="00DD0C44">
        <w:t>BESURE 2014</w:t>
      </w:r>
      <w:r w:rsidR="007C6A26" w:rsidRPr="00DD0C44">
        <w:t xml:space="preserve"> </w:t>
      </w:r>
      <w:r w:rsidRPr="00DD0C44">
        <w:t>provides the main source of local information available on</w:t>
      </w:r>
      <w:r w:rsidR="00DF415A" w:rsidRPr="00DD0C44">
        <w:t xml:space="preserve"> MSM network of partnership</w:t>
      </w:r>
      <w:r w:rsidRPr="00DD0C44">
        <w:t>s</w:t>
      </w:r>
      <w:r w:rsidR="00DF415A" w:rsidRPr="00DD0C44">
        <w:t xml:space="preserve"> </w:t>
      </w:r>
      <w:r w:rsidRPr="00DD0C44">
        <w:t>in Baltimore. The data include aggregate information for the</w:t>
      </w:r>
      <w:r w:rsidR="00DF415A" w:rsidRPr="00DD0C44">
        <w:t xml:space="preserve"> rep</w:t>
      </w:r>
      <w:r w:rsidRPr="00DD0C44">
        <w:t>orted number of sexual partners</w:t>
      </w:r>
      <w:r w:rsidR="00DF415A" w:rsidRPr="00DD0C44">
        <w:t xml:space="preserve"> </w:t>
      </w:r>
      <w:r w:rsidRPr="00DD0C44">
        <w:t xml:space="preserve">(by age-group) </w:t>
      </w:r>
      <w:r w:rsidR="00DF415A" w:rsidRPr="00DD0C44">
        <w:t>and type of those partnerships</w:t>
      </w:r>
      <w:r w:rsidRPr="00DD0C44">
        <w:t xml:space="preserve"> in the last 12 months</w:t>
      </w:r>
      <w:r w:rsidR="00A26665" w:rsidRPr="00DD0C44">
        <w:t xml:space="preserve"> (Figure 3-orange bars). Given the aggregate scale of reporting (no data provided at the individual level) and lack of corresponding data from previous surveys, we could not estimate the margin of error around each data point – thereby precluding a precise statistical estimate of goodness-of-fit.</w:t>
      </w:r>
    </w:p>
    <w:p w14:paraId="28698FEF" w14:textId="56EDFF2B" w:rsidR="00DF415A" w:rsidRPr="00DD0C44" w:rsidRDefault="00CC5CEC" w:rsidP="00DF415A">
      <w:pPr>
        <w:pStyle w:val="NormalIndent"/>
        <w:ind w:left="0"/>
      </w:pPr>
      <w:r w:rsidRPr="00DD0C44">
        <w:t>Assuming a fixed</w:t>
      </w:r>
      <w:r w:rsidR="00DF415A" w:rsidRPr="00DD0C44">
        <w:t xml:space="preserve"> mixing structure</w:t>
      </w:r>
      <w:r w:rsidRPr="00DD0C44">
        <w:t xml:space="preserve"> over time</w:t>
      </w:r>
      <w:r w:rsidR="00DF415A" w:rsidRPr="00DD0C44">
        <w:t xml:space="preserve">, we use this information to calibrate the individual-level likelihood of engaging in </w:t>
      </w:r>
      <w:r w:rsidRPr="00DD0C44">
        <w:t xml:space="preserve">a </w:t>
      </w:r>
      <w:r w:rsidR="00DF415A" w:rsidRPr="00DD0C44">
        <w:t xml:space="preserve">stable or casual </w:t>
      </w:r>
      <w:r w:rsidRPr="00DD0C44">
        <w:t>partnership</w:t>
      </w:r>
      <w:r w:rsidR="00DF415A" w:rsidRPr="00DD0C44">
        <w:t xml:space="preserve"> </w:t>
      </w:r>
      <w:r w:rsidRPr="00DD0C44">
        <w:t>at each simulated time step (week)</w:t>
      </w:r>
      <w:r w:rsidR="00DF415A" w:rsidRPr="00DD0C44">
        <w:t>. We use the coeffici</w:t>
      </w:r>
      <w:r w:rsidR="00C24399" w:rsidRPr="00DD0C44">
        <w:t>en</w:t>
      </w:r>
      <w:r w:rsidR="00DF415A" w:rsidRPr="00DD0C44">
        <w:t xml:space="preserve">ts of sexual-activity to calibrate the right and left tail of the </w:t>
      </w:r>
      <w:r w:rsidR="00C24399" w:rsidRPr="00DD0C44">
        <w:t>partnership frequency distribution (</w:t>
      </w:r>
      <w:r w:rsidR="00DF415A" w:rsidRPr="00DD0C44">
        <w:t xml:space="preserve">for </w:t>
      </w:r>
      <w:r w:rsidR="00C24399" w:rsidRPr="00DD0C44">
        <w:t>th</w:t>
      </w:r>
      <w:r w:rsidR="00DF415A" w:rsidRPr="00DD0C44">
        <w:t xml:space="preserve">ose </w:t>
      </w:r>
      <w:r w:rsidR="00C24399" w:rsidRPr="00DD0C44">
        <w:t>MSM reporting</w:t>
      </w:r>
      <w:r w:rsidR="00DF415A" w:rsidRPr="00DD0C44">
        <w:t xml:space="preserve"> 0 or more than 5 partners in a</w:t>
      </w:r>
      <w:r w:rsidR="00C24399" w:rsidRPr="00DD0C44">
        <w:t xml:space="preserve"> given</w:t>
      </w:r>
      <w:r w:rsidR="00DF415A" w:rsidRPr="00DD0C44">
        <w:t xml:space="preserve"> year</w:t>
      </w:r>
      <w:r w:rsidR="00C24399" w:rsidRPr="00DD0C44">
        <w:t>)</w:t>
      </w:r>
      <w:r w:rsidR="00DF415A" w:rsidRPr="00DD0C44">
        <w:t xml:space="preserve">. </w:t>
      </w:r>
      <w:r w:rsidR="00C24399" w:rsidRPr="00DD0C44">
        <w:t>The age-dependent coefficients of partnerships are further tuned to calibrate the reported number of partnerships by each age-group. The calibration results are summarized in Figure 3 and 4.</w:t>
      </w:r>
    </w:p>
    <w:p w14:paraId="7C34791F" w14:textId="77777777" w:rsidR="00C24399" w:rsidRPr="00DD0C44" w:rsidRDefault="00C24399" w:rsidP="00DF415A">
      <w:pPr>
        <w:pStyle w:val="NormalIndent"/>
        <w:ind w:left="0"/>
      </w:pPr>
    </w:p>
    <w:p w14:paraId="3380BDCD" w14:textId="77777777" w:rsidR="00C24399" w:rsidRPr="00DD0C44" w:rsidRDefault="00C24399" w:rsidP="00C24399">
      <w:pPr>
        <w:pStyle w:val="NormalIndent"/>
        <w:keepNext/>
        <w:ind w:left="0"/>
      </w:pPr>
      <w:r w:rsidRPr="00DD0C44">
        <w:rPr>
          <w:b/>
          <w:bCs/>
          <w:iCs/>
          <w:noProof/>
          <w:snapToGrid/>
          <w:color w:val="4F81BD" w:themeColor="accent1"/>
        </w:rPr>
        <w:lastRenderedPageBreak/>
        <w:drawing>
          <wp:inline distT="0" distB="0" distL="0" distR="0" wp14:anchorId="6017EFAC" wp14:editId="5E58BCA5">
            <wp:extent cx="5943600" cy="229786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7860"/>
                    </a:xfrm>
                    <a:prstGeom prst="rect">
                      <a:avLst/>
                    </a:prstGeom>
                    <a:noFill/>
                    <a:ln>
                      <a:noFill/>
                    </a:ln>
                  </pic:spPr>
                </pic:pic>
              </a:graphicData>
            </a:graphic>
          </wp:inline>
        </w:drawing>
      </w:r>
    </w:p>
    <w:p w14:paraId="4043B6EF" w14:textId="52290BD5" w:rsidR="00AB1AD4" w:rsidRPr="00DD0C44" w:rsidRDefault="00C24399" w:rsidP="00C24399">
      <w:pPr>
        <w:pStyle w:val="Caption"/>
        <w:rPr>
          <w:rStyle w:val="IntenseEmphasis"/>
          <w:i w:val="0"/>
        </w:rPr>
      </w:pPr>
      <w:r w:rsidRPr="00DD0C44">
        <w:t xml:space="preserve">Figure </w:t>
      </w:r>
      <w:fldSimple w:instr=" SEQ Figure \* ARABIC ">
        <w:r w:rsidR="00D96644" w:rsidRPr="00DD0C44">
          <w:rPr>
            <w:noProof/>
          </w:rPr>
          <w:t>3</w:t>
        </w:r>
      </w:fldSimple>
      <w:r w:rsidRPr="00DD0C44">
        <w:t>: Model Calibration to Epidemiological Data</w:t>
      </w:r>
      <w:r w:rsidRPr="00DD0C44">
        <w:rPr>
          <w:b w:val="0"/>
        </w:rPr>
        <w:t xml:space="preserve">. Shown are the mean values of 200 simulations (in green) compared against empirical data (in orange). </w:t>
      </w:r>
      <w:r w:rsidR="002A374D" w:rsidRPr="00DD0C44">
        <w:rPr>
          <w:b w:val="0"/>
        </w:rPr>
        <w:t xml:space="preserve">The error bars represent the 90% uncertainty range </w:t>
      </w:r>
      <w:r w:rsidRPr="00DD0C44">
        <w:rPr>
          <w:b w:val="0"/>
        </w:rPr>
        <w:t xml:space="preserve">of observations around each simulated measure. </w:t>
      </w:r>
    </w:p>
    <w:p w14:paraId="14B4C8AD" w14:textId="77777777" w:rsidR="00C24399" w:rsidRPr="00DD0C44" w:rsidRDefault="00C24399" w:rsidP="00C24399">
      <w:pPr>
        <w:pStyle w:val="NormalIndent"/>
        <w:keepNext/>
        <w:ind w:left="0"/>
      </w:pPr>
      <w:r w:rsidRPr="00DD0C44">
        <w:rPr>
          <w:b/>
          <w:bCs/>
          <w:iCs/>
          <w:noProof/>
          <w:snapToGrid/>
          <w:color w:val="4F81BD" w:themeColor="accent1"/>
        </w:rPr>
        <w:drawing>
          <wp:inline distT="0" distB="0" distL="0" distR="0" wp14:anchorId="71DA1984" wp14:editId="2312B73D">
            <wp:extent cx="5943600" cy="4592210"/>
            <wp:effectExtent l="0" t="0" r="0" b="571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2210"/>
                    </a:xfrm>
                    <a:prstGeom prst="rect">
                      <a:avLst/>
                    </a:prstGeom>
                    <a:noFill/>
                    <a:ln>
                      <a:noFill/>
                    </a:ln>
                  </pic:spPr>
                </pic:pic>
              </a:graphicData>
            </a:graphic>
          </wp:inline>
        </w:drawing>
      </w:r>
    </w:p>
    <w:p w14:paraId="00CDB7CF" w14:textId="24488602" w:rsidR="00AB1AD4" w:rsidRPr="00DD0C44" w:rsidRDefault="00C24399" w:rsidP="00C24399">
      <w:pPr>
        <w:pStyle w:val="Caption"/>
        <w:rPr>
          <w:rStyle w:val="IntenseEmphasis"/>
          <w:i w:val="0"/>
        </w:rPr>
      </w:pPr>
      <w:r w:rsidRPr="00DD0C44">
        <w:t xml:space="preserve">Figure </w:t>
      </w:r>
      <w:fldSimple w:instr=" SEQ Figure \* ARABIC ">
        <w:r w:rsidR="00D96644" w:rsidRPr="00DD0C44">
          <w:rPr>
            <w:noProof/>
          </w:rPr>
          <w:t>4</w:t>
        </w:r>
      </w:fldSimple>
      <w:r w:rsidRPr="00DD0C44">
        <w:t>:</w:t>
      </w:r>
      <w:r w:rsidRPr="00DD0C44">
        <w:rPr>
          <w:bCs w:val="0"/>
          <w:iCs/>
        </w:rPr>
        <w:t xml:space="preserve"> Simulation calibration for frequency of reported partnerships by each age-group.</w:t>
      </w:r>
      <w:r w:rsidRPr="00DD0C44">
        <w:rPr>
          <w:b w:val="0"/>
        </w:rPr>
        <w:t xml:space="preserve"> Shown are the mean values of 200 simulations (in green) compared against empirical data (in orange). </w:t>
      </w:r>
      <w:r w:rsidR="002A374D" w:rsidRPr="00DD0C44">
        <w:rPr>
          <w:b w:val="0"/>
        </w:rPr>
        <w:t>The error bars represent the 90% uncertainty range</w:t>
      </w:r>
      <w:r w:rsidRPr="00DD0C44">
        <w:rPr>
          <w:b w:val="0"/>
        </w:rPr>
        <w:t xml:space="preserve"> of observations around each simulated measure. </w:t>
      </w:r>
    </w:p>
    <w:p w14:paraId="31221FE7" w14:textId="77777777" w:rsidR="007C6A26" w:rsidRPr="00DD0C44" w:rsidRDefault="007C6A26" w:rsidP="00C24399">
      <w:pPr>
        <w:pStyle w:val="NormalIndent"/>
        <w:ind w:left="0"/>
      </w:pPr>
    </w:p>
    <w:p w14:paraId="2E0AFD14" w14:textId="77777777" w:rsidR="00A26665" w:rsidRPr="00DD0C44" w:rsidRDefault="00A26665" w:rsidP="00A26665">
      <w:pPr>
        <w:pStyle w:val="Heading3"/>
      </w:pPr>
      <w:r w:rsidRPr="00DD0C44">
        <w:t xml:space="preserve">Quality of fit: </w:t>
      </w:r>
    </w:p>
    <w:p w14:paraId="77C12CAC" w14:textId="769BB823" w:rsidR="00A26665" w:rsidRPr="00DD0C44" w:rsidRDefault="00A26665" w:rsidP="00A26665">
      <w:r w:rsidRPr="00DD0C44">
        <w:t xml:space="preserve">Given the strong bimodal distribution of partnerships among young adults, we were not able to replicate these empirical distributions precisely and thus chose to minimize the estimation error at the tails of this distribution. There are also conceptual challenges with the empirical data; specifically, BESURE applies a venue-based sampling method, which is more likely to capture a representative sample of young (as opposed to older) MSM. Based on discussions with the BESURE investigators, we felt that the general population of older MSM was likely to have lower numbers of sex partners than reported in BESURE.  </w:t>
      </w:r>
    </w:p>
    <w:p w14:paraId="3B35F291" w14:textId="256B94A8" w:rsidR="00A26665" w:rsidRPr="00DD0C44" w:rsidRDefault="00A26665" w:rsidP="00A26665">
      <w:r w:rsidRPr="00DD0C44">
        <w:t xml:space="preserve">Ultimately, what is important from these dynamics is the ability of the model to replicate HIV incidence in these age groups at the population level. While the number of HIV diagnoses is not reported by both age and risk group in Baltimore City (due to low numbers of people reporting risk group), the age breakdown is known – and likely to track the age breakdown of HIV infections among MSM, since MSM account for over 50% of new HIV diagnoses in Baltimore. Baltimore City reports that 5% and 32.8% of all new HIV diagnoses in 2011 occurred in people ages 13-19 and 20-29 </w:t>
      </w:r>
      <w:r w:rsidRPr="00DD0C44">
        <w:fldChar w:fldCharType="begin" w:fldLock="1"/>
      </w:r>
      <w:r w:rsidR="007176C4" w:rsidRPr="00DD0C44">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fldChar w:fldCharType="separate"/>
      </w:r>
      <w:r w:rsidR="007176C4" w:rsidRPr="00DD0C44">
        <w:rPr>
          <w:noProof/>
        </w:rPr>
        <w:t>[2]</w:t>
      </w:r>
      <w:r w:rsidRPr="00DD0C44">
        <w:fldChar w:fldCharType="end"/>
      </w:r>
      <w:r w:rsidRPr="00DD0C44">
        <w:t>; our model estimates that 10.3% [6.4-14.6] and 32.4% [26.7-37.5%] of HIV infections (which occur at an earlier age than diagnosis) occur in this age groups accordingly. Similarly, Baltimore City reports that 3.3% of all new diagnoses occur in those over age 60; our model estimates that 8.8% [5.7-12.3%] of all HIV infections occur in this age group. Thus, if anything, it is likely that our model is overestimating the amount of HIV transmission in the elderly and perhaps underestimating the amount of transmission in the younger age groups. As such, we did not want to force our model to more closely match empirical venue-based estimates of partnership by age at the expense of sacrificing our ability to match the likely dynamics of HIV incidence at the population level.</w:t>
      </w:r>
    </w:p>
    <w:p w14:paraId="45A3E285" w14:textId="77777777" w:rsidR="00A26665" w:rsidRPr="00DD0C44" w:rsidRDefault="00A26665" w:rsidP="00C24399">
      <w:pPr>
        <w:pStyle w:val="NormalIndent"/>
        <w:ind w:left="0"/>
      </w:pPr>
    </w:p>
    <w:p w14:paraId="5CECCF15" w14:textId="14A537FF" w:rsidR="00EE1AF0" w:rsidRPr="00DD0C44" w:rsidRDefault="00EE1AF0" w:rsidP="00923A2A">
      <w:pPr>
        <w:pStyle w:val="Heading2"/>
      </w:pPr>
      <w:r w:rsidRPr="00DD0C44">
        <w:t xml:space="preserve">Calibrating HIV prevalence and </w:t>
      </w:r>
      <w:r w:rsidR="0001087D" w:rsidRPr="00DD0C44">
        <w:t xml:space="preserve">the </w:t>
      </w:r>
      <w:r w:rsidRPr="00DD0C44">
        <w:t>continuum of care</w:t>
      </w:r>
    </w:p>
    <w:p w14:paraId="1C39FF1A" w14:textId="2A6B202C" w:rsidR="00EE1AF0" w:rsidRPr="00DD0C44" w:rsidRDefault="00EE1AF0" w:rsidP="00EE1AF0">
      <w:r w:rsidRPr="00DD0C44">
        <w:t xml:space="preserve">The main calibration targets (model outputs) relating to HIV epidemiology include the estimated prevalence of HIV among MSM in Baltimore City and the proportion of the HIV-positive population that actually resides at each step of the care continuum </w:t>
      </w:r>
      <w:r w:rsidRPr="00DD0C44">
        <w:fldChar w:fldCharType="begin" w:fldLock="1"/>
      </w:r>
      <w:r w:rsidR="007176C4" w:rsidRPr="00DD0C44">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fldChar w:fldCharType="separate"/>
      </w:r>
      <w:r w:rsidR="007176C4" w:rsidRPr="00DD0C44">
        <w:rPr>
          <w:noProof/>
        </w:rPr>
        <w:t>[2]</w:t>
      </w:r>
      <w:r w:rsidRPr="00DD0C44">
        <w:fldChar w:fldCharType="end"/>
      </w:r>
      <w:r w:rsidRPr="00DD0C44">
        <w:t xml:space="preserve">. We used a repetitive search mechanism that allowed us to tune several input parameters (e.g., per-partnership transmission probability, individual-level probability of screening for HIV, linkage to care, etc.) simultaneously in order to match the calibration targets at baseline (Figure 5). The output values (calibration targets) are not set at model initialization; rather, the input parameters are calibrated in order to hit these output values at baseline (corresponding to the present day).  </w:t>
      </w:r>
    </w:p>
    <w:p w14:paraId="13C4FA45" w14:textId="77777777" w:rsidR="00EE1AF0" w:rsidRPr="00DD0C44" w:rsidRDefault="00EE1AF0" w:rsidP="00EE1AF0">
      <w:pPr>
        <w:pStyle w:val="NoSpacing"/>
      </w:pPr>
    </w:p>
    <w:p w14:paraId="1F18F9F5" w14:textId="43474860" w:rsidR="00EE1AF0" w:rsidRPr="00DD0C44" w:rsidRDefault="0001087D" w:rsidP="0001087D">
      <w:pPr>
        <w:jc w:val="center"/>
      </w:pPr>
      <w:r w:rsidRPr="00DD0C44">
        <w:rPr>
          <w:noProof/>
          <w:snapToGrid/>
        </w:rPr>
        <w:lastRenderedPageBreak/>
        <w:drawing>
          <wp:inline distT="0" distB="0" distL="0" distR="0" wp14:anchorId="4D1D2BDD" wp14:editId="0BEFBA34">
            <wp:extent cx="4227830" cy="1951693"/>
            <wp:effectExtent l="0" t="0" r="0" b="444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b="55234"/>
                    <a:stretch/>
                  </pic:blipFill>
                  <pic:spPr bwMode="auto">
                    <a:xfrm>
                      <a:off x="0" y="0"/>
                      <a:ext cx="4228734" cy="1952110"/>
                    </a:xfrm>
                    <a:prstGeom prst="rect">
                      <a:avLst/>
                    </a:prstGeom>
                    <a:noFill/>
                    <a:ln>
                      <a:noFill/>
                    </a:ln>
                    <a:extLst>
                      <a:ext uri="{53640926-AAD7-44d8-BBD7-CCE9431645EC}">
                        <a14:shadowObscured xmlns:a14="http://schemas.microsoft.com/office/drawing/2010/main"/>
                      </a:ext>
                    </a:extLst>
                  </pic:spPr>
                </pic:pic>
              </a:graphicData>
            </a:graphic>
          </wp:inline>
        </w:drawing>
      </w:r>
    </w:p>
    <w:p w14:paraId="7CB2895E" w14:textId="69ED8677" w:rsidR="00EE1AF0" w:rsidRPr="00DD0C44" w:rsidRDefault="00EE1AF0" w:rsidP="00EE1AF0">
      <w:pPr>
        <w:pStyle w:val="Caption"/>
        <w:rPr>
          <w:rStyle w:val="IntenseEmphasis"/>
          <w:i w:val="0"/>
        </w:rPr>
      </w:pPr>
      <w:r w:rsidRPr="00DD0C44">
        <w:t xml:space="preserve">Figure </w:t>
      </w:r>
      <w:fldSimple w:instr=" SEQ Figure \* ARABIC ">
        <w:r w:rsidR="00D96644" w:rsidRPr="00DD0C44">
          <w:rPr>
            <w:noProof/>
          </w:rPr>
          <w:t>5</w:t>
        </w:r>
      </w:fldSimple>
      <w:r w:rsidRPr="00DD0C44">
        <w:t>:</w:t>
      </w:r>
      <w:r w:rsidRPr="00DD0C44">
        <w:rPr>
          <w:bCs w:val="0"/>
          <w:iCs/>
        </w:rPr>
        <w:t xml:space="preserve"> Simulation calibration for HIV prevalence and </w:t>
      </w:r>
      <w:r w:rsidR="0001087D" w:rsidRPr="00DD0C44">
        <w:rPr>
          <w:bCs w:val="0"/>
          <w:iCs/>
        </w:rPr>
        <w:t>the continuum of care</w:t>
      </w:r>
      <w:r w:rsidRPr="00DD0C44">
        <w:rPr>
          <w:bCs w:val="0"/>
          <w:iCs/>
        </w:rPr>
        <w:t>.</w:t>
      </w:r>
      <w:r w:rsidRPr="00DD0C44">
        <w:rPr>
          <w:b w:val="0"/>
        </w:rPr>
        <w:t xml:space="preserve"> Shown are the mean values of 200 simulations (in green) compared against empirical data (in </w:t>
      </w:r>
      <w:r w:rsidR="0001087D" w:rsidRPr="00DD0C44">
        <w:rPr>
          <w:b w:val="0"/>
        </w:rPr>
        <w:t>red</w:t>
      </w:r>
      <w:r w:rsidRPr="00DD0C44">
        <w:rPr>
          <w:b w:val="0"/>
        </w:rPr>
        <w:t>). The error bars represent the 9</w:t>
      </w:r>
      <w:r w:rsidR="0001087D" w:rsidRPr="00DD0C44">
        <w:rPr>
          <w:b w:val="0"/>
        </w:rPr>
        <w:t>0</w:t>
      </w:r>
      <w:r w:rsidRPr="00DD0C44">
        <w:rPr>
          <w:b w:val="0"/>
        </w:rPr>
        <w:t xml:space="preserve">% uncertainty range of observations around each simulated measure. </w:t>
      </w:r>
    </w:p>
    <w:p w14:paraId="100216CE" w14:textId="0CEC54FB" w:rsidR="00EE1AF0" w:rsidRPr="00DD0C44" w:rsidRDefault="00EE1AF0" w:rsidP="00EE1AF0"/>
    <w:p w14:paraId="2C0D4662" w14:textId="114FFB92" w:rsidR="007016E7" w:rsidRPr="00DD0C44" w:rsidRDefault="007016E7" w:rsidP="007016E7">
      <w:pPr>
        <w:pStyle w:val="Heading2"/>
        <w:numPr>
          <w:ilvl w:val="1"/>
          <w:numId w:val="32"/>
        </w:numPr>
      </w:pPr>
      <w:r w:rsidRPr="00DD0C44">
        <w:t>Calibrating age- and racial-disparity in HIV infection</w:t>
      </w:r>
    </w:p>
    <w:p w14:paraId="4542D9B3" w14:textId="50F409E1" w:rsidR="007016E7" w:rsidRPr="00DD0C44" w:rsidRDefault="007016E7" w:rsidP="007016E7">
      <w:r w:rsidRPr="00DD0C44">
        <w:t>Regarding age, we decided to use empirical data on the number of partnerships by age, rather than calibrating to age-specific HIV prevalence.</w:t>
      </w:r>
      <w:r w:rsidR="00D359BB" w:rsidRPr="00DD0C44">
        <w:t xml:space="preserve"> Figure 6</w:t>
      </w:r>
      <w:r w:rsidRPr="00DD0C44">
        <w:t xml:space="preserve"> compares model-estimated incidence to the number of reported new HIV diagnoses, by age (even though age-specific incidence is not a model calibration target per se). This figure suggests good overall fit of the model.</w:t>
      </w:r>
    </w:p>
    <w:p w14:paraId="3E385467" w14:textId="77777777" w:rsidR="007016E7" w:rsidRPr="00DD0C44" w:rsidRDefault="007016E7" w:rsidP="007016E7">
      <w:pPr>
        <w:keepNext/>
        <w:jc w:val="center"/>
      </w:pPr>
    </w:p>
    <w:p w14:paraId="4DDA16C5" w14:textId="77777777" w:rsidR="007016E7" w:rsidRPr="00DD0C44" w:rsidRDefault="007016E7" w:rsidP="007016E7">
      <w:pPr>
        <w:keepNext/>
        <w:jc w:val="center"/>
      </w:pPr>
      <w:r w:rsidRPr="00DD0C44">
        <w:rPr>
          <w:noProof/>
          <w:snapToGrid/>
        </w:rPr>
        <w:drawing>
          <wp:inline distT="0" distB="0" distL="0" distR="0" wp14:anchorId="4EB2A05C" wp14:editId="35BECAFB">
            <wp:extent cx="4114045" cy="2989655"/>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568" cy="2990035"/>
                    </a:xfrm>
                    <a:prstGeom prst="rect">
                      <a:avLst/>
                    </a:prstGeom>
                    <a:noFill/>
                    <a:ln>
                      <a:noFill/>
                    </a:ln>
                  </pic:spPr>
                </pic:pic>
              </a:graphicData>
            </a:graphic>
          </wp:inline>
        </w:drawing>
      </w:r>
    </w:p>
    <w:p w14:paraId="42A85430" w14:textId="77777777" w:rsidR="007016E7" w:rsidRPr="00DD0C44" w:rsidRDefault="007016E7" w:rsidP="007016E7">
      <w:pPr>
        <w:pStyle w:val="Caption"/>
        <w:jc w:val="center"/>
      </w:pPr>
      <w:r w:rsidRPr="00DD0C44">
        <w:t xml:space="preserve">Figure </w:t>
      </w:r>
      <w:fldSimple w:instr=" SEQ Figure \* ARABIC ">
        <w:r w:rsidR="00D96644" w:rsidRPr="00DD0C44">
          <w:rPr>
            <w:noProof/>
          </w:rPr>
          <w:t>6</w:t>
        </w:r>
      </w:fldSimple>
      <w:r w:rsidRPr="00DD0C44">
        <w:t xml:space="preserve">: Distribution of simulated HIV incidence versus reported number of HIV diagnosis in each age group. </w:t>
      </w:r>
      <w:r w:rsidRPr="00DD0C44">
        <w:rPr>
          <w:b w:val="0"/>
        </w:rPr>
        <w:t xml:space="preserve">Orange bars show the number of new HIV diagnoses reported in Baltimore City </w:t>
      </w:r>
      <w:proofErr w:type="gramStart"/>
      <w:r w:rsidRPr="00DD0C44">
        <w:rPr>
          <w:b w:val="0"/>
        </w:rPr>
        <w:t>among MSM</w:t>
      </w:r>
      <w:proofErr w:type="gramEnd"/>
      <w:r w:rsidRPr="00DD0C44">
        <w:rPr>
          <w:b w:val="0"/>
        </w:rPr>
        <w:t xml:space="preserve"> in 2012. Green bars show the estimated incidence of HIV in this population in the simulation model.</w:t>
      </w:r>
    </w:p>
    <w:p w14:paraId="6B69E717" w14:textId="77777777" w:rsidR="00EE1AF0" w:rsidRPr="00DD0C44" w:rsidRDefault="00EE1AF0" w:rsidP="00EE1AF0">
      <w:pPr>
        <w:pStyle w:val="NormalIndent"/>
      </w:pPr>
    </w:p>
    <w:p w14:paraId="0760A042" w14:textId="45D59EB2" w:rsidR="0065397E" w:rsidRPr="00DD0C44" w:rsidRDefault="00AB1AD4" w:rsidP="0065397E">
      <w:r w:rsidRPr="00DD0C44">
        <w:lastRenderedPageBreak/>
        <w:t>Despite</w:t>
      </w:r>
      <w:r w:rsidR="007C6A26" w:rsidRPr="00DD0C44">
        <w:t xml:space="preserve"> </w:t>
      </w:r>
      <w:r w:rsidRPr="00DD0C44">
        <w:t>capturing the reported levels of age</w:t>
      </w:r>
      <w:r w:rsidR="00C24399" w:rsidRPr="00DD0C44">
        <w:t>- and race-</w:t>
      </w:r>
      <w:r w:rsidRPr="00DD0C44">
        <w:t>assortative mixing</w:t>
      </w:r>
      <w:r w:rsidR="007C6A26" w:rsidRPr="00DD0C44">
        <w:t xml:space="preserve"> among black and white MSM and </w:t>
      </w:r>
      <w:r w:rsidR="0065397E" w:rsidRPr="00DD0C44">
        <w:t xml:space="preserve">calibrating the initial </w:t>
      </w:r>
      <w:r w:rsidR="007C6A26" w:rsidRPr="00DD0C44">
        <w:t xml:space="preserve">population according to the current </w:t>
      </w:r>
      <w:r w:rsidR="0065397E" w:rsidRPr="00DD0C44">
        <w:t xml:space="preserve">levels of HIV infection in each </w:t>
      </w:r>
      <w:r w:rsidR="007C6A26" w:rsidRPr="00DD0C44">
        <w:t>age- and race-</w:t>
      </w:r>
      <w:r w:rsidR="0065397E" w:rsidRPr="00DD0C44">
        <w:t xml:space="preserve">group, our </w:t>
      </w:r>
      <w:r w:rsidR="008D567C" w:rsidRPr="00DD0C44">
        <w:t>preliminarily</w:t>
      </w:r>
      <w:r w:rsidR="0065397E" w:rsidRPr="00DD0C44">
        <w:t xml:space="preserve"> </w:t>
      </w:r>
      <w:r w:rsidR="007C6A26" w:rsidRPr="00DD0C44">
        <w:t>results</w:t>
      </w:r>
      <w:r w:rsidRPr="00DD0C44">
        <w:t xml:space="preserve"> </w:t>
      </w:r>
      <w:r w:rsidR="007C6A26" w:rsidRPr="00DD0C44">
        <w:t>underestimated the levels of d</w:t>
      </w:r>
      <w:r w:rsidRPr="00DD0C44">
        <w:t>isparity in HIV prevalence</w:t>
      </w:r>
      <w:r w:rsidR="0065397E" w:rsidRPr="00DD0C44">
        <w:t xml:space="preserve"> between black and white MSM over time</w:t>
      </w:r>
      <w:r w:rsidRPr="00DD0C44">
        <w:t xml:space="preserve">. </w:t>
      </w:r>
      <w:r w:rsidR="007C6A26" w:rsidRPr="00DD0C44">
        <w:rPr>
          <w:szCs w:val="22"/>
        </w:rPr>
        <w:t>Despite general hypothesis, previous studies have not detected a significant difference in sexual risk behaviors by MSMs of each race</w:t>
      </w:r>
      <w:r w:rsidR="0065397E" w:rsidRPr="00DD0C44">
        <w:rPr>
          <w:szCs w:val="22"/>
        </w:rPr>
        <w:t xml:space="preserve">, and in the absence of such difference, we assume that </w:t>
      </w:r>
      <w:r w:rsidR="007C6A26" w:rsidRPr="00DD0C44">
        <w:rPr>
          <w:szCs w:val="22"/>
        </w:rPr>
        <w:t>the disparity</w:t>
      </w:r>
      <w:r w:rsidRPr="00DD0C44">
        <w:t xml:space="preserve"> can partially root in differential levels of access, linkage and enga</w:t>
      </w:r>
      <w:r w:rsidR="007C6A26" w:rsidRPr="00DD0C44">
        <w:t>ge</w:t>
      </w:r>
      <w:r w:rsidRPr="00DD0C44">
        <w:t xml:space="preserve">ment in care </w:t>
      </w:r>
      <w:r w:rsidR="0065397E" w:rsidRPr="00DD0C44">
        <w:t xml:space="preserve">by MSM of each race, as proposed by previous studies </w:t>
      </w:r>
      <w:r w:rsidR="0065397E" w:rsidRPr="00DD0C44">
        <w:fldChar w:fldCharType="begin" w:fldLock="1"/>
      </w:r>
      <w:r w:rsidR="007176C4" w:rsidRPr="00DD0C44">
        <w:instrText>ADDIN CSL_CITATION { "citationItems" : [ { "id" : "ITEM-1", "itemData" : { "author" : [ { "dropping-particle" : "", "family" : "Sullivan", "given" : "Patrick S.", "non-dropping-particle" : "", "parse-names" : false, "suffix" : "" }, { "dropping-particle" : "", "family" : "Peterson", "given" : "John", "non-dropping-particle" : "", "parse-names" : false, "suffix" : "" }, { "dropping-particle" : "", "family" : "Rosenberg", "given" : "Eli S.", "non-dropping-particle" : "", "parse-names" : false, "suffix" : "" }, { "dropping-particle" : "", "family" : "Kelley", "given" : "Colleen F.", "non-dropping-particle" : "", "parse-names" : false, "suffix" : "" }, { "dropping-particle" : "", "family" : "Cooper", "given" : "Hannah", "non-dropping-particle" : "", "parse-names" : false, "suffix" : "" }, { "dropping-particle" : "", "family" : "Vaughan", "given" : "Adam", "non-dropping-particle" : "", "parse-names" : false, "suffix" : "" }, { "dropping-particle" : "", "family" : "Salazar", "given" : "Laura F.", "non-dropping-particle" : "", "parse-names" : false, "suffix" : "" }, { "dropping-particle" : "", "family" : "Frew", "given" : "Paula", "non-dropping-particle" : "", "parse-names" : false, "suffix" : "" }, { "dropping-particle" : "", "family" : "Wingood", "given" : "Gina", "non-dropping-particle" : "", "parse-names" : false, "suffix" : "" }, { "dropping-particle" : "", "family" : "Diclemente", "given" : "Ralph", "non-dropping-particle" : "", "parse-names" : false, "suffix" : "" }, { "dropping-particle" : "", "family" : "Rio", "given" : "Carlos", "non-dropping-particle" : "del", "parse-names" : false, "suffix" : "" }, { "dropping-particle" : "", "family" : "Mulligan", "given" : "Mark", "non-dropping-particle" : "", "parse-names" : false, "suffix" : "" }, { "dropping-particle" : "", "family" : "Sanchez", "given" : "Travis H.", "non-dropping-particle" : "", "parse-names" : false, "suffix" : "" }, { "dropping-particle" : "del", "family" : "Rio", "given" : "Carlos", "non-dropping-particle" : "", "parse-names" : false, "suffix" : "" }, { "dropping-particle" : "", "family" : "Mulligan", "given" : "Mark", "non-dropping-particle" : "", "parse-names" : false, "suffix" : "" }, { "dropping-particle" : "", "family" : "Sanchez", "given" : "Travis H.", "non-dropping-particle" : "", "parse-names" : false, "suffix" : "" } ], "container-title" : "PloS one", "id" : "ITEM-1", "issue" : "3", "issued" : { "date-parts" : [ [ "2014" ] ] }, "page" : "e90514", "title" : "Understanding racial HIV/STI disparities in black and white men who have sex with men: a multilevel approach.", "type" : "article-journal", "volume" : "9" }, "uris" : [ "http://www.mendeley.com/documents/?uuid=f909a718-a65c-4bcd-8deb-f690bff9a20d" ] } ], "mendeley" : { "formattedCitation" : "[23]", "plainTextFormattedCitation" : "[23]", "previouslyFormattedCitation" : "[22]" }, "properties" : { "noteIndex" : 0 }, "schema" : "https://github.com/citation-style-language/schema/raw/master/csl-citation.json" }</w:instrText>
      </w:r>
      <w:r w:rsidR="0065397E" w:rsidRPr="00DD0C44">
        <w:fldChar w:fldCharType="separate"/>
      </w:r>
      <w:r w:rsidR="007176C4" w:rsidRPr="00DD0C44">
        <w:rPr>
          <w:noProof/>
        </w:rPr>
        <w:t>[23]</w:t>
      </w:r>
      <w:r w:rsidR="0065397E" w:rsidRPr="00DD0C44">
        <w:fldChar w:fldCharType="end"/>
      </w:r>
      <w:r w:rsidRPr="00DD0C44">
        <w:t xml:space="preserve">. To that end, we implemented a simulation coefficient to distinguish the level of access to care (at all levels of diagnosis, linkage, and ART initiation) between black and white MSM </w:t>
      </w:r>
      <w:r w:rsidR="0065397E" w:rsidRPr="00DD0C44">
        <w:t xml:space="preserve">in the model, </w:t>
      </w:r>
      <w:r w:rsidRPr="00DD0C44">
        <w:t xml:space="preserve">and tuned this </w:t>
      </w:r>
      <w:r w:rsidR="0065397E" w:rsidRPr="00DD0C44">
        <w:t>parameter</w:t>
      </w:r>
      <w:r w:rsidRPr="00DD0C44">
        <w:t xml:space="preserve"> to calibrate the reported disparity in proportion of HIV prevalence attributable to each race</w:t>
      </w:r>
      <w:r w:rsidR="0065397E" w:rsidRPr="00DD0C44">
        <w:t xml:space="preserve"> </w:t>
      </w:r>
      <w:r w:rsidRPr="00DD0C44">
        <w:t xml:space="preserve">(i.e., ~76% </w:t>
      </w:r>
      <w:r w:rsidR="0065397E" w:rsidRPr="00DD0C44">
        <w:t xml:space="preserve">infection </w:t>
      </w:r>
      <w:r w:rsidRPr="00DD0C44">
        <w:t>in Black MSM and 24% in white MSM)</w:t>
      </w:r>
      <w:r w:rsidR="0065397E" w:rsidRPr="00DD0C44">
        <w:t>.</w:t>
      </w:r>
      <w:r w:rsidR="00EE1AF0" w:rsidRPr="00DD0C44">
        <w:rPr>
          <w:noProof/>
          <w:snapToGrid/>
        </w:rPr>
        <w:t xml:space="preserve"> </w:t>
      </w:r>
    </w:p>
    <w:p w14:paraId="3B12FE3D" w14:textId="405AAB2E" w:rsidR="00EE1AF0" w:rsidRPr="00DD0C44" w:rsidRDefault="0065397E" w:rsidP="00004961">
      <w:r w:rsidRPr="00DD0C44">
        <w:br w:type="page"/>
      </w:r>
    </w:p>
    <w:p w14:paraId="337523CE" w14:textId="77EC8564" w:rsidR="00AB1AD4" w:rsidRPr="00DD0C44" w:rsidRDefault="00D914E2" w:rsidP="00DF5AA6">
      <w:pPr>
        <w:pStyle w:val="Heading1"/>
      </w:pPr>
      <w:r w:rsidRPr="00DD0C44">
        <w:lastRenderedPageBreak/>
        <w:t>RESULTS</w:t>
      </w:r>
    </w:p>
    <w:p w14:paraId="0DD90DE0" w14:textId="0C5FB9D3" w:rsidR="00413D6A" w:rsidRPr="00DD0C44" w:rsidRDefault="0065397E" w:rsidP="00D914E2">
      <w:pPr>
        <w:pStyle w:val="Heading2"/>
      </w:pPr>
      <w:r w:rsidRPr="00DD0C44">
        <w:t>P</w:t>
      </w:r>
      <w:r w:rsidR="00AB1AD4" w:rsidRPr="00DD0C44">
        <w:t>opulation overview</w:t>
      </w:r>
    </w:p>
    <w:p w14:paraId="4F68991C" w14:textId="1A49522E" w:rsidR="0065397E" w:rsidRPr="00DD0C44" w:rsidRDefault="0065397E" w:rsidP="0065397E">
      <w:r w:rsidRPr="00DD0C44">
        <w:t xml:space="preserve">After calibrating to an HIV prevalence of 22% among MSM </w:t>
      </w:r>
      <w:r w:rsidRPr="00DD0C44">
        <w:fldChar w:fldCharType="begin" w:fldLock="1"/>
      </w:r>
      <w:r w:rsidR="00CE02A7" w:rsidRPr="00DD0C44">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"noteIndex" : 0 }, "schema" : "https://github.com/citation-style-language/schema/raw/master/csl-citation.json" }</w:instrText>
      </w:r>
      <w:r w:rsidRPr="00DD0C44">
        <w:fldChar w:fldCharType="separate"/>
      </w:r>
      <w:r w:rsidR="005553F6" w:rsidRPr="00DD0C44">
        <w:rPr>
          <w:noProof/>
        </w:rPr>
        <w:t>[2]</w:t>
      </w:r>
      <w:r w:rsidRPr="00DD0C44">
        <w:fldChar w:fldCharType="end"/>
      </w:r>
      <w:r w:rsidRPr="00DD0C44">
        <w:t xml:space="preserve">, our model projects an HIV incidence of 208.6 cases per 100,000 person year in the absence of PrEP. Young black MSM between ages of 15 to 29 </w:t>
      </w:r>
      <w:proofErr w:type="gramStart"/>
      <w:r w:rsidRPr="00DD0C44">
        <w:t>account</w:t>
      </w:r>
      <w:proofErr w:type="gramEnd"/>
      <w:r w:rsidRPr="00DD0C44">
        <w:t xml:space="preserve"> for 18.5% of the population but 36% of incident HIV infections</w:t>
      </w:r>
      <w:r w:rsidR="00B75E08" w:rsidRPr="00DD0C44">
        <w:t xml:space="preserve"> (</w:t>
      </w:r>
      <w:r w:rsidR="00004961" w:rsidRPr="00DD0C44">
        <w:t xml:space="preserve">Figure </w:t>
      </w:r>
      <w:r w:rsidR="007016E7" w:rsidRPr="00DD0C44">
        <w:t>7</w:t>
      </w:r>
      <w:r w:rsidR="00B75E08" w:rsidRPr="00DD0C44">
        <w:t>)</w:t>
      </w:r>
      <w:r w:rsidRPr="00DD0C44">
        <w:t>. Black MSM account for 80% of HIV incidence in this model, and they have 30-50% lower levels of being diagnosed, in care on ART, and virally su</w:t>
      </w:r>
      <w:r w:rsidR="00B75E08" w:rsidRPr="00DD0C44">
        <w:t>ppressed,</w:t>
      </w:r>
      <w:r w:rsidR="00004961" w:rsidRPr="00DD0C44">
        <w:t xml:space="preserve"> relative to white MSM (Figure </w:t>
      </w:r>
      <w:r w:rsidR="007016E7" w:rsidRPr="00DD0C44">
        <w:t>8</w:t>
      </w:r>
      <w:r w:rsidR="00B75E08" w:rsidRPr="00DD0C44">
        <w:t>)</w:t>
      </w:r>
      <w:r w:rsidRPr="00DD0C44">
        <w:t xml:space="preserve">. </w:t>
      </w:r>
    </w:p>
    <w:p w14:paraId="07BA899A" w14:textId="7205A08A" w:rsidR="00EE1AF0" w:rsidRPr="00DD0C44" w:rsidRDefault="00EE1AF0" w:rsidP="00EE1AF0">
      <w:pPr>
        <w:pStyle w:val="NormalIndent"/>
      </w:pPr>
    </w:p>
    <w:p w14:paraId="467DBF13" w14:textId="29C24A91" w:rsidR="00AB1AD4" w:rsidRPr="00DD0C44" w:rsidRDefault="00AB1AD4" w:rsidP="00AB1AD4">
      <w:pPr>
        <w:keepNext/>
      </w:pPr>
    </w:p>
    <w:p w14:paraId="6C4119CC" w14:textId="1979AAE5" w:rsidR="00B75E08" w:rsidRPr="00DD0C44" w:rsidRDefault="00237303" w:rsidP="00B75E08">
      <w:pPr>
        <w:pStyle w:val="Caption"/>
        <w:keepNext/>
      </w:pPr>
      <w:r w:rsidRPr="00DD0C44">
        <w:rPr>
          <w:noProof/>
          <w:snapToGrid/>
        </w:rPr>
        <w:drawing>
          <wp:inline distT="0" distB="0" distL="0" distR="0" wp14:anchorId="7A999FA2" wp14:editId="65C2CB22">
            <wp:extent cx="5943600" cy="3320626"/>
            <wp:effectExtent l="0" t="0" r="0" b="698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20626"/>
                    </a:xfrm>
                    <a:prstGeom prst="rect">
                      <a:avLst/>
                    </a:prstGeom>
                    <a:noFill/>
                    <a:ln>
                      <a:noFill/>
                    </a:ln>
                  </pic:spPr>
                </pic:pic>
              </a:graphicData>
            </a:graphic>
          </wp:inline>
        </w:drawing>
      </w:r>
    </w:p>
    <w:p w14:paraId="1887A930" w14:textId="43A18760" w:rsidR="00B75E08" w:rsidRPr="00DD0C44" w:rsidRDefault="00B75E08" w:rsidP="00B75E08">
      <w:pPr>
        <w:pStyle w:val="Caption"/>
      </w:pPr>
      <w:r w:rsidRPr="00DD0C44">
        <w:t xml:space="preserve">Figure </w:t>
      </w:r>
      <w:r w:rsidR="007016E7" w:rsidRPr="00DD0C44">
        <w:t>7</w:t>
      </w:r>
      <w:r w:rsidRPr="00DD0C44">
        <w:t xml:space="preserve">: </w:t>
      </w:r>
      <w:r w:rsidR="00D534D0" w:rsidRPr="00DD0C44">
        <w:t>Simulated d</w:t>
      </w:r>
      <w:r w:rsidRPr="00DD0C44">
        <w:t xml:space="preserve">istribution of simulated HIV incidence and prevalence in each age/race. </w:t>
      </w:r>
      <w:r w:rsidRPr="00DD0C44">
        <w:rPr>
          <w:b w:val="0"/>
        </w:rPr>
        <w:t xml:space="preserve">Shown are the mean values of 200 simulations comparing the annual incidence and prevalence of HIV by age and racial composition (black MSM are shown in dark and white MSM are shown in light bars). The </w:t>
      </w:r>
      <w:r w:rsidR="002A374D" w:rsidRPr="00DD0C44">
        <w:rPr>
          <w:b w:val="0"/>
        </w:rPr>
        <w:t>error bars</w:t>
      </w:r>
      <w:r w:rsidRPr="00DD0C44">
        <w:rPr>
          <w:b w:val="0"/>
        </w:rPr>
        <w:t xml:space="preserve"> represent the 90% </w:t>
      </w:r>
      <w:r w:rsidR="002A374D" w:rsidRPr="00DD0C44">
        <w:rPr>
          <w:b w:val="0"/>
        </w:rPr>
        <w:t>uncertainty range</w:t>
      </w:r>
      <w:r w:rsidRPr="00DD0C44">
        <w:rPr>
          <w:b w:val="0"/>
        </w:rPr>
        <w:t xml:space="preserve"> of observations around each simulated measure. Black MSM carry a higher burden of HIV infections (more than 80%), and young black MSM account for the highest ratio of new infections in each year.</w:t>
      </w:r>
    </w:p>
    <w:p w14:paraId="76964E35" w14:textId="77777777" w:rsidR="00AB1AD4" w:rsidRPr="00DD0C44" w:rsidRDefault="00AB1AD4" w:rsidP="00AB1AD4"/>
    <w:p w14:paraId="322CBF80" w14:textId="3CF35536" w:rsidR="00B75E08" w:rsidRPr="00DD0C44" w:rsidRDefault="00237303" w:rsidP="00B75E08">
      <w:pPr>
        <w:keepNext/>
        <w:jc w:val="center"/>
      </w:pPr>
      <w:r w:rsidRPr="00DD0C44">
        <w:rPr>
          <w:noProof/>
          <w:snapToGrid/>
        </w:rPr>
        <w:lastRenderedPageBreak/>
        <w:drawing>
          <wp:inline distT="0" distB="0" distL="0" distR="0" wp14:anchorId="773F6B59" wp14:editId="382B8E2F">
            <wp:extent cx="3009014" cy="3320415"/>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49371"/>
                    <a:stretch/>
                  </pic:blipFill>
                  <pic:spPr bwMode="auto">
                    <a:xfrm>
                      <a:off x="0" y="0"/>
                      <a:ext cx="3009205" cy="3320626"/>
                    </a:xfrm>
                    <a:prstGeom prst="rect">
                      <a:avLst/>
                    </a:prstGeom>
                    <a:noFill/>
                    <a:ln>
                      <a:noFill/>
                    </a:ln>
                    <a:extLst>
                      <a:ext uri="{53640926-AAD7-44d8-BBD7-CCE9431645EC}">
                        <a14:shadowObscured xmlns:a14="http://schemas.microsoft.com/office/drawing/2010/main"/>
                      </a:ext>
                    </a:extLst>
                  </pic:spPr>
                </pic:pic>
              </a:graphicData>
            </a:graphic>
          </wp:inline>
        </w:drawing>
      </w:r>
    </w:p>
    <w:p w14:paraId="7F43341F" w14:textId="10CC7C2B" w:rsidR="00AB1AD4" w:rsidRPr="00DD0C44" w:rsidRDefault="00B75E08" w:rsidP="00B75E08">
      <w:pPr>
        <w:pStyle w:val="Caption"/>
        <w:jc w:val="center"/>
        <w:rPr>
          <w:b w:val="0"/>
        </w:rPr>
      </w:pPr>
      <w:r w:rsidRPr="00DD0C44">
        <w:t xml:space="preserve">Figure </w:t>
      </w:r>
      <w:r w:rsidR="007016E7" w:rsidRPr="00DD0C44">
        <w:t>8</w:t>
      </w:r>
      <w:r w:rsidRPr="00DD0C44">
        <w:t xml:space="preserve">: </w:t>
      </w:r>
      <w:r w:rsidR="00D534D0" w:rsidRPr="00DD0C44">
        <w:t>Simulated d</w:t>
      </w:r>
      <w:r w:rsidRPr="00DD0C44">
        <w:t xml:space="preserve">istribution of HIV continuum of HIV care by race. </w:t>
      </w:r>
      <w:r w:rsidRPr="00DD0C44">
        <w:rPr>
          <w:b w:val="0"/>
        </w:rPr>
        <w:t xml:space="preserve">Shown are the mean values of 200 simulations comparing the HIV continuum of care by racial composition (black MSM are shown in dark and white MSM are shown in light bars). </w:t>
      </w:r>
      <w:r w:rsidR="002A374D" w:rsidRPr="00DD0C44">
        <w:rPr>
          <w:b w:val="0"/>
        </w:rPr>
        <w:t xml:space="preserve">The error bars represent the 90% uncertainty range of </w:t>
      </w:r>
      <w:r w:rsidRPr="00DD0C44">
        <w:rPr>
          <w:b w:val="0"/>
        </w:rPr>
        <w:t>observations around each simulated measure. Black MSM have 30-50% lower levels of being diagnosed, in care on ART, and virally suppressed, relative to white MSM.</w:t>
      </w:r>
    </w:p>
    <w:p w14:paraId="44974713" w14:textId="77777777" w:rsidR="00AB1AD4" w:rsidRPr="00DD0C44" w:rsidRDefault="00AB1AD4" w:rsidP="00AB1AD4"/>
    <w:p w14:paraId="37E500D7" w14:textId="11FADFD9" w:rsidR="00E85DC8" w:rsidRPr="00DD0C44" w:rsidRDefault="00413D6A" w:rsidP="00413D6A">
      <w:pPr>
        <w:pStyle w:val="Heading2"/>
      </w:pPr>
      <w:r w:rsidRPr="00DD0C44">
        <w:t>I</w:t>
      </w:r>
      <w:r w:rsidR="00DF5AA6" w:rsidRPr="00DD0C44">
        <w:t xml:space="preserve">mpact of PrEP on HIV incidence </w:t>
      </w:r>
    </w:p>
    <w:p w14:paraId="33ABC272" w14:textId="534D9EA9" w:rsidR="00413D6A" w:rsidRPr="00DD0C44" w:rsidRDefault="000C7A5E" w:rsidP="000C7A5E">
      <w:pPr>
        <w:jc w:val="left"/>
      </w:pPr>
      <w:r w:rsidRPr="00DD0C44">
        <w:t xml:space="preserve">Figure </w:t>
      </w:r>
      <w:r w:rsidR="007016E7" w:rsidRPr="00DD0C44">
        <w:t>9</w:t>
      </w:r>
      <w:r w:rsidRPr="00DD0C44">
        <w:t xml:space="preserve"> to </w:t>
      </w:r>
      <w:r w:rsidR="00762B5D" w:rsidRPr="00DD0C44">
        <w:t>1</w:t>
      </w:r>
      <w:r w:rsidR="007016E7" w:rsidRPr="00DD0C44">
        <w:t>3</w:t>
      </w:r>
      <w:r w:rsidRPr="00DD0C44">
        <w:t xml:space="preserve"> </w:t>
      </w:r>
      <w:r w:rsidR="00F20FC0" w:rsidRPr="00DD0C44">
        <w:t>show</w:t>
      </w:r>
      <w:r w:rsidRPr="00DD0C44">
        <w:t xml:space="preserve"> the annual impact of PrEP on HIV incidence under each </w:t>
      </w:r>
      <w:r w:rsidR="00F20FC0" w:rsidRPr="00DD0C44">
        <w:t xml:space="preserve">PrEP </w:t>
      </w:r>
      <w:r w:rsidRPr="00DD0C44">
        <w:t>scenario.</w:t>
      </w:r>
      <w:r w:rsidR="00F20FC0" w:rsidRPr="00DD0C44">
        <w:t xml:space="preserve"> Each panel represents the percent reduction in HIV incidence at various levels of population coverage (on the x-axis, with numbers of MSM on PrEP on top and percent of eligible population covered in parentheses) and individual adherence (on the y-axis, modeled as the percentage of days with immunity to HIV infection), at the end of each year during/after a five-year PrEP campaign, compared to a baseline of no PrEP delivery. The program starts at the beginning of year 1, with immediate achievement of full impact, and stops at the end of year 5, with immediate cessation of impact (as seen in the sixth panel). Contour lines are labeled with the percent reduction in HIV incidence achieved.</w:t>
      </w:r>
    </w:p>
    <w:p w14:paraId="0BB03CBC" w14:textId="77777777" w:rsidR="00413D6A" w:rsidRPr="00DD0C44" w:rsidRDefault="00413D6A" w:rsidP="000C7A5E">
      <w:pPr>
        <w:jc w:val="center"/>
        <w:rPr>
          <w:rStyle w:val="Emphasis"/>
        </w:rPr>
      </w:pPr>
    </w:p>
    <w:p w14:paraId="28404018" w14:textId="697DC182" w:rsidR="000C7A5E" w:rsidRPr="00DD0C44" w:rsidRDefault="00DF5AA6" w:rsidP="000C7A5E">
      <w:pPr>
        <w:keepNext/>
        <w:jc w:val="center"/>
      </w:pPr>
      <w:r w:rsidRPr="00DD0C44">
        <w:rPr>
          <w:noProof/>
          <w:snapToGrid/>
        </w:rPr>
        <w:lastRenderedPageBreak/>
        <w:drawing>
          <wp:inline distT="0" distB="0" distL="0" distR="0" wp14:anchorId="731FE7D4" wp14:editId="5C082FC2">
            <wp:extent cx="5943600" cy="3808344"/>
            <wp:effectExtent l="0" t="0" r="0" b="190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08344"/>
                    </a:xfrm>
                    <a:prstGeom prst="rect">
                      <a:avLst/>
                    </a:prstGeom>
                    <a:noFill/>
                    <a:ln>
                      <a:noFill/>
                    </a:ln>
                  </pic:spPr>
                </pic:pic>
              </a:graphicData>
            </a:graphic>
          </wp:inline>
        </w:drawing>
      </w:r>
    </w:p>
    <w:p w14:paraId="0316B19F" w14:textId="4CE64839" w:rsidR="00413D6A" w:rsidRPr="00DD0C44" w:rsidRDefault="000C7A5E" w:rsidP="000C7A5E">
      <w:pPr>
        <w:pStyle w:val="Caption"/>
        <w:jc w:val="center"/>
      </w:pPr>
      <w:r w:rsidRPr="00DD0C44">
        <w:t xml:space="preserve">Figure </w:t>
      </w:r>
      <w:r w:rsidR="007016E7" w:rsidRPr="00DD0C44">
        <w:t>9</w:t>
      </w:r>
      <w:r w:rsidRPr="00DD0C44">
        <w:t xml:space="preserve">: Annual impact of PrEP on HIV incidence under scenario 1. </w:t>
      </w:r>
      <w:r w:rsidRPr="00DD0C44">
        <w:rPr>
          <w:b w:val="0"/>
        </w:rPr>
        <w:t>This scenario assumes universal administration of PrEP to all HIV-negative individuals.</w:t>
      </w:r>
    </w:p>
    <w:p w14:paraId="04D43748" w14:textId="709A9680" w:rsidR="000C7A5E" w:rsidRPr="00DD0C44" w:rsidRDefault="00DF5AA6" w:rsidP="000C7A5E">
      <w:pPr>
        <w:keepNext/>
        <w:jc w:val="center"/>
        <w:rPr>
          <w:b/>
        </w:rPr>
      </w:pPr>
      <w:r w:rsidRPr="00DD0C44">
        <w:rPr>
          <w:b/>
          <w:noProof/>
          <w:snapToGrid/>
        </w:rPr>
        <w:lastRenderedPageBreak/>
        <w:drawing>
          <wp:inline distT="0" distB="0" distL="0" distR="0" wp14:anchorId="5C82B889" wp14:editId="7AA11100">
            <wp:extent cx="5943600" cy="3808344"/>
            <wp:effectExtent l="0" t="0" r="0" b="1905"/>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08344"/>
                    </a:xfrm>
                    <a:prstGeom prst="rect">
                      <a:avLst/>
                    </a:prstGeom>
                    <a:noFill/>
                    <a:ln>
                      <a:noFill/>
                    </a:ln>
                  </pic:spPr>
                </pic:pic>
              </a:graphicData>
            </a:graphic>
          </wp:inline>
        </w:drawing>
      </w:r>
    </w:p>
    <w:p w14:paraId="6B69809F" w14:textId="3AFC1553" w:rsidR="000C7A5E" w:rsidRPr="00DD0C44" w:rsidRDefault="000C7A5E" w:rsidP="000C7A5E">
      <w:pPr>
        <w:pStyle w:val="Caption"/>
        <w:jc w:val="center"/>
        <w:rPr>
          <w:b w:val="0"/>
        </w:rPr>
      </w:pPr>
      <w:r w:rsidRPr="00DD0C44">
        <w:t xml:space="preserve">Figure </w:t>
      </w:r>
      <w:r w:rsidR="007016E7" w:rsidRPr="00DD0C44">
        <w:t>10</w:t>
      </w:r>
      <w:r w:rsidRPr="00DD0C44">
        <w:t xml:space="preserve">: Annual impact of PrEP on HIV incidence under scenario 2. </w:t>
      </w:r>
      <w:r w:rsidRPr="00DD0C44">
        <w:rPr>
          <w:b w:val="0"/>
        </w:rPr>
        <w:t>This scenario models administration of PrEP to all HIV-negative individuals reporting more than one sexual partner in the last 12 months.</w:t>
      </w:r>
    </w:p>
    <w:p w14:paraId="5A8E8A62" w14:textId="77777777" w:rsidR="000C7A5E" w:rsidRPr="00DD0C44" w:rsidRDefault="000C7A5E" w:rsidP="000C7A5E">
      <w:pPr>
        <w:jc w:val="center"/>
      </w:pPr>
    </w:p>
    <w:p w14:paraId="04032135" w14:textId="2028F356" w:rsidR="000C7A5E" w:rsidRPr="00DD0C44" w:rsidRDefault="00DF5AA6" w:rsidP="00EF641B">
      <w:pPr>
        <w:pStyle w:val="NormalIndent"/>
        <w:keepNext/>
        <w:ind w:left="0"/>
        <w:jc w:val="center"/>
        <w:rPr>
          <w:b/>
        </w:rPr>
      </w:pPr>
      <w:r w:rsidRPr="00DD0C44">
        <w:rPr>
          <w:b/>
          <w:noProof/>
          <w:snapToGrid/>
        </w:rPr>
        <w:lastRenderedPageBreak/>
        <w:drawing>
          <wp:inline distT="0" distB="0" distL="0" distR="0" wp14:anchorId="2AC7F141" wp14:editId="4204D180">
            <wp:extent cx="5943600" cy="3808344"/>
            <wp:effectExtent l="0" t="0" r="0" b="190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08344"/>
                    </a:xfrm>
                    <a:prstGeom prst="rect">
                      <a:avLst/>
                    </a:prstGeom>
                    <a:noFill/>
                    <a:ln>
                      <a:noFill/>
                    </a:ln>
                  </pic:spPr>
                </pic:pic>
              </a:graphicData>
            </a:graphic>
          </wp:inline>
        </w:drawing>
      </w:r>
    </w:p>
    <w:p w14:paraId="295FBC3A" w14:textId="431BB596" w:rsidR="000C7A5E" w:rsidRPr="00DD0C44" w:rsidRDefault="000C7A5E" w:rsidP="000C7A5E">
      <w:pPr>
        <w:pStyle w:val="Caption"/>
        <w:jc w:val="center"/>
      </w:pPr>
      <w:r w:rsidRPr="00DD0C44">
        <w:t xml:space="preserve">Figure </w:t>
      </w:r>
      <w:r w:rsidR="007F3F5D" w:rsidRPr="00DD0C44">
        <w:t>11</w:t>
      </w:r>
      <w:r w:rsidRPr="00DD0C44">
        <w:t xml:space="preserve">: Annual impact of PrEP on HIV incidence under scenario </w:t>
      </w:r>
      <w:r w:rsidR="00EF641B" w:rsidRPr="00DD0C44">
        <w:t>3</w:t>
      </w:r>
      <w:r w:rsidRPr="00DD0C44">
        <w:t xml:space="preserve">. </w:t>
      </w:r>
      <w:r w:rsidRPr="00DD0C44">
        <w:rPr>
          <w:b w:val="0"/>
        </w:rPr>
        <w:t>This scenario models administration of PrEP to all HIV-negative individuals reporting more than five sexual partner in the last 12 months</w:t>
      </w:r>
    </w:p>
    <w:p w14:paraId="3B16306D" w14:textId="77777777" w:rsidR="000C7A5E" w:rsidRPr="00DD0C44" w:rsidRDefault="000C7A5E" w:rsidP="000C7A5E">
      <w:pPr>
        <w:jc w:val="center"/>
      </w:pPr>
    </w:p>
    <w:p w14:paraId="3E8B8835" w14:textId="5D09A247" w:rsidR="000C7A5E" w:rsidRPr="00DD0C44" w:rsidRDefault="00DF5AA6" w:rsidP="00EF641B">
      <w:pPr>
        <w:pStyle w:val="NormalIndent"/>
        <w:keepNext/>
        <w:ind w:left="0"/>
        <w:jc w:val="center"/>
      </w:pPr>
      <w:r w:rsidRPr="00DD0C44">
        <w:rPr>
          <w:noProof/>
        </w:rPr>
        <w:lastRenderedPageBreak/>
        <w:drawing>
          <wp:inline distT="0" distB="0" distL="0" distR="0" wp14:anchorId="55A36D96" wp14:editId="4E4D46E3">
            <wp:extent cx="5943600" cy="3808095"/>
            <wp:effectExtent l="0" t="0" r="0" b="1905"/>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08095"/>
                    </a:xfrm>
                    <a:prstGeom prst="rect">
                      <a:avLst/>
                    </a:prstGeom>
                    <a:noFill/>
                    <a:ln>
                      <a:noFill/>
                    </a:ln>
                  </pic:spPr>
                </pic:pic>
              </a:graphicData>
            </a:graphic>
          </wp:inline>
        </w:drawing>
      </w:r>
    </w:p>
    <w:p w14:paraId="5D4C923F" w14:textId="5E49982E" w:rsidR="000C7A5E" w:rsidRPr="00DD0C44" w:rsidRDefault="000C7A5E" w:rsidP="000C7A5E">
      <w:pPr>
        <w:pStyle w:val="Caption"/>
        <w:jc w:val="center"/>
      </w:pPr>
      <w:r w:rsidRPr="00DD0C44">
        <w:t xml:space="preserve">Figure </w:t>
      </w:r>
      <w:r w:rsidR="007016E7" w:rsidRPr="00DD0C44">
        <w:t>12</w:t>
      </w:r>
      <w:r w:rsidRPr="00DD0C44">
        <w:t xml:space="preserve">: Annual impact of PrEP on HIV incidence under scenario 4. </w:t>
      </w:r>
      <w:r w:rsidRPr="00DD0C44">
        <w:rPr>
          <w:b w:val="0"/>
        </w:rPr>
        <w:t>This scenario models administration of PrEP to all HIV-negative young MSM between the age of 15 and 29.</w:t>
      </w:r>
    </w:p>
    <w:p w14:paraId="4A46BEF5" w14:textId="1AF0397D" w:rsidR="000C7A5E" w:rsidRPr="00DD0C44" w:rsidRDefault="00DF5AA6" w:rsidP="000C7A5E">
      <w:pPr>
        <w:keepNext/>
        <w:jc w:val="center"/>
      </w:pPr>
      <w:r w:rsidRPr="00DD0C44">
        <w:rPr>
          <w:noProof/>
        </w:rPr>
        <w:lastRenderedPageBreak/>
        <w:drawing>
          <wp:inline distT="0" distB="0" distL="0" distR="0" wp14:anchorId="0CDA2A42" wp14:editId="4C237263">
            <wp:extent cx="5943600" cy="3808095"/>
            <wp:effectExtent l="0" t="0" r="0" b="1905"/>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08095"/>
                    </a:xfrm>
                    <a:prstGeom prst="rect">
                      <a:avLst/>
                    </a:prstGeom>
                    <a:noFill/>
                    <a:ln>
                      <a:noFill/>
                    </a:ln>
                  </pic:spPr>
                </pic:pic>
              </a:graphicData>
            </a:graphic>
          </wp:inline>
        </w:drawing>
      </w:r>
    </w:p>
    <w:p w14:paraId="3312FCDE" w14:textId="3918660D" w:rsidR="000C7A5E" w:rsidRPr="00DD0C44" w:rsidRDefault="000C7A5E" w:rsidP="000C7A5E">
      <w:pPr>
        <w:pStyle w:val="Caption"/>
        <w:jc w:val="center"/>
      </w:pPr>
      <w:r w:rsidRPr="00DD0C44">
        <w:t>Figur</w:t>
      </w:r>
      <w:r w:rsidR="007F3F5D" w:rsidRPr="00DD0C44">
        <w:t>e 13</w:t>
      </w:r>
      <w:r w:rsidRPr="00DD0C44">
        <w:t xml:space="preserve">: Annual impact of PrEP on HIV incidence under scenario 5. </w:t>
      </w:r>
      <w:r w:rsidRPr="00DD0C44">
        <w:rPr>
          <w:b w:val="0"/>
        </w:rPr>
        <w:t>This scenario models administration of PrEP to all HIV-negative young black MSM between the age of 15 and 29.</w:t>
      </w:r>
    </w:p>
    <w:p w14:paraId="28903899" w14:textId="77777777" w:rsidR="000C7A5E" w:rsidRPr="00DD0C44" w:rsidRDefault="000C7A5E" w:rsidP="000C7A5E">
      <w:pPr>
        <w:pStyle w:val="NormalIndent"/>
        <w:jc w:val="center"/>
      </w:pPr>
    </w:p>
    <w:p w14:paraId="0F3738D3" w14:textId="77777777" w:rsidR="00923A2A" w:rsidRPr="00DD0C44" w:rsidRDefault="00AC730B" w:rsidP="00DF5AA6">
      <w:pPr>
        <w:pStyle w:val="Heading2"/>
      </w:pPr>
      <w:r w:rsidRPr="00DD0C44">
        <w:t>Impact of PREP under various program duration</w:t>
      </w:r>
    </w:p>
    <w:p w14:paraId="606A3709" w14:textId="1DE477CD" w:rsidR="00DF5AA6" w:rsidRPr="00DD0C44" w:rsidRDefault="00DF5AA6" w:rsidP="00923A2A">
      <w:r w:rsidRPr="00DD0C44">
        <w:t xml:space="preserve">In the initial analysis, we considered a short term program for provision of PrEP in 5 </w:t>
      </w:r>
      <w:r w:rsidR="0074788E" w:rsidRPr="00DD0C44">
        <w:t>consecutive</w:t>
      </w:r>
      <w:r w:rsidRPr="00DD0C44">
        <w:t xml:space="preserve"> years. We further increase the length of this program to assess the impact on HIV incidence and prevalence over</w:t>
      </w:r>
      <w:r w:rsidR="0074788E" w:rsidRPr="00DD0C44">
        <w:t xml:space="preserve"> </w:t>
      </w:r>
      <w:r w:rsidRPr="00DD0C44">
        <w:t xml:space="preserve">time. </w:t>
      </w:r>
      <w:r w:rsidR="0074788E" w:rsidRPr="00DD0C44">
        <w:t xml:space="preserve">For this experiment, we consider a program for provision of PrEP to high-risk MSM reporting more than one partner in the last year (according to scenario 2), assuming no capacity constraint on the number of individuals receiving PrEP in each year and 80% adherence to treatment. </w:t>
      </w:r>
      <w:r w:rsidRPr="00DD0C44">
        <w:t xml:space="preserve">Figure </w:t>
      </w:r>
      <w:r w:rsidR="00004961" w:rsidRPr="00DD0C44">
        <w:t>1</w:t>
      </w:r>
      <w:r w:rsidR="007016E7" w:rsidRPr="00DD0C44">
        <w:t>4</w:t>
      </w:r>
      <w:r w:rsidR="0074788E" w:rsidRPr="00DD0C44">
        <w:t xml:space="preserve">, panel </w:t>
      </w:r>
      <w:proofErr w:type="gramStart"/>
      <w:r w:rsidR="0074788E" w:rsidRPr="00DD0C44">
        <w:t>A</w:t>
      </w:r>
      <w:proofErr w:type="gramEnd"/>
      <w:r w:rsidR="0074788E" w:rsidRPr="00DD0C44">
        <w:t>, compare the annual % reduction in HIV incidence and prevalence over the 20 years of implementing PrEP</w:t>
      </w:r>
      <w:r w:rsidRPr="00DD0C44">
        <w:t xml:space="preserve"> </w:t>
      </w:r>
      <w:r w:rsidR="0074788E" w:rsidRPr="00DD0C44">
        <w:t xml:space="preserve">according to this program. Despite fast reduction in the level of HIV incidence after the </w:t>
      </w:r>
      <w:proofErr w:type="gramStart"/>
      <w:r w:rsidR="0074788E" w:rsidRPr="00DD0C44">
        <w:t>beginning  of</w:t>
      </w:r>
      <w:proofErr w:type="gramEnd"/>
      <w:r w:rsidR="0074788E" w:rsidRPr="00DD0C44">
        <w:t xml:space="preserve"> PrEP, the impact on HIV prevalence is slower to achieve and requires a long and sustained effort over time. Figure 1</w:t>
      </w:r>
      <w:r w:rsidR="007016E7" w:rsidRPr="00DD0C44">
        <w:t>4</w:t>
      </w:r>
      <w:r w:rsidR="0074788E" w:rsidRPr="00DD0C44">
        <w:t xml:space="preserve">, panel B, </w:t>
      </w:r>
      <w:proofErr w:type="gramStart"/>
      <w:r w:rsidR="0074788E" w:rsidRPr="00DD0C44">
        <w:t>shows compares</w:t>
      </w:r>
      <w:proofErr w:type="gramEnd"/>
      <w:r w:rsidR="0074788E" w:rsidRPr="00DD0C44">
        <w:t xml:space="preserve"> the impact of program duration (e.g., set to 5, 10, 15 and 20) on sustainability of impact on HIV incidence after the end of programs when all individuals are taken off PrEP. Short-term provision of PrEP (e.g., a 5 year program) </w:t>
      </w:r>
      <w:r w:rsidR="002A374D" w:rsidRPr="00DD0C44">
        <w:t>did</w:t>
      </w:r>
      <w:r w:rsidR="0074788E" w:rsidRPr="00DD0C44">
        <w:t xml:space="preserve"> not provide significant improvements in the level of HIV prevalence and as such, </w:t>
      </w:r>
      <w:r w:rsidR="002A374D" w:rsidRPr="00DD0C44">
        <w:t>it didn’t</w:t>
      </w:r>
      <w:r w:rsidR="0074788E" w:rsidRPr="00DD0C44">
        <w:t xml:space="preserve"> provide a sustained improvement in the level of HIV incidence once the program is ended. In contrast, long-term programs achieving at least 20% improvement in the underlying prevalence of HIV over years continue</w:t>
      </w:r>
      <w:r w:rsidR="002A374D" w:rsidRPr="00DD0C44">
        <w:t>d</w:t>
      </w:r>
      <w:r w:rsidR="0074788E" w:rsidRPr="00DD0C44">
        <w:t xml:space="preserve"> to control the level of HIV incidence at a reduced level (relative to reduction in prevalence) after the end of PrEP (e.g., as seen for a 15 year program in Figure 1</w:t>
      </w:r>
      <w:r w:rsidR="007016E7" w:rsidRPr="00DD0C44">
        <w:t>4</w:t>
      </w:r>
      <w:r w:rsidR="0074788E" w:rsidRPr="00DD0C44">
        <w:t>).</w:t>
      </w:r>
    </w:p>
    <w:p w14:paraId="79286D99" w14:textId="52E805D8" w:rsidR="00AC730B" w:rsidRPr="00DD0C44" w:rsidRDefault="00145855" w:rsidP="00AC730B">
      <w:pPr>
        <w:keepNext/>
        <w:jc w:val="center"/>
      </w:pPr>
      <w:r w:rsidRPr="00DD0C44">
        <w:rPr>
          <w:noProof/>
          <w:snapToGrid/>
        </w:rPr>
        <w:lastRenderedPageBreak/>
        <w:drawing>
          <wp:inline distT="0" distB="0" distL="0" distR="0" wp14:anchorId="6A5F8ED4" wp14:editId="492C4F7D">
            <wp:extent cx="5943600" cy="4096359"/>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96359"/>
                    </a:xfrm>
                    <a:prstGeom prst="rect">
                      <a:avLst/>
                    </a:prstGeom>
                    <a:noFill/>
                    <a:ln>
                      <a:noFill/>
                    </a:ln>
                  </pic:spPr>
                </pic:pic>
              </a:graphicData>
            </a:graphic>
          </wp:inline>
        </w:drawing>
      </w:r>
    </w:p>
    <w:p w14:paraId="29833D43" w14:textId="11498E9F" w:rsidR="00AC730B" w:rsidRPr="00DD0C44" w:rsidRDefault="00AC730B" w:rsidP="0074788E">
      <w:pPr>
        <w:pStyle w:val="Caption"/>
        <w:jc w:val="center"/>
        <w:rPr>
          <w:b w:val="0"/>
        </w:rPr>
      </w:pPr>
      <w:r w:rsidRPr="00DD0C44">
        <w:t xml:space="preserve">Figure </w:t>
      </w:r>
      <w:r w:rsidR="007F3F5D" w:rsidRPr="00DD0C44">
        <w:t>14</w:t>
      </w:r>
      <w:r w:rsidRPr="00DD0C44">
        <w:t xml:space="preserve">: Annual impact of PrEP on HIV incidence </w:t>
      </w:r>
      <w:r w:rsidR="0074788E" w:rsidRPr="00DD0C44">
        <w:t xml:space="preserve">and prevalence </w:t>
      </w:r>
      <w:r w:rsidRPr="00DD0C44">
        <w:t>under scenario 2, assuming no</w:t>
      </w:r>
      <w:r w:rsidR="0074788E" w:rsidRPr="00DD0C44">
        <w:t xml:space="preserve"> capacity constrains and 80% adherence to treatment. </w:t>
      </w:r>
      <w:r w:rsidR="0074788E" w:rsidRPr="00DD0C44">
        <w:rPr>
          <w:b w:val="0"/>
        </w:rPr>
        <w:t xml:space="preserve">The shaded areas represent 95% confidence interval around the mean value of 200 simulations. </w:t>
      </w:r>
    </w:p>
    <w:p w14:paraId="6376DEAE" w14:textId="779C04B8" w:rsidR="00F769F8" w:rsidRPr="00DD0C44" w:rsidRDefault="00F769F8" w:rsidP="00923A2A">
      <w:r w:rsidRPr="00DD0C44">
        <w:br w:type="page"/>
      </w:r>
    </w:p>
    <w:p w14:paraId="376E0F10" w14:textId="1444BB59" w:rsidR="00D56DB2" w:rsidRPr="00DD0C44" w:rsidRDefault="00F769F8" w:rsidP="00923A2A">
      <w:pPr>
        <w:pStyle w:val="Heading1"/>
      </w:pPr>
      <w:r w:rsidRPr="00DD0C44">
        <w:lastRenderedPageBreak/>
        <w:t>Sensitivity analysis</w:t>
      </w:r>
    </w:p>
    <w:p w14:paraId="271D0041" w14:textId="6DBF14B9" w:rsidR="002458EE" w:rsidRPr="00DD0C44" w:rsidRDefault="00E53888" w:rsidP="00F769F8">
      <w:pPr>
        <w:pStyle w:val="Heading2"/>
      </w:pPr>
      <w:r w:rsidRPr="00DD0C44">
        <w:t>Analysis design</w:t>
      </w:r>
    </w:p>
    <w:p w14:paraId="5EA24A4F" w14:textId="756F3E4F" w:rsidR="001B4BCD" w:rsidRPr="00DD0C44" w:rsidRDefault="005C6D3C" w:rsidP="00D56DB2">
      <w:pPr>
        <w:pStyle w:val="NormalIndent"/>
        <w:ind w:left="0"/>
      </w:pPr>
      <w:r w:rsidRPr="00DD0C44">
        <w:t xml:space="preserve">One-way sensitivity analysis of simulation results </w:t>
      </w:r>
      <w:r w:rsidR="002A374D" w:rsidRPr="00DD0C44">
        <w:t>was</w:t>
      </w:r>
      <w:r w:rsidRPr="00DD0C44">
        <w:t xml:space="preserve"> performed with regard to all model parameters (listed in Table </w:t>
      </w:r>
      <w:r w:rsidR="003A612C" w:rsidRPr="00DD0C44">
        <w:t>3</w:t>
      </w:r>
      <w:r w:rsidRPr="00DD0C44">
        <w:t xml:space="preserve">), </w:t>
      </w:r>
      <w:r w:rsidR="00145855" w:rsidRPr="00DD0C44">
        <w:t xml:space="preserve">including all the </w:t>
      </w:r>
      <w:r w:rsidR="00D56DB2" w:rsidRPr="00DD0C44">
        <w:t xml:space="preserve">fixed- </w:t>
      </w:r>
      <w:r w:rsidRPr="00DD0C44">
        <w:t>(</w:t>
      </w:r>
      <w:r w:rsidR="00D56DB2" w:rsidRPr="00DD0C44">
        <w:t>values set to the best estimate from the literature</w:t>
      </w:r>
      <w:r w:rsidRPr="00DD0C44">
        <w:t>)</w:t>
      </w:r>
      <w:r w:rsidR="00120C48" w:rsidRPr="00DD0C44">
        <w:t xml:space="preserve"> and</w:t>
      </w:r>
      <w:r w:rsidR="00D56DB2" w:rsidRPr="00DD0C44">
        <w:t xml:space="preserve"> </w:t>
      </w:r>
      <w:r w:rsidR="00145855" w:rsidRPr="00DD0C44">
        <w:t>variable</w:t>
      </w:r>
      <w:r w:rsidR="00D56DB2" w:rsidRPr="00DD0C44">
        <w:t>-</w:t>
      </w:r>
      <w:r w:rsidR="00145855" w:rsidRPr="00DD0C44">
        <w:t>inputs</w:t>
      </w:r>
      <w:r w:rsidRPr="00DD0C44">
        <w:t xml:space="preserve"> (</w:t>
      </w:r>
      <w:r w:rsidR="00D56DB2" w:rsidRPr="00DD0C44">
        <w:t>tuned to meet the calibration targets</w:t>
      </w:r>
      <w:r w:rsidRPr="00DD0C44">
        <w:t>)</w:t>
      </w:r>
      <w:r w:rsidR="00D56DB2" w:rsidRPr="00DD0C44">
        <w:t>.</w:t>
      </w:r>
      <w:r w:rsidR="00E50576" w:rsidRPr="00DD0C44">
        <w:t xml:space="preserve"> The main output</w:t>
      </w:r>
      <w:r w:rsidR="00E53888" w:rsidRPr="00DD0C44">
        <w:t>s</w:t>
      </w:r>
      <w:r w:rsidR="00E50576" w:rsidRPr="00DD0C44">
        <w:t xml:space="preserve"> of interest </w:t>
      </w:r>
      <w:r w:rsidR="00E53888" w:rsidRPr="00DD0C44">
        <w:t xml:space="preserve">were </w:t>
      </w:r>
      <w:r w:rsidR="001B4BCD" w:rsidRPr="00DD0C44">
        <w:t xml:space="preserve">a) </w:t>
      </w:r>
      <w:r w:rsidR="00E53888" w:rsidRPr="00DD0C44">
        <w:t>the underlying level of HIV incidence in the absence of PrEP, and</w:t>
      </w:r>
      <w:r w:rsidR="00E50576" w:rsidRPr="00DD0C44">
        <w:t xml:space="preserve"> </w:t>
      </w:r>
      <w:r w:rsidR="001B4BCD" w:rsidRPr="00DD0C44">
        <w:t xml:space="preserve">b) </w:t>
      </w:r>
      <w:r w:rsidR="00E53888" w:rsidRPr="00DD0C44">
        <w:t xml:space="preserve">the </w:t>
      </w:r>
      <w:r w:rsidR="00E50576" w:rsidRPr="00DD0C44">
        <w:t xml:space="preserve">percent reduction in HIV incidence after </w:t>
      </w:r>
      <w:r w:rsidR="00E53888" w:rsidRPr="00DD0C44">
        <w:t>ten</w:t>
      </w:r>
      <w:r w:rsidR="00E50576" w:rsidRPr="00DD0C44">
        <w:t xml:space="preserve"> years of universal PrEP implementation (Scenario1). </w:t>
      </w:r>
      <w:r w:rsidR="00145855" w:rsidRPr="00DD0C44">
        <w:t>For this purpose, w</w:t>
      </w:r>
      <w:r w:rsidR="00D56DB2" w:rsidRPr="00DD0C44">
        <w:t xml:space="preserve">e </w:t>
      </w:r>
      <w:r w:rsidR="00E50576" w:rsidRPr="00DD0C44">
        <w:t>s</w:t>
      </w:r>
      <w:r w:rsidR="001E3DAE" w:rsidRPr="00DD0C44">
        <w:t>tarted the analysis by running each</w:t>
      </w:r>
      <w:r w:rsidR="00E50576" w:rsidRPr="00DD0C44">
        <w:t xml:space="preserve"> model </w:t>
      </w:r>
      <w:r w:rsidR="001E3DAE" w:rsidRPr="00DD0C44">
        <w:t>for 200 years to reach the</w:t>
      </w:r>
      <w:r w:rsidR="00E50576" w:rsidRPr="00DD0C44">
        <w:t xml:space="preserve"> </w:t>
      </w:r>
      <w:r w:rsidR="00A46BB3" w:rsidRPr="00DD0C44">
        <w:t>steady state</w:t>
      </w:r>
      <w:r w:rsidR="00E50576" w:rsidRPr="00DD0C44">
        <w:t xml:space="preserve">, and then </w:t>
      </w:r>
      <w:r w:rsidR="00D56DB2" w:rsidRPr="00DD0C44">
        <w:t>change</w:t>
      </w:r>
      <w:r w:rsidR="002A374D" w:rsidRPr="00DD0C44">
        <w:t>d</w:t>
      </w:r>
      <w:r w:rsidR="00D56DB2" w:rsidRPr="00DD0C44">
        <w:t xml:space="preserve"> </w:t>
      </w:r>
      <w:r w:rsidRPr="00DD0C44">
        <w:t>each</w:t>
      </w:r>
      <w:r w:rsidR="00D56DB2" w:rsidRPr="00DD0C44">
        <w:t xml:space="preserve"> </w:t>
      </w:r>
      <w:r w:rsidR="00E50576" w:rsidRPr="00DD0C44">
        <w:t xml:space="preserve">simulation </w:t>
      </w:r>
      <w:r w:rsidR="00D914E2" w:rsidRPr="00DD0C44">
        <w:t>parameter</w:t>
      </w:r>
      <w:r w:rsidR="00D56DB2" w:rsidRPr="00DD0C44">
        <w:t xml:space="preserve"> to +/- 25% of </w:t>
      </w:r>
      <w:r w:rsidR="00E50576" w:rsidRPr="00DD0C44">
        <w:t xml:space="preserve">its </w:t>
      </w:r>
      <w:r w:rsidR="00D56DB2" w:rsidRPr="00DD0C44">
        <w:t xml:space="preserve">original values </w:t>
      </w:r>
      <w:r w:rsidR="00E50576" w:rsidRPr="00DD0C44">
        <w:t xml:space="preserve">while </w:t>
      </w:r>
      <w:r w:rsidR="00D56DB2" w:rsidRPr="00DD0C44">
        <w:t>keeping all others fixed at the original value</w:t>
      </w:r>
      <w:r w:rsidR="00E50576" w:rsidRPr="00DD0C44">
        <w:t xml:space="preserve">. The new model was </w:t>
      </w:r>
      <w:r w:rsidR="00A46BB3" w:rsidRPr="00DD0C44">
        <w:t>run</w:t>
      </w:r>
      <w:r w:rsidR="00E50576" w:rsidRPr="00DD0C44">
        <w:t xml:space="preserve"> for another 20 years to insure that the parameter change is in effect</w:t>
      </w:r>
      <w:r w:rsidR="001B4BCD" w:rsidRPr="00DD0C44">
        <w:t xml:space="preserve"> before staring the sensitivity analysis</w:t>
      </w:r>
      <w:r w:rsidR="00E50576" w:rsidRPr="00DD0C44">
        <w:t>.</w:t>
      </w:r>
    </w:p>
    <w:p w14:paraId="74D10110" w14:textId="77777777" w:rsidR="001B4BCD" w:rsidRPr="00DD0C44" w:rsidRDefault="001B4BCD" w:rsidP="00D56DB2">
      <w:pPr>
        <w:pStyle w:val="NormalIndent"/>
        <w:ind w:left="0"/>
      </w:pPr>
    </w:p>
    <w:p w14:paraId="47846533" w14:textId="77777777" w:rsidR="001B4BCD" w:rsidRPr="00DD0C44" w:rsidRDefault="001B4BCD" w:rsidP="001B4BCD">
      <w:pPr>
        <w:pStyle w:val="Caption"/>
        <w:keepNext/>
        <w:rPr>
          <w:b w:val="0"/>
        </w:rPr>
      </w:pPr>
      <w:r w:rsidRPr="00DD0C44">
        <w:t xml:space="preserve">Table </w:t>
      </w:r>
      <w:fldSimple w:instr=" SEQ Table \* ARABIC ">
        <w:r w:rsidRPr="00DD0C44">
          <w:rPr>
            <w:noProof/>
          </w:rPr>
          <w:t>3</w:t>
        </w:r>
      </w:fldSimple>
      <w:r w:rsidRPr="00DD0C44">
        <w:t xml:space="preserve">: List of all (fixed and variable) model parameters. </w:t>
      </w:r>
      <w:r w:rsidRPr="00DD0C44">
        <w:rPr>
          <w:b w:val="0"/>
        </w:rPr>
        <w:t>The Fixed parameters are calibrated to best available estimates from the literature. The variable parameters are tuned to calibrate simulation outputs.</w:t>
      </w:r>
    </w:p>
    <w:tbl>
      <w:tblPr>
        <w:tblStyle w:val="LightList"/>
        <w:tblW w:w="9562" w:type="dxa"/>
        <w:tblLayout w:type="fixed"/>
        <w:tblLook w:val="04A0" w:firstRow="1" w:lastRow="0" w:firstColumn="1" w:lastColumn="0" w:noHBand="0" w:noVBand="1"/>
      </w:tblPr>
      <w:tblGrid>
        <w:gridCol w:w="509"/>
        <w:gridCol w:w="2029"/>
        <w:gridCol w:w="3150"/>
        <w:gridCol w:w="2160"/>
        <w:gridCol w:w="1714"/>
      </w:tblGrid>
      <w:tr w:rsidR="001B4BCD" w:rsidRPr="00DD0C44" w14:paraId="12E60811" w14:textId="77777777" w:rsidTr="001B4BC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09" w:type="dxa"/>
          </w:tcPr>
          <w:p w14:paraId="3D2B3F7A" w14:textId="77777777" w:rsidR="001B4BCD" w:rsidRPr="00DD0C44" w:rsidRDefault="001B4BCD" w:rsidP="001B4BCD">
            <w:pPr>
              <w:pStyle w:val="NoSpacing"/>
              <w:jc w:val="left"/>
              <w:rPr>
                <w:rFonts w:ascii="Calibri" w:hAnsi="Calibri"/>
                <w:bCs w:val="0"/>
              </w:rPr>
            </w:pPr>
            <w:r w:rsidRPr="00DD0C44">
              <w:rPr>
                <w:rFonts w:ascii="Calibri" w:hAnsi="Calibri"/>
                <w:bCs w:val="0"/>
              </w:rPr>
              <w:t>ID</w:t>
            </w:r>
          </w:p>
        </w:tc>
        <w:tc>
          <w:tcPr>
            <w:tcW w:w="2029" w:type="dxa"/>
          </w:tcPr>
          <w:p w14:paraId="3F2EFF04" w14:textId="77777777" w:rsidR="001B4BCD" w:rsidRPr="00DD0C44" w:rsidRDefault="001B4BCD" w:rsidP="001B4BCD">
            <w:pPr>
              <w:pStyle w:val="NoSpacing"/>
              <w:jc w:val="left"/>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DD0C44">
              <w:rPr>
                <w:rFonts w:ascii="Calibri" w:hAnsi="Calibri"/>
                <w:bCs w:val="0"/>
              </w:rPr>
              <w:t>Name</w:t>
            </w:r>
          </w:p>
        </w:tc>
        <w:tc>
          <w:tcPr>
            <w:tcW w:w="3150" w:type="dxa"/>
          </w:tcPr>
          <w:p w14:paraId="08FA122D" w14:textId="77777777" w:rsidR="001B4BCD" w:rsidRPr="00DD0C44" w:rsidRDefault="001B4BCD" w:rsidP="001B4BCD">
            <w:pPr>
              <w:pStyle w:val="NoSpacing"/>
              <w:jc w:val="left"/>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DD0C44">
              <w:rPr>
                <w:rFonts w:ascii="Calibri" w:hAnsi="Calibri"/>
                <w:bCs w:val="0"/>
              </w:rPr>
              <w:t>Description</w:t>
            </w:r>
          </w:p>
        </w:tc>
        <w:tc>
          <w:tcPr>
            <w:tcW w:w="2160" w:type="dxa"/>
          </w:tcPr>
          <w:p w14:paraId="7C97F407" w14:textId="77777777" w:rsidR="001B4BCD" w:rsidRPr="00DD0C44" w:rsidRDefault="001B4BCD" w:rsidP="001B4BCD">
            <w:pPr>
              <w:pStyle w:val="NoSpacing"/>
              <w:jc w:val="left"/>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DD0C44">
              <w:rPr>
                <w:rFonts w:ascii="Calibri" w:hAnsi="Calibri"/>
                <w:bCs w:val="0"/>
              </w:rPr>
              <w:t>Value</w:t>
            </w:r>
          </w:p>
        </w:tc>
        <w:tc>
          <w:tcPr>
            <w:tcW w:w="1714" w:type="dxa"/>
          </w:tcPr>
          <w:p w14:paraId="6C79ACC6" w14:textId="77777777" w:rsidR="001B4BCD" w:rsidRPr="00DD0C44" w:rsidRDefault="001B4BCD" w:rsidP="001B4BCD">
            <w:pPr>
              <w:pStyle w:val="NoSpacing"/>
              <w:jc w:val="left"/>
              <w:cnfStyle w:val="100000000000" w:firstRow="1" w:lastRow="0" w:firstColumn="0" w:lastColumn="0" w:oddVBand="0" w:evenVBand="0" w:oddHBand="0" w:evenHBand="0" w:firstRowFirstColumn="0" w:firstRowLastColumn="0" w:lastRowFirstColumn="0" w:lastRowLastColumn="0"/>
              <w:rPr>
                <w:rFonts w:ascii="Calibri" w:hAnsi="Calibri"/>
                <w:bCs w:val="0"/>
              </w:rPr>
            </w:pPr>
            <w:r w:rsidRPr="00DD0C44">
              <w:rPr>
                <w:rFonts w:ascii="Calibri" w:hAnsi="Calibri"/>
                <w:bCs w:val="0"/>
              </w:rPr>
              <w:t>Type</w:t>
            </w:r>
          </w:p>
        </w:tc>
      </w:tr>
      <w:tr w:rsidR="001B4BCD" w:rsidRPr="00DD0C44" w14:paraId="7847945D"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DD02974" w14:textId="77777777" w:rsidR="001B4BCD" w:rsidRPr="00DD0C44" w:rsidRDefault="001B4BCD" w:rsidP="001B4BCD">
            <w:pPr>
              <w:pStyle w:val="NoSpacing"/>
              <w:jc w:val="left"/>
              <w:rPr>
                <w:rFonts w:ascii="Calibri" w:hAnsi="Calibri"/>
                <w:bCs w:val="0"/>
              </w:rPr>
            </w:pPr>
            <w:r w:rsidRPr="00DD0C44">
              <w:rPr>
                <w:rFonts w:ascii="Calibri" w:hAnsi="Calibri"/>
                <w:bCs w:val="0"/>
              </w:rPr>
              <w:t>1</w:t>
            </w:r>
          </w:p>
        </w:tc>
        <w:tc>
          <w:tcPr>
            <w:tcW w:w="2029" w:type="dxa"/>
          </w:tcPr>
          <w:p w14:paraId="55D3003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pEngage_Casual</w:t>
            </w:r>
            <w:proofErr w:type="spellEnd"/>
          </w:p>
        </w:tc>
        <w:tc>
          <w:tcPr>
            <w:tcW w:w="3150" w:type="dxa"/>
          </w:tcPr>
          <w:p w14:paraId="1ABCE760"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Individual’s likelihood for expressing interest in forming a new stable partnership if currently single</w:t>
            </w:r>
          </w:p>
        </w:tc>
        <w:tc>
          <w:tcPr>
            <w:tcW w:w="2160" w:type="dxa"/>
          </w:tcPr>
          <w:p w14:paraId="5C04FEBA"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0.02</w:t>
            </w:r>
          </w:p>
        </w:tc>
        <w:tc>
          <w:tcPr>
            <w:tcW w:w="1714" w:type="dxa"/>
          </w:tcPr>
          <w:p w14:paraId="46AD0FE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19D84AAD"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6D139B42" w14:textId="77777777" w:rsidR="001B4BCD" w:rsidRPr="00DD0C44" w:rsidRDefault="001B4BCD" w:rsidP="001B4BCD">
            <w:pPr>
              <w:pStyle w:val="NoSpacing"/>
              <w:jc w:val="left"/>
              <w:rPr>
                <w:rFonts w:ascii="Calibri" w:hAnsi="Calibri"/>
                <w:bCs w:val="0"/>
              </w:rPr>
            </w:pPr>
            <w:r w:rsidRPr="00DD0C44">
              <w:rPr>
                <w:rFonts w:ascii="Calibri" w:hAnsi="Calibri"/>
                <w:bCs w:val="0"/>
              </w:rPr>
              <w:t>2</w:t>
            </w:r>
          </w:p>
        </w:tc>
        <w:tc>
          <w:tcPr>
            <w:tcW w:w="2029" w:type="dxa"/>
          </w:tcPr>
          <w:p w14:paraId="24382D56"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pEngage_Stable</w:t>
            </w:r>
            <w:proofErr w:type="spellEnd"/>
          </w:p>
        </w:tc>
        <w:tc>
          <w:tcPr>
            <w:tcW w:w="3150" w:type="dxa"/>
          </w:tcPr>
          <w:p w14:paraId="1A30078C"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Individual’s likelihood for expressing interest in forming a new casual partnership</w:t>
            </w:r>
          </w:p>
        </w:tc>
        <w:tc>
          <w:tcPr>
            <w:tcW w:w="2160" w:type="dxa"/>
          </w:tcPr>
          <w:p w14:paraId="3F9E4E64"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0.09</w:t>
            </w:r>
          </w:p>
        </w:tc>
        <w:tc>
          <w:tcPr>
            <w:tcW w:w="1714" w:type="dxa"/>
          </w:tcPr>
          <w:p w14:paraId="37322593"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07CBA0B4"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9B59343" w14:textId="77777777" w:rsidR="001B4BCD" w:rsidRPr="00DD0C44" w:rsidRDefault="001B4BCD" w:rsidP="001B4BCD">
            <w:pPr>
              <w:pStyle w:val="NoSpacing"/>
              <w:jc w:val="left"/>
              <w:rPr>
                <w:rFonts w:ascii="Calibri" w:hAnsi="Calibri"/>
                <w:bCs w:val="0"/>
              </w:rPr>
            </w:pPr>
            <w:r w:rsidRPr="00DD0C44">
              <w:rPr>
                <w:rFonts w:ascii="Calibri" w:hAnsi="Calibri"/>
                <w:bCs w:val="0"/>
              </w:rPr>
              <w:t>3</w:t>
            </w:r>
          </w:p>
        </w:tc>
        <w:tc>
          <w:tcPr>
            <w:tcW w:w="2029" w:type="dxa"/>
          </w:tcPr>
          <w:p w14:paraId="65DF1E98"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cEngage_Casual_Based_Stable</w:t>
            </w:r>
            <w:proofErr w:type="spellEnd"/>
          </w:p>
        </w:tc>
        <w:tc>
          <w:tcPr>
            <w:tcW w:w="3150" w:type="dxa"/>
          </w:tcPr>
          <w:p w14:paraId="3BA5A25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 xml:space="preserve">Coefficient for adjusting the likelihood of engaging in casual partnership if currently in a stable relationship </w:t>
            </w:r>
          </w:p>
        </w:tc>
        <w:tc>
          <w:tcPr>
            <w:tcW w:w="2160" w:type="dxa"/>
          </w:tcPr>
          <w:p w14:paraId="5C516D0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0.35</w:t>
            </w:r>
          </w:p>
        </w:tc>
        <w:tc>
          <w:tcPr>
            <w:tcW w:w="1714" w:type="dxa"/>
          </w:tcPr>
          <w:p w14:paraId="3AD13ADA"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3865DC9B"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29E0D543" w14:textId="77777777" w:rsidR="001B4BCD" w:rsidRPr="00DD0C44" w:rsidRDefault="001B4BCD" w:rsidP="001B4BCD">
            <w:pPr>
              <w:pStyle w:val="NoSpacing"/>
              <w:jc w:val="left"/>
              <w:rPr>
                <w:rFonts w:ascii="Calibri" w:hAnsi="Calibri"/>
                <w:bCs w:val="0"/>
              </w:rPr>
            </w:pPr>
            <w:r w:rsidRPr="00DD0C44">
              <w:rPr>
                <w:rFonts w:ascii="Calibri" w:hAnsi="Calibri"/>
                <w:bCs w:val="0"/>
              </w:rPr>
              <w:t>4</w:t>
            </w:r>
          </w:p>
        </w:tc>
        <w:tc>
          <w:tcPr>
            <w:tcW w:w="2029" w:type="dxa"/>
          </w:tcPr>
          <w:p w14:paraId="316223D6"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pCSA_Mixing</w:t>
            </w:r>
            <w:proofErr w:type="spellEnd"/>
          </w:p>
          <w:p w14:paraId="1D05A0EF"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3150" w:type="dxa"/>
          </w:tcPr>
          <w:p w14:paraId="7BFBC2A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Individual’s likelihood of choosing partnership domain from (his own CSA, CSAs in the same group, any other CSA)</w:t>
            </w:r>
          </w:p>
        </w:tc>
        <w:tc>
          <w:tcPr>
            <w:tcW w:w="2160" w:type="dxa"/>
          </w:tcPr>
          <w:p w14:paraId="04671B46"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0.5: Inside CSA</w:t>
            </w:r>
          </w:p>
          <w:p w14:paraId="028DEC21"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0.3: Among CSA group</w:t>
            </w:r>
          </w:p>
          <w:p w14:paraId="19A85B19"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0.2: Outside of CSA group</w:t>
            </w:r>
          </w:p>
        </w:tc>
        <w:tc>
          <w:tcPr>
            <w:tcW w:w="1714" w:type="dxa"/>
          </w:tcPr>
          <w:p w14:paraId="6ABB8EE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Fixed (Modeling Assumption)</w:t>
            </w:r>
          </w:p>
        </w:tc>
      </w:tr>
      <w:tr w:rsidR="001B4BCD" w:rsidRPr="00DD0C44" w14:paraId="07B84489"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36CCF1FD" w14:textId="77777777" w:rsidR="001B4BCD" w:rsidRPr="00DD0C44" w:rsidRDefault="001B4BCD" w:rsidP="001B4BCD">
            <w:pPr>
              <w:pStyle w:val="NoSpacing"/>
              <w:jc w:val="left"/>
              <w:rPr>
                <w:rFonts w:ascii="Calibri" w:hAnsi="Calibri"/>
                <w:bCs w:val="0"/>
              </w:rPr>
            </w:pPr>
            <w:r w:rsidRPr="00DD0C44">
              <w:rPr>
                <w:rFonts w:ascii="Calibri" w:hAnsi="Calibri"/>
                <w:bCs w:val="0"/>
              </w:rPr>
              <w:t>5</w:t>
            </w:r>
          </w:p>
        </w:tc>
        <w:tc>
          <w:tcPr>
            <w:tcW w:w="2029" w:type="dxa"/>
          </w:tcPr>
          <w:p w14:paraId="6F6C3BEB"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cRace_Mixing</w:t>
            </w:r>
            <w:proofErr w:type="spellEnd"/>
          </w:p>
          <w:p w14:paraId="26438B60"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3150" w:type="dxa"/>
          </w:tcPr>
          <w:p w14:paraId="0846B60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Coefficients of partnership between any two MSM based on race ([W-W]</w:t>
            </w:r>
            <w:proofErr w:type="gramStart"/>
            <w:r w:rsidRPr="00DD0C44">
              <w:rPr>
                <w:rFonts w:ascii="Calibri" w:hAnsi="Calibri"/>
                <w:bCs/>
              </w:rPr>
              <w:t>,[</w:t>
            </w:r>
            <w:proofErr w:type="gramEnd"/>
            <w:r w:rsidRPr="00DD0C44">
              <w:rPr>
                <w:rFonts w:ascii="Calibri" w:hAnsi="Calibri"/>
                <w:bCs/>
              </w:rPr>
              <w:t>B-B],[W/B])</w:t>
            </w:r>
          </w:p>
        </w:tc>
        <w:tc>
          <w:tcPr>
            <w:tcW w:w="2160" w:type="dxa"/>
          </w:tcPr>
          <w:p w14:paraId="1BC1B6F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0.081: [WW]</w:t>
            </w:r>
          </w:p>
          <w:p w14:paraId="71959ADD"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1: [BB]</w:t>
            </w:r>
          </w:p>
          <w:p w14:paraId="13630EC4"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0.07: [WB]</w:t>
            </w:r>
          </w:p>
        </w:tc>
        <w:tc>
          <w:tcPr>
            <w:tcW w:w="1714" w:type="dxa"/>
          </w:tcPr>
          <w:p w14:paraId="5A3A400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286076ED"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432A0161" w14:textId="77777777" w:rsidR="001B4BCD" w:rsidRPr="00DD0C44" w:rsidRDefault="001B4BCD" w:rsidP="001B4BCD">
            <w:pPr>
              <w:pStyle w:val="NoSpacing"/>
              <w:jc w:val="left"/>
              <w:rPr>
                <w:rFonts w:ascii="Calibri" w:hAnsi="Calibri"/>
                <w:bCs w:val="0"/>
              </w:rPr>
            </w:pPr>
            <w:r w:rsidRPr="00DD0C44">
              <w:rPr>
                <w:rFonts w:ascii="Calibri" w:hAnsi="Calibri"/>
                <w:bCs w:val="0"/>
              </w:rPr>
              <w:t>6</w:t>
            </w:r>
          </w:p>
        </w:tc>
        <w:tc>
          <w:tcPr>
            <w:tcW w:w="2029" w:type="dxa"/>
          </w:tcPr>
          <w:p w14:paraId="3D83B643"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cAge</w:t>
            </w:r>
            <w:proofErr w:type="spellEnd"/>
            <w:r w:rsidRPr="00DD0C44">
              <w:rPr>
                <w:rFonts w:ascii="Calibri" w:hAnsi="Calibri"/>
                <w:bCs/>
              </w:rPr>
              <w:t>-Diff</w:t>
            </w:r>
          </w:p>
          <w:p w14:paraId="00F401E2"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3150" w:type="dxa"/>
          </w:tcPr>
          <w:p w14:paraId="2BF8F0E7"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A fix coefficient used to calibrate the age mixing</w:t>
            </w:r>
          </w:p>
        </w:tc>
        <w:tc>
          <w:tcPr>
            <w:tcW w:w="2160" w:type="dxa"/>
          </w:tcPr>
          <w:p w14:paraId="083E916F"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4</w:t>
            </w:r>
          </w:p>
        </w:tc>
        <w:tc>
          <w:tcPr>
            <w:tcW w:w="1714" w:type="dxa"/>
          </w:tcPr>
          <w:p w14:paraId="635E0130"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04D09505"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7BF3439" w14:textId="77777777" w:rsidR="001B4BCD" w:rsidRPr="00DD0C44" w:rsidRDefault="001B4BCD" w:rsidP="001B4BCD">
            <w:pPr>
              <w:pStyle w:val="NoSpacing"/>
              <w:jc w:val="left"/>
              <w:rPr>
                <w:rFonts w:ascii="Calibri" w:hAnsi="Calibri"/>
                <w:bCs w:val="0"/>
              </w:rPr>
            </w:pPr>
            <w:r w:rsidRPr="00DD0C44">
              <w:rPr>
                <w:rFonts w:ascii="Calibri" w:hAnsi="Calibri"/>
                <w:bCs w:val="0"/>
              </w:rPr>
              <w:t>7</w:t>
            </w:r>
          </w:p>
        </w:tc>
        <w:tc>
          <w:tcPr>
            <w:tcW w:w="2029" w:type="dxa"/>
          </w:tcPr>
          <w:p w14:paraId="1D43252F"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cSexualActivity</w:t>
            </w:r>
            <w:proofErr w:type="spellEnd"/>
          </w:p>
        </w:tc>
        <w:tc>
          <w:tcPr>
            <w:tcW w:w="3150" w:type="dxa"/>
          </w:tcPr>
          <w:p w14:paraId="33F63193"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Coefficient of sexual activity influencing individual’s likelihood for engaging in a new partnership at all times</w:t>
            </w:r>
          </w:p>
        </w:tc>
        <w:tc>
          <w:tcPr>
            <w:tcW w:w="2160" w:type="dxa"/>
          </w:tcPr>
          <w:p w14:paraId="06D8A268"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0.2: low</w:t>
            </w:r>
          </w:p>
          <w:p w14:paraId="3FDB26A1"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1.3: med</w:t>
            </w:r>
          </w:p>
          <w:p w14:paraId="5565C6D4"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3.0: high</w:t>
            </w:r>
          </w:p>
        </w:tc>
        <w:tc>
          <w:tcPr>
            <w:tcW w:w="1714" w:type="dxa"/>
          </w:tcPr>
          <w:p w14:paraId="3C8992C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673CF027"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50F1812F" w14:textId="77777777" w:rsidR="001B4BCD" w:rsidRPr="00DD0C44" w:rsidRDefault="001B4BCD" w:rsidP="001B4BCD">
            <w:pPr>
              <w:pStyle w:val="NoSpacing"/>
              <w:jc w:val="left"/>
              <w:rPr>
                <w:rFonts w:ascii="Calibri" w:hAnsi="Calibri"/>
                <w:bCs w:val="0"/>
              </w:rPr>
            </w:pPr>
            <w:r w:rsidRPr="00DD0C44">
              <w:rPr>
                <w:rFonts w:ascii="Calibri" w:hAnsi="Calibri"/>
                <w:bCs w:val="0"/>
              </w:rPr>
              <w:t>8</w:t>
            </w:r>
          </w:p>
        </w:tc>
        <w:tc>
          <w:tcPr>
            <w:tcW w:w="2029" w:type="dxa"/>
          </w:tcPr>
          <w:p w14:paraId="5BF5D3E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cPArtnership_With_Age</w:t>
            </w:r>
            <w:proofErr w:type="spellEnd"/>
          </w:p>
        </w:tc>
        <w:tc>
          <w:tcPr>
            <w:tcW w:w="3150" w:type="dxa"/>
          </w:tcPr>
          <w:p w14:paraId="00CEE0A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 xml:space="preserve">Coefficients of partnership influencing individual’s likelihood for engaging in a new partnership as a function of age </w:t>
            </w:r>
          </w:p>
        </w:tc>
        <w:tc>
          <w:tcPr>
            <w:tcW w:w="2160" w:type="dxa"/>
          </w:tcPr>
          <w:p w14:paraId="1B8CD55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1.0: age 15-24</w:t>
            </w:r>
          </w:p>
          <w:p w14:paraId="04E205D7"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1.0: age 25-34</w:t>
            </w:r>
          </w:p>
          <w:p w14:paraId="6E06B8CB"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0.7: age 35-44</w:t>
            </w:r>
          </w:p>
          <w:p w14:paraId="12EC4856"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0.4: age 45-60</w:t>
            </w:r>
          </w:p>
          <w:p w14:paraId="0D9FBB6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0.4: age 60-75</w:t>
            </w:r>
          </w:p>
        </w:tc>
        <w:tc>
          <w:tcPr>
            <w:tcW w:w="1714" w:type="dxa"/>
          </w:tcPr>
          <w:p w14:paraId="43E5F03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387C8F9A"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27D5EC46" w14:textId="77777777" w:rsidR="001B4BCD" w:rsidRPr="00DD0C44" w:rsidRDefault="001B4BCD" w:rsidP="001B4BCD">
            <w:pPr>
              <w:pStyle w:val="NoSpacing"/>
              <w:jc w:val="left"/>
              <w:rPr>
                <w:rFonts w:ascii="Calibri" w:hAnsi="Calibri"/>
                <w:bCs w:val="0"/>
              </w:rPr>
            </w:pPr>
            <w:r w:rsidRPr="00DD0C44">
              <w:rPr>
                <w:rFonts w:ascii="Calibri" w:hAnsi="Calibri"/>
                <w:bCs w:val="0"/>
              </w:rPr>
              <w:t>9</w:t>
            </w:r>
          </w:p>
        </w:tc>
        <w:tc>
          <w:tcPr>
            <w:tcW w:w="2029" w:type="dxa"/>
          </w:tcPr>
          <w:p w14:paraId="54D606A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cTransmission</w:t>
            </w:r>
            <w:proofErr w:type="spellEnd"/>
          </w:p>
          <w:p w14:paraId="31CB2577"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3150" w:type="dxa"/>
          </w:tcPr>
          <w:p w14:paraId="5969216B"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Coefficient of transmission over each active partnership (used to calibrate incidence)</w:t>
            </w:r>
          </w:p>
        </w:tc>
        <w:tc>
          <w:tcPr>
            <w:tcW w:w="2160" w:type="dxa"/>
          </w:tcPr>
          <w:p w14:paraId="3133E1E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0.0124</w:t>
            </w:r>
          </w:p>
        </w:tc>
        <w:tc>
          <w:tcPr>
            <w:tcW w:w="1714" w:type="dxa"/>
          </w:tcPr>
          <w:p w14:paraId="2E6D770A"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373DCDC4"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1D9DE00A" w14:textId="77777777" w:rsidR="001B4BCD" w:rsidRPr="00DD0C44" w:rsidRDefault="001B4BCD" w:rsidP="001B4BCD">
            <w:pPr>
              <w:pStyle w:val="NoSpacing"/>
              <w:jc w:val="left"/>
              <w:rPr>
                <w:rFonts w:ascii="Calibri" w:hAnsi="Calibri"/>
                <w:bCs w:val="0"/>
              </w:rPr>
            </w:pPr>
            <w:r w:rsidRPr="00DD0C44">
              <w:rPr>
                <w:rFonts w:ascii="Calibri" w:hAnsi="Calibri"/>
                <w:bCs w:val="0"/>
              </w:rPr>
              <w:t>10</w:t>
            </w:r>
          </w:p>
        </w:tc>
        <w:tc>
          <w:tcPr>
            <w:tcW w:w="2029" w:type="dxa"/>
          </w:tcPr>
          <w:p w14:paraId="4CA891FC"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dAcute</w:t>
            </w:r>
            <w:proofErr w:type="spellEnd"/>
          </w:p>
        </w:tc>
        <w:tc>
          <w:tcPr>
            <w:tcW w:w="3150" w:type="dxa"/>
          </w:tcPr>
          <w:p w14:paraId="79F54CC8"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Duration of disease state 1</w:t>
            </w:r>
          </w:p>
        </w:tc>
        <w:tc>
          <w:tcPr>
            <w:tcW w:w="2160" w:type="dxa"/>
          </w:tcPr>
          <w:p w14:paraId="528F857F"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Uniform (6,9) weeks</w:t>
            </w:r>
          </w:p>
        </w:tc>
        <w:tc>
          <w:tcPr>
            <w:tcW w:w="1714" w:type="dxa"/>
          </w:tcPr>
          <w:p w14:paraId="67014841"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 xml:space="preserve">Fixed (Literature) </w:t>
            </w:r>
          </w:p>
        </w:tc>
      </w:tr>
      <w:tr w:rsidR="001B4BCD" w:rsidRPr="00DD0C44" w14:paraId="78285812"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590B9E1C" w14:textId="77777777" w:rsidR="001B4BCD" w:rsidRPr="00DD0C44" w:rsidRDefault="001B4BCD" w:rsidP="001B4BCD">
            <w:pPr>
              <w:pStyle w:val="NoSpacing"/>
              <w:jc w:val="left"/>
              <w:rPr>
                <w:rFonts w:ascii="Calibri" w:hAnsi="Calibri"/>
                <w:bCs w:val="0"/>
              </w:rPr>
            </w:pPr>
            <w:r w:rsidRPr="00DD0C44">
              <w:rPr>
                <w:rFonts w:ascii="Calibri" w:hAnsi="Calibri"/>
                <w:bCs w:val="0"/>
              </w:rPr>
              <w:t>11</w:t>
            </w:r>
          </w:p>
        </w:tc>
        <w:tc>
          <w:tcPr>
            <w:tcW w:w="2029" w:type="dxa"/>
          </w:tcPr>
          <w:p w14:paraId="2DBD841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dChronic</w:t>
            </w:r>
            <w:proofErr w:type="spellEnd"/>
          </w:p>
        </w:tc>
        <w:tc>
          <w:tcPr>
            <w:tcW w:w="3150" w:type="dxa"/>
          </w:tcPr>
          <w:p w14:paraId="5A806F98"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Duration of disease state 2</w:t>
            </w:r>
          </w:p>
        </w:tc>
        <w:tc>
          <w:tcPr>
            <w:tcW w:w="2160" w:type="dxa"/>
          </w:tcPr>
          <w:p w14:paraId="0C45F7E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Uniform (416,520) weeks</w:t>
            </w:r>
          </w:p>
        </w:tc>
        <w:tc>
          <w:tcPr>
            <w:tcW w:w="1714" w:type="dxa"/>
          </w:tcPr>
          <w:p w14:paraId="73434E8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374F88EB"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3EC7B23C" w14:textId="77777777" w:rsidR="001B4BCD" w:rsidRPr="00DD0C44" w:rsidRDefault="001B4BCD" w:rsidP="001B4BCD">
            <w:pPr>
              <w:pStyle w:val="NoSpacing"/>
              <w:jc w:val="left"/>
              <w:rPr>
                <w:rFonts w:ascii="Calibri" w:hAnsi="Calibri"/>
                <w:bCs w:val="0"/>
              </w:rPr>
            </w:pPr>
            <w:r w:rsidRPr="00DD0C44">
              <w:rPr>
                <w:rFonts w:ascii="Calibri" w:hAnsi="Calibri"/>
                <w:bCs w:val="0"/>
              </w:rPr>
              <w:t>12</w:t>
            </w:r>
          </w:p>
        </w:tc>
        <w:tc>
          <w:tcPr>
            <w:tcW w:w="2029" w:type="dxa"/>
          </w:tcPr>
          <w:p w14:paraId="0E0D7FD7"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cAIDS</w:t>
            </w:r>
            <w:proofErr w:type="spellEnd"/>
          </w:p>
        </w:tc>
        <w:tc>
          <w:tcPr>
            <w:tcW w:w="3150" w:type="dxa"/>
          </w:tcPr>
          <w:p w14:paraId="36EE1EFE"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Duration of disease state 3</w:t>
            </w:r>
          </w:p>
        </w:tc>
        <w:tc>
          <w:tcPr>
            <w:tcW w:w="2160" w:type="dxa"/>
          </w:tcPr>
          <w:p w14:paraId="6827BF7A"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Uniform (52,156) weeks</w:t>
            </w:r>
          </w:p>
        </w:tc>
        <w:tc>
          <w:tcPr>
            <w:tcW w:w="1714" w:type="dxa"/>
          </w:tcPr>
          <w:p w14:paraId="57E996EB"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2B4820D1"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01446728" w14:textId="77777777" w:rsidR="001B4BCD" w:rsidRPr="00DD0C44" w:rsidRDefault="001B4BCD" w:rsidP="001B4BCD">
            <w:pPr>
              <w:pStyle w:val="NoSpacing"/>
              <w:jc w:val="left"/>
              <w:rPr>
                <w:rFonts w:ascii="Calibri" w:hAnsi="Calibri"/>
                <w:bCs w:val="0"/>
              </w:rPr>
            </w:pPr>
            <w:r w:rsidRPr="00DD0C44">
              <w:rPr>
                <w:rFonts w:ascii="Calibri" w:hAnsi="Calibri"/>
                <w:bCs w:val="0"/>
              </w:rPr>
              <w:t>13</w:t>
            </w:r>
          </w:p>
        </w:tc>
        <w:tc>
          <w:tcPr>
            <w:tcW w:w="2029" w:type="dxa"/>
          </w:tcPr>
          <w:p w14:paraId="38361D7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dPArtialSupp</w:t>
            </w:r>
            <w:proofErr w:type="spellEnd"/>
          </w:p>
        </w:tc>
        <w:tc>
          <w:tcPr>
            <w:tcW w:w="3150" w:type="dxa"/>
          </w:tcPr>
          <w:p w14:paraId="0F14E6A0"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Duration of disease state 4</w:t>
            </w:r>
          </w:p>
        </w:tc>
        <w:tc>
          <w:tcPr>
            <w:tcW w:w="2160" w:type="dxa"/>
          </w:tcPr>
          <w:p w14:paraId="2FE05441"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Uniform (13, 27) weeks</w:t>
            </w:r>
          </w:p>
        </w:tc>
        <w:tc>
          <w:tcPr>
            <w:tcW w:w="1714" w:type="dxa"/>
          </w:tcPr>
          <w:p w14:paraId="4C0D0A1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6A4783C2"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091FC852" w14:textId="77777777" w:rsidR="001B4BCD" w:rsidRPr="00DD0C44" w:rsidRDefault="001B4BCD" w:rsidP="001B4BCD">
            <w:pPr>
              <w:pStyle w:val="NoSpacing"/>
              <w:jc w:val="left"/>
              <w:rPr>
                <w:rFonts w:ascii="Calibri" w:hAnsi="Calibri"/>
                <w:bCs w:val="0"/>
              </w:rPr>
            </w:pPr>
            <w:r w:rsidRPr="00DD0C44">
              <w:rPr>
                <w:rFonts w:ascii="Calibri" w:hAnsi="Calibri"/>
                <w:bCs w:val="0"/>
              </w:rPr>
              <w:t>14</w:t>
            </w:r>
          </w:p>
        </w:tc>
        <w:tc>
          <w:tcPr>
            <w:tcW w:w="2029" w:type="dxa"/>
          </w:tcPr>
          <w:p w14:paraId="2354B5D3"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dChronic_after_ART</w:t>
            </w:r>
            <w:proofErr w:type="spellEnd"/>
          </w:p>
        </w:tc>
        <w:tc>
          <w:tcPr>
            <w:tcW w:w="3150" w:type="dxa"/>
          </w:tcPr>
          <w:p w14:paraId="03D036CC"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 xml:space="preserve">Duration of chronic HIV after losing adherence to ART for those with a </w:t>
            </w:r>
            <w:r w:rsidRPr="00DD0C44">
              <w:rPr>
                <w:rFonts w:ascii="Calibri" w:hAnsi="Calibri"/>
                <w:bCs/>
              </w:rPr>
              <w:lastRenderedPageBreak/>
              <w:t>history of AIDS</w:t>
            </w:r>
          </w:p>
        </w:tc>
        <w:tc>
          <w:tcPr>
            <w:tcW w:w="2160" w:type="dxa"/>
          </w:tcPr>
          <w:p w14:paraId="65D2ED19"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lastRenderedPageBreak/>
              <w:t>Uniform (12, 36) weeks</w:t>
            </w:r>
          </w:p>
        </w:tc>
        <w:tc>
          <w:tcPr>
            <w:tcW w:w="1714" w:type="dxa"/>
          </w:tcPr>
          <w:p w14:paraId="67DED2B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46EE7616"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5496A748" w14:textId="77777777" w:rsidR="001B4BCD" w:rsidRPr="00DD0C44" w:rsidRDefault="001B4BCD" w:rsidP="001B4BCD">
            <w:pPr>
              <w:pStyle w:val="NoSpacing"/>
              <w:jc w:val="left"/>
              <w:rPr>
                <w:rFonts w:ascii="Calibri" w:hAnsi="Calibri"/>
                <w:bCs w:val="0"/>
              </w:rPr>
            </w:pPr>
            <w:r w:rsidRPr="00DD0C44">
              <w:rPr>
                <w:rFonts w:ascii="Calibri" w:hAnsi="Calibri"/>
                <w:bCs w:val="0"/>
              </w:rPr>
              <w:lastRenderedPageBreak/>
              <w:t>15</w:t>
            </w:r>
          </w:p>
        </w:tc>
        <w:tc>
          <w:tcPr>
            <w:tcW w:w="2029" w:type="dxa"/>
          </w:tcPr>
          <w:p w14:paraId="329C4E0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pHIV_Mortality</w:t>
            </w:r>
            <w:proofErr w:type="spellEnd"/>
          </w:p>
        </w:tc>
        <w:tc>
          <w:tcPr>
            <w:tcW w:w="3150" w:type="dxa"/>
          </w:tcPr>
          <w:p w14:paraId="3169FFF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Annual rate of HIV mortality</w:t>
            </w:r>
          </w:p>
        </w:tc>
        <w:tc>
          <w:tcPr>
            <w:tcW w:w="2160" w:type="dxa"/>
          </w:tcPr>
          <w:p w14:paraId="4A8E758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0.005</w:t>
            </w:r>
          </w:p>
        </w:tc>
        <w:tc>
          <w:tcPr>
            <w:tcW w:w="1714" w:type="dxa"/>
          </w:tcPr>
          <w:p w14:paraId="563EEBF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30883959"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4534F54C" w14:textId="77777777" w:rsidR="001B4BCD" w:rsidRPr="00DD0C44" w:rsidRDefault="001B4BCD" w:rsidP="001B4BCD">
            <w:pPr>
              <w:pStyle w:val="NoSpacing"/>
              <w:jc w:val="left"/>
              <w:rPr>
                <w:rFonts w:ascii="Calibri" w:hAnsi="Calibri"/>
                <w:bCs w:val="0"/>
              </w:rPr>
            </w:pPr>
            <w:r w:rsidRPr="00DD0C44">
              <w:rPr>
                <w:rFonts w:ascii="Calibri" w:hAnsi="Calibri"/>
                <w:bCs w:val="0"/>
              </w:rPr>
              <w:t>16</w:t>
            </w:r>
          </w:p>
        </w:tc>
        <w:tc>
          <w:tcPr>
            <w:tcW w:w="2029" w:type="dxa"/>
          </w:tcPr>
          <w:p w14:paraId="1BB32D24"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pHIV_Mortality_ART_Coef</w:t>
            </w:r>
            <w:proofErr w:type="spellEnd"/>
          </w:p>
        </w:tc>
        <w:tc>
          <w:tcPr>
            <w:tcW w:w="3150" w:type="dxa"/>
          </w:tcPr>
          <w:p w14:paraId="43D79153"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Reduced HIV mortality for those on ART</w:t>
            </w:r>
          </w:p>
        </w:tc>
        <w:tc>
          <w:tcPr>
            <w:tcW w:w="2160" w:type="dxa"/>
          </w:tcPr>
          <w:p w14:paraId="3FEEEF6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0.58</w:t>
            </w:r>
          </w:p>
        </w:tc>
        <w:tc>
          <w:tcPr>
            <w:tcW w:w="1714" w:type="dxa"/>
          </w:tcPr>
          <w:p w14:paraId="4C63ED02"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29A06492"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750CDA14" w14:textId="77777777" w:rsidR="001B4BCD" w:rsidRPr="00DD0C44" w:rsidRDefault="001B4BCD" w:rsidP="001B4BCD">
            <w:pPr>
              <w:pStyle w:val="NoSpacing"/>
              <w:jc w:val="left"/>
              <w:rPr>
                <w:rFonts w:ascii="Calibri" w:hAnsi="Calibri"/>
                <w:bCs w:val="0"/>
              </w:rPr>
            </w:pPr>
            <w:r w:rsidRPr="00DD0C44">
              <w:rPr>
                <w:rFonts w:ascii="Calibri" w:hAnsi="Calibri"/>
                <w:bCs w:val="0"/>
              </w:rPr>
              <w:t>17</w:t>
            </w:r>
          </w:p>
        </w:tc>
        <w:tc>
          <w:tcPr>
            <w:tcW w:w="2029" w:type="dxa"/>
          </w:tcPr>
          <w:p w14:paraId="09172DCD"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cVL</w:t>
            </w:r>
            <w:proofErr w:type="spellEnd"/>
          </w:p>
          <w:p w14:paraId="5944C0C0"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3150" w:type="dxa"/>
          </w:tcPr>
          <w:p w14:paraId="3DA37731"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Coefficients of Viral Load for individuals in each state of disease (acute, chronic, late, partial-, full suppression)</w:t>
            </w:r>
          </w:p>
        </w:tc>
        <w:tc>
          <w:tcPr>
            <w:tcW w:w="2160" w:type="dxa"/>
          </w:tcPr>
          <w:p w14:paraId="43206CCA"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6.5: Acute infection</w:t>
            </w:r>
          </w:p>
          <w:p w14:paraId="4DFA60F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4.5: Chronic infection</w:t>
            </w:r>
          </w:p>
          <w:p w14:paraId="1967C16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5.0: Late infection</w:t>
            </w:r>
          </w:p>
          <w:p w14:paraId="3C741B3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3.5: Partial suppression</w:t>
            </w:r>
          </w:p>
          <w:p w14:paraId="4D44AB53"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1.5: Full suppression</w:t>
            </w:r>
          </w:p>
        </w:tc>
        <w:tc>
          <w:tcPr>
            <w:tcW w:w="1714" w:type="dxa"/>
          </w:tcPr>
          <w:p w14:paraId="5E6D7EA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1BF3EFCB"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093F0CB5" w14:textId="77777777" w:rsidR="001B4BCD" w:rsidRPr="00DD0C44" w:rsidRDefault="001B4BCD" w:rsidP="001B4BCD">
            <w:pPr>
              <w:pStyle w:val="NoSpacing"/>
              <w:jc w:val="left"/>
              <w:rPr>
                <w:rFonts w:ascii="Calibri" w:hAnsi="Calibri"/>
                <w:bCs w:val="0"/>
              </w:rPr>
            </w:pPr>
            <w:r w:rsidRPr="00DD0C44">
              <w:rPr>
                <w:rFonts w:ascii="Calibri" w:hAnsi="Calibri"/>
                <w:bCs w:val="0"/>
              </w:rPr>
              <w:t>18</w:t>
            </w:r>
          </w:p>
        </w:tc>
        <w:tc>
          <w:tcPr>
            <w:tcW w:w="2029" w:type="dxa"/>
          </w:tcPr>
          <w:p w14:paraId="52D74329"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cAccess_Care</w:t>
            </w:r>
            <w:proofErr w:type="spellEnd"/>
          </w:p>
          <w:p w14:paraId="273859B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3150" w:type="dxa"/>
          </w:tcPr>
          <w:p w14:paraId="37D6381E"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Coefficient of access to care for black and white MSM</w:t>
            </w:r>
          </w:p>
          <w:p w14:paraId="303395B1"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Influencing the likelihood of testing, linkage to care, and initiating ART at all times</w:t>
            </w:r>
          </w:p>
        </w:tc>
        <w:tc>
          <w:tcPr>
            <w:tcW w:w="2160" w:type="dxa"/>
          </w:tcPr>
          <w:p w14:paraId="4602630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1: White MSM</w:t>
            </w:r>
          </w:p>
          <w:p w14:paraId="649D87B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0.5: Black MSM</w:t>
            </w:r>
          </w:p>
        </w:tc>
        <w:tc>
          <w:tcPr>
            <w:tcW w:w="1714" w:type="dxa"/>
          </w:tcPr>
          <w:p w14:paraId="0A6D3E19"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7669AC23"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784306C0" w14:textId="77777777" w:rsidR="001B4BCD" w:rsidRPr="00DD0C44" w:rsidRDefault="001B4BCD" w:rsidP="001B4BCD">
            <w:pPr>
              <w:pStyle w:val="NoSpacing"/>
              <w:jc w:val="left"/>
              <w:rPr>
                <w:rFonts w:ascii="Calibri" w:hAnsi="Calibri"/>
                <w:bCs w:val="0"/>
              </w:rPr>
            </w:pPr>
            <w:r w:rsidRPr="00DD0C44">
              <w:rPr>
                <w:rFonts w:ascii="Calibri" w:hAnsi="Calibri"/>
                <w:bCs w:val="0"/>
              </w:rPr>
              <w:t>19</w:t>
            </w:r>
          </w:p>
        </w:tc>
        <w:tc>
          <w:tcPr>
            <w:tcW w:w="2029" w:type="dxa"/>
          </w:tcPr>
          <w:p w14:paraId="3E66E2F2"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pTesting</w:t>
            </w:r>
            <w:proofErr w:type="spellEnd"/>
          </w:p>
        </w:tc>
        <w:tc>
          <w:tcPr>
            <w:tcW w:w="3150" w:type="dxa"/>
          </w:tcPr>
          <w:p w14:paraId="0C1D26A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Individual’s likelihood of taking HIV test throughout a year</w:t>
            </w:r>
          </w:p>
        </w:tc>
        <w:tc>
          <w:tcPr>
            <w:tcW w:w="2160" w:type="dxa"/>
          </w:tcPr>
          <w:p w14:paraId="5561564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0.09</w:t>
            </w:r>
          </w:p>
        </w:tc>
        <w:tc>
          <w:tcPr>
            <w:tcW w:w="1714" w:type="dxa"/>
          </w:tcPr>
          <w:p w14:paraId="12378157"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13F3B4AD"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4EFDAA22" w14:textId="77777777" w:rsidR="001B4BCD" w:rsidRPr="00DD0C44" w:rsidRDefault="001B4BCD" w:rsidP="001B4BCD">
            <w:pPr>
              <w:pStyle w:val="NoSpacing"/>
              <w:jc w:val="left"/>
              <w:rPr>
                <w:rFonts w:ascii="Calibri" w:hAnsi="Calibri"/>
                <w:bCs w:val="0"/>
              </w:rPr>
            </w:pPr>
            <w:r w:rsidRPr="00DD0C44">
              <w:rPr>
                <w:rFonts w:ascii="Calibri" w:hAnsi="Calibri"/>
                <w:bCs w:val="0"/>
              </w:rPr>
              <w:t>20</w:t>
            </w:r>
          </w:p>
        </w:tc>
        <w:tc>
          <w:tcPr>
            <w:tcW w:w="2029" w:type="dxa"/>
          </w:tcPr>
          <w:p w14:paraId="7474B81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pLinkCare_Immediately</w:t>
            </w:r>
            <w:proofErr w:type="spellEnd"/>
          </w:p>
        </w:tc>
        <w:tc>
          <w:tcPr>
            <w:tcW w:w="3150" w:type="dxa"/>
          </w:tcPr>
          <w:p w14:paraId="3CC706C0"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Individual’s likelihood of linking to care immediately after diagnosis</w:t>
            </w:r>
          </w:p>
        </w:tc>
        <w:tc>
          <w:tcPr>
            <w:tcW w:w="2160" w:type="dxa"/>
          </w:tcPr>
          <w:p w14:paraId="3A5AB6D0"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0.8</w:t>
            </w:r>
          </w:p>
        </w:tc>
        <w:tc>
          <w:tcPr>
            <w:tcW w:w="1714" w:type="dxa"/>
          </w:tcPr>
          <w:p w14:paraId="452412D8"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12CB95DA"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0766F9EA" w14:textId="77777777" w:rsidR="001B4BCD" w:rsidRPr="00DD0C44" w:rsidRDefault="001B4BCD" w:rsidP="001B4BCD">
            <w:pPr>
              <w:pStyle w:val="NoSpacing"/>
              <w:jc w:val="left"/>
              <w:rPr>
                <w:rFonts w:ascii="Calibri" w:hAnsi="Calibri"/>
                <w:bCs w:val="0"/>
              </w:rPr>
            </w:pPr>
            <w:r w:rsidRPr="00DD0C44">
              <w:rPr>
                <w:rFonts w:ascii="Calibri" w:hAnsi="Calibri"/>
                <w:bCs w:val="0"/>
              </w:rPr>
              <w:t>21</w:t>
            </w:r>
          </w:p>
        </w:tc>
        <w:tc>
          <w:tcPr>
            <w:tcW w:w="2029" w:type="dxa"/>
          </w:tcPr>
          <w:p w14:paraId="148E27C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pLinkCare_later</w:t>
            </w:r>
            <w:proofErr w:type="spellEnd"/>
          </w:p>
        </w:tc>
        <w:tc>
          <w:tcPr>
            <w:tcW w:w="3150" w:type="dxa"/>
          </w:tcPr>
          <w:p w14:paraId="2C99BA3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Individual’s likelihood of linking to care after diagnosis</w:t>
            </w:r>
          </w:p>
        </w:tc>
        <w:tc>
          <w:tcPr>
            <w:tcW w:w="2160" w:type="dxa"/>
          </w:tcPr>
          <w:p w14:paraId="208A9D0A"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0.8</w:t>
            </w:r>
          </w:p>
        </w:tc>
        <w:tc>
          <w:tcPr>
            <w:tcW w:w="1714" w:type="dxa"/>
          </w:tcPr>
          <w:p w14:paraId="00B74B2C"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1E67DD56"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27408EE2" w14:textId="77777777" w:rsidR="001B4BCD" w:rsidRPr="00DD0C44" w:rsidRDefault="001B4BCD" w:rsidP="001B4BCD">
            <w:pPr>
              <w:pStyle w:val="NoSpacing"/>
              <w:jc w:val="left"/>
              <w:rPr>
                <w:rFonts w:ascii="Calibri" w:hAnsi="Calibri"/>
                <w:bCs w:val="0"/>
              </w:rPr>
            </w:pPr>
            <w:r w:rsidRPr="00DD0C44">
              <w:rPr>
                <w:rFonts w:ascii="Calibri" w:hAnsi="Calibri"/>
                <w:bCs w:val="0"/>
              </w:rPr>
              <w:t>22</w:t>
            </w:r>
          </w:p>
        </w:tc>
        <w:tc>
          <w:tcPr>
            <w:tcW w:w="2029" w:type="dxa"/>
          </w:tcPr>
          <w:p w14:paraId="72B64C67"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pStart_ART_Immediately</w:t>
            </w:r>
            <w:proofErr w:type="spellEnd"/>
          </w:p>
        </w:tc>
        <w:tc>
          <w:tcPr>
            <w:tcW w:w="3150" w:type="dxa"/>
          </w:tcPr>
          <w:p w14:paraId="569DFADF"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Individual’s likelihood of initiating ART after linkage to care</w:t>
            </w:r>
          </w:p>
        </w:tc>
        <w:tc>
          <w:tcPr>
            <w:tcW w:w="2160" w:type="dxa"/>
          </w:tcPr>
          <w:p w14:paraId="05AE3161"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0.9</w:t>
            </w:r>
          </w:p>
        </w:tc>
        <w:tc>
          <w:tcPr>
            <w:tcW w:w="1714" w:type="dxa"/>
          </w:tcPr>
          <w:p w14:paraId="06A90D17"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6C11B7E7"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11A2E5A4" w14:textId="77777777" w:rsidR="001B4BCD" w:rsidRPr="00DD0C44" w:rsidRDefault="001B4BCD" w:rsidP="001B4BCD">
            <w:pPr>
              <w:pStyle w:val="NoSpacing"/>
              <w:jc w:val="left"/>
              <w:rPr>
                <w:rFonts w:ascii="Calibri" w:hAnsi="Calibri"/>
                <w:bCs w:val="0"/>
              </w:rPr>
            </w:pPr>
            <w:r w:rsidRPr="00DD0C44">
              <w:rPr>
                <w:rFonts w:ascii="Calibri" w:hAnsi="Calibri"/>
                <w:bCs w:val="0"/>
              </w:rPr>
              <w:t>23</w:t>
            </w:r>
          </w:p>
        </w:tc>
        <w:tc>
          <w:tcPr>
            <w:tcW w:w="2029" w:type="dxa"/>
          </w:tcPr>
          <w:p w14:paraId="31507D4D"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pRestart_ART</w:t>
            </w:r>
            <w:proofErr w:type="spellEnd"/>
          </w:p>
        </w:tc>
        <w:tc>
          <w:tcPr>
            <w:tcW w:w="3150" w:type="dxa"/>
          </w:tcPr>
          <w:p w14:paraId="77E3B9B4"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Individual’s likelihood of initiating ART per year</w:t>
            </w:r>
          </w:p>
        </w:tc>
        <w:tc>
          <w:tcPr>
            <w:tcW w:w="2160" w:type="dxa"/>
          </w:tcPr>
          <w:p w14:paraId="76581A36"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0.9</w:t>
            </w:r>
          </w:p>
        </w:tc>
        <w:tc>
          <w:tcPr>
            <w:tcW w:w="1714" w:type="dxa"/>
          </w:tcPr>
          <w:p w14:paraId="2CF27225"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Variable</w:t>
            </w:r>
          </w:p>
        </w:tc>
      </w:tr>
      <w:tr w:rsidR="001B4BCD" w:rsidRPr="00DD0C44" w14:paraId="3FECFEEB"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7EC8F72D" w14:textId="77777777" w:rsidR="001B4BCD" w:rsidRPr="00DD0C44" w:rsidRDefault="001B4BCD" w:rsidP="001B4BCD">
            <w:pPr>
              <w:pStyle w:val="NoSpacing"/>
              <w:jc w:val="left"/>
              <w:rPr>
                <w:rFonts w:ascii="Calibri" w:hAnsi="Calibri"/>
                <w:bCs w:val="0"/>
              </w:rPr>
            </w:pPr>
            <w:r w:rsidRPr="00DD0C44">
              <w:rPr>
                <w:rFonts w:ascii="Calibri" w:hAnsi="Calibri"/>
                <w:bCs w:val="0"/>
              </w:rPr>
              <w:t>24</w:t>
            </w:r>
          </w:p>
        </w:tc>
        <w:tc>
          <w:tcPr>
            <w:tcW w:w="2029" w:type="dxa"/>
          </w:tcPr>
          <w:p w14:paraId="7EBF66AA"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dGap_In_Care</w:t>
            </w:r>
            <w:proofErr w:type="spellEnd"/>
          </w:p>
        </w:tc>
        <w:tc>
          <w:tcPr>
            <w:tcW w:w="3150" w:type="dxa"/>
          </w:tcPr>
          <w:p w14:paraId="0FD28890"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Duration of gap in care after losing adherence to ART</w:t>
            </w:r>
          </w:p>
        </w:tc>
        <w:tc>
          <w:tcPr>
            <w:tcW w:w="2160" w:type="dxa"/>
          </w:tcPr>
          <w:p w14:paraId="1ACDB91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26 weeks</w:t>
            </w:r>
          </w:p>
        </w:tc>
        <w:tc>
          <w:tcPr>
            <w:tcW w:w="1714" w:type="dxa"/>
          </w:tcPr>
          <w:p w14:paraId="61421A04"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 xml:space="preserve">Fixed </w:t>
            </w:r>
          </w:p>
        </w:tc>
      </w:tr>
      <w:tr w:rsidR="001B4BCD" w:rsidRPr="00DD0C44" w14:paraId="4CB01909" w14:textId="77777777" w:rsidTr="001B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Pr>
          <w:p w14:paraId="01FC53B1" w14:textId="77777777" w:rsidR="001B4BCD" w:rsidRPr="00DD0C44" w:rsidRDefault="001B4BCD" w:rsidP="001B4BCD">
            <w:pPr>
              <w:pStyle w:val="NoSpacing"/>
              <w:jc w:val="left"/>
              <w:rPr>
                <w:rFonts w:ascii="Calibri" w:hAnsi="Calibri"/>
                <w:bCs w:val="0"/>
              </w:rPr>
            </w:pPr>
            <w:r w:rsidRPr="00DD0C44">
              <w:rPr>
                <w:rFonts w:ascii="Calibri" w:hAnsi="Calibri"/>
                <w:bCs w:val="0"/>
              </w:rPr>
              <w:t>25</w:t>
            </w:r>
          </w:p>
        </w:tc>
        <w:tc>
          <w:tcPr>
            <w:tcW w:w="2029" w:type="dxa"/>
          </w:tcPr>
          <w:p w14:paraId="48236A5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proofErr w:type="spellStart"/>
            <w:r w:rsidRPr="00DD0C44">
              <w:rPr>
                <w:rFonts w:ascii="Calibri" w:hAnsi="Calibri"/>
                <w:bCs/>
              </w:rPr>
              <w:t>pLose_Adh_ART</w:t>
            </w:r>
            <w:proofErr w:type="spellEnd"/>
          </w:p>
          <w:p w14:paraId="11B4736B" w14:textId="77777777" w:rsidR="001B4BCD" w:rsidRPr="00DD0C44" w:rsidRDefault="001B4BCD" w:rsidP="001B4BCD">
            <w:pPr>
              <w:ind w:firstLine="720"/>
              <w:jc w:val="left"/>
              <w:cnfStyle w:val="000000100000" w:firstRow="0" w:lastRow="0" w:firstColumn="0" w:lastColumn="0" w:oddVBand="0" w:evenVBand="0" w:oddHBand="1" w:evenHBand="0" w:firstRowFirstColumn="0" w:firstRowLastColumn="0" w:lastRowFirstColumn="0" w:lastRowLastColumn="0"/>
              <w:rPr>
                <w:bCs/>
                <w:sz w:val="18"/>
              </w:rPr>
            </w:pPr>
          </w:p>
        </w:tc>
        <w:tc>
          <w:tcPr>
            <w:tcW w:w="3150" w:type="dxa"/>
          </w:tcPr>
          <w:p w14:paraId="52BC7D21"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Individual’s likelihood of losing adherence to ART in (1, 2, 8) years after initiation</w:t>
            </w:r>
          </w:p>
        </w:tc>
        <w:tc>
          <w:tcPr>
            <w:tcW w:w="2160" w:type="dxa"/>
          </w:tcPr>
          <w:p w14:paraId="241929BD"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0.24: In the 1</w:t>
            </w:r>
            <w:r w:rsidRPr="00DD0C44">
              <w:rPr>
                <w:rFonts w:ascii="Calibri" w:hAnsi="Calibri"/>
                <w:bCs/>
                <w:vertAlign w:val="superscript"/>
              </w:rPr>
              <w:t>st</w:t>
            </w:r>
            <w:r w:rsidRPr="00DD0C44">
              <w:rPr>
                <w:rFonts w:ascii="Calibri" w:hAnsi="Calibri"/>
                <w:bCs/>
              </w:rPr>
              <w:t xml:space="preserve"> year</w:t>
            </w:r>
          </w:p>
          <w:p w14:paraId="74630DD3"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0.5: In the 2</w:t>
            </w:r>
            <w:r w:rsidRPr="00DD0C44">
              <w:rPr>
                <w:rFonts w:ascii="Calibri" w:hAnsi="Calibri"/>
                <w:bCs/>
                <w:vertAlign w:val="superscript"/>
              </w:rPr>
              <w:t>nd</w:t>
            </w:r>
            <w:r w:rsidRPr="00DD0C44">
              <w:rPr>
                <w:rFonts w:ascii="Calibri" w:hAnsi="Calibri"/>
                <w:bCs/>
              </w:rPr>
              <w:t xml:space="preserve"> year</w:t>
            </w:r>
          </w:p>
          <w:p w14:paraId="17165383"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0.9: Until the 8</w:t>
            </w:r>
            <w:r w:rsidRPr="00DD0C44">
              <w:rPr>
                <w:rFonts w:ascii="Calibri" w:hAnsi="Calibri"/>
                <w:bCs/>
                <w:vertAlign w:val="superscript"/>
              </w:rPr>
              <w:t>th</w:t>
            </w:r>
            <w:r w:rsidRPr="00DD0C44">
              <w:rPr>
                <w:rFonts w:ascii="Calibri" w:hAnsi="Calibri"/>
                <w:bCs/>
              </w:rPr>
              <w:t xml:space="preserve"> year</w:t>
            </w:r>
          </w:p>
        </w:tc>
        <w:tc>
          <w:tcPr>
            <w:tcW w:w="1714" w:type="dxa"/>
          </w:tcPr>
          <w:p w14:paraId="4E8E85CE" w14:textId="77777777" w:rsidR="001B4BCD" w:rsidRPr="00DD0C44" w:rsidRDefault="001B4BCD" w:rsidP="001B4BCD">
            <w:pPr>
              <w:pStyle w:val="NoSpacing"/>
              <w:jc w:val="left"/>
              <w:cnfStyle w:val="000000100000" w:firstRow="0" w:lastRow="0" w:firstColumn="0" w:lastColumn="0" w:oddVBand="0" w:evenVBand="0" w:oddHBand="1" w:evenHBand="0" w:firstRowFirstColumn="0" w:firstRowLastColumn="0" w:lastRowFirstColumn="0" w:lastRowLastColumn="0"/>
              <w:rPr>
                <w:rFonts w:ascii="Calibri" w:hAnsi="Calibri"/>
                <w:bCs/>
              </w:rPr>
            </w:pPr>
            <w:r w:rsidRPr="00DD0C44">
              <w:rPr>
                <w:rFonts w:ascii="Calibri" w:hAnsi="Calibri"/>
                <w:bCs/>
              </w:rPr>
              <w:t>Fixed (Literature)</w:t>
            </w:r>
          </w:p>
        </w:tc>
      </w:tr>
      <w:tr w:rsidR="001B4BCD" w:rsidRPr="00DD0C44" w14:paraId="1E6AD4D6" w14:textId="77777777" w:rsidTr="001B4BCD">
        <w:tc>
          <w:tcPr>
            <w:cnfStyle w:val="001000000000" w:firstRow="0" w:lastRow="0" w:firstColumn="1" w:lastColumn="0" w:oddVBand="0" w:evenVBand="0" w:oddHBand="0" w:evenHBand="0" w:firstRowFirstColumn="0" w:firstRowLastColumn="0" w:lastRowFirstColumn="0" w:lastRowLastColumn="0"/>
            <w:tcW w:w="509" w:type="dxa"/>
          </w:tcPr>
          <w:p w14:paraId="1ABD4903" w14:textId="77777777" w:rsidR="001B4BCD" w:rsidRPr="00DD0C44" w:rsidRDefault="001B4BCD" w:rsidP="001B4BCD">
            <w:pPr>
              <w:pStyle w:val="NoSpacing"/>
              <w:jc w:val="left"/>
              <w:rPr>
                <w:rFonts w:ascii="Calibri" w:hAnsi="Calibri"/>
                <w:bCs w:val="0"/>
              </w:rPr>
            </w:pPr>
            <w:r w:rsidRPr="00DD0C44">
              <w:rPr>
                <w:rFonts w:ascii="Calibri" w:hAnsi="Calibri"/>
                <w:bCs w:val="0"/>
              </w:rPr>
              <w:t>26</w:t>
            </w:r>
          </w:p>
        </w:tc>
        <w:tc>
          <w:tcPr>
            <w:tcW w:w="2029" w:type="dxa"/>
          </w:tcPr>
          <w:p w14:paraId="6AA6AA4A"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roofErr w:type="spellStart"/>
            <w:r w:rsidRPr="00DD0C44">
              <w:rPr>
                <w:rFonts w:ascii="Calibri" w:hAnsi="Calibri"/>
                <w:bCs/>
              </w:rPr>
              <w:t>cLose_Adh_ART</w:t>
            </w:r>
            <w:proofErr w:type="spellEnd"/>
          </w:p>
          <w:p w14:paraId="16DFCD8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3150" w:type="dxa"/>
          </w:tcPr>
          <w:p w14:paraId="22DD4695"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A simulation coefficient used to adjust the adherence to ART and calibrating the cascade of care</w:t>
            </w:r>
          </w:p>
        </w:tc>
        <w:tc>
          <w:tcPr>
            <w:tcW w:w="2160" w:type="dxa"/>
          </w:tcPr>
          <w:p w14:paraId="1DE989FD"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0.7</w:t>
            </w:r>
          </w:p>
        </w:tc>
        <w:tc>
          <w:tcPr>
            <w:tcW w:w="1714" w:type="dxa"/>
          </w:tcPr>
          <w:p w14:paraId="235F69CE" w14:textId="77777777" w:rsidR="001B4BCD" w:rsidRPr="00DD0C44" w:rsidRDefault="001B4BCD" w:rsidP="001B4BCD">
            <w:pPr>
              <w:pStyle w:val="NoSpacing"/>
              <w:jc w:val="left"/>
              <w:cnfStyle w:val="000000000000" w:firstRow="0" w:lastRow="0" w:firstColumn="0" w:lastColumn="0" w:oddVBand="0" w:evenVBand="0" w:oddHBand="0" w:evenHBand="0" w:firstRowFirstColumn="0" w:firstRowLastColumn="0" w:lastRowFirstColumn="0" w:lastRowLastColumn="0"/>
              <w:rPr>
                <w:rFonts w:ascii="Calibri" w:hAnsi="Calibri"/>
                <w:bCs/>
              </w:rPr>
            </w:pPr>
            <w:r w:rsidRPr="00DD0C44">
              <w:rPr>
                <w:rFonts w:ascii="Calibri" w:hAnsi="Calibri"/>
                <w:bCs/>
              </w:rPr>
              <w:t>Variable</w:t>
            </w:r>
          </w:p>
        </w:tc>
      </w:tr>
    </w:tbl>
    <w:p w14:paraId="0373D6C9" w14:textId="77777777" w:rsidR="001B4BCD" w:rsidRPr="00DD0C44" w:rsidRDefault="001B4BCD" w:rsidP="001B4BCD">
      <w:pPr>
        <w:pStyle w:val="NormalIndent"/>
        <w:ind w:left="0"/>
      </w:pPr>
    </w:p>
    <w:p w14:paraId="47B64EE4" w14:textId="77777777" w:rsidR="001B4BCD" w:rsidRPr="00DD0C44" w:rsidRDefault="001B4BCD" w:rsidP="00A9737C">
      <w:pPr>
        <w:pStyle w:val="Heading2"/>
      </w:pPr>
      <w:r w:rsidRPr="00DD0C44">
        <w:t xml:space="preserve">Sensitivity analysis of HIV incidence in the absence of PrEP: </w:t>
      </w:r>
    </w:p>
    <w:p w14:paraId="6F2B8EE7" w14:textId="5FA63274" w:rsidR="001B4BCD" w:rsidRPr="00DD0C44" w:rsidRDefault="001B4BCD" w:rsidP="00D56DB2">
      <w:pPr>
        <w:pStyle w:val="NormalIndent"/>
        <w:ind w:left="0"/>
      </w:pPr>
      <w:r w:rsidRPr="00DD0C44">
        <w:t>After implementing the parameter change and running the model for an additional burn in period (20 years), w</w:t>
      </w:r>
      <w:r w:rsidR="00E53888" w:rsidRPr="00DD0C44">
        <w:t xml:space="preserve">e mapped the </w:t>
      </w:r>
      <w:r w:rsidRPr="00DD0C44">
        <w:t xml:space="preserve">new level of </w:t>
      </w:r>
      <w:r w:rsidR="00E53888" w:rsidRPr="00DD0C44">
        <w:t xml:space="preserve">HIV incidence </w:t>
      </w:r>
      <w:r w:rsidRPr="00DD0C44">
        <w:t xml:space="preserve">over 10 years of analysis </w:t>
      </w:r>
      <w:r w:rsidR="00E53888" w:rsidRPr="00DD0C44">
        <w:t>and compared that with the original level of HIV incidence in the baseline model. Using a threshold of 2</w:t>
      </w:r>
      <w:r w:rsidR="009A7208" w:rsidRPr="00DD0C44">
        <w:t>5</w:t>
      </w:r>
      <w:r w:rsidR="00E53888" w:rsidRPr="00DD0C44">
        <w:t xml:space="preserve">% to identify </w:t>
      </w:r>
      <w:r w:rsidR="001E1705" w:rsidRPr="00DD0C44">
        <w:t>significant</w:t>
      </w:r>
      <w:r w:rsidR="00E53888" w:rsidRPr="00DD0C44">
        <w:t xml:space="preserve"> effects, HIV incidence was sensitive to variation of several model </w:t>
      </w:r>
      <w:r w:rsidR="001E1705" w:rsidRPr="00DD0C44">
        <w:t>parameters</w:t>
      </w:r>
      <w:r w:rsidR="00E53888" w:rsidRPr="00DD0C44">
        <w:t xml:space="preserve"> pertaining to probability of transmission (e.g., Viral load levels determining HIV infectiousness), and frequency of </w:t>
      </w:r>
      <w:r w:rsidR="001E1705" w:rsidRPr="00DD0C44">
        <w:t>sexual contacts</w:t>
      </w:r>
      <w:r w:rsidRPr="00DD0C44">
        <w:t xml:space="preserve"> (</w:t>
      </w:r>
      <w:r w:rsidR="00D359BB" w:rsidRPr="00DD0C44">
        <w:t>Figure 1</w:t>
      </w:r>
      <w:r w:rsidR="007F3F5D" w:rsidRPr="00DD0C44">
        <w:t>5</w:t>
      </w:r>
      <w:r w:rsidRPr="00DD0C44">
        <w:t>)</w:t>
      </w:r>
      <w:r w:rsidR="001E1705" w:rsidRPr="00DD0C44">
        <w:t xml:space="preserve">. </w:t>
      </w:r>
    </w:p>
    <w:p w14:paraId="3F123346" w14:textId="77777777" w:rsidR="001E1705" w:rsidRPr="00DD0C44" w:rsidRDefault="001E1705" w:rsidP="00D56DB2">
      <w:pPr>
        <w:pStyle w:val="NormalIndent"/>
        <w:ind w:left="0"/>
      </w:pPr>
    </w:p>
    <w:p w14:paraId="35C07995" w14:textId="77777777" w:rsidR="00E53888" w:rsidRPr="00DD0C44" w:rsidRDefault="00E53888" w:rsidP="00D56DB2">
      <w:pPr>
        <w:pStyle w:val="NormalIndent"/>
        <w:ind w:left="0"/>
      </w:pPr>
    </w:p>
    <w:p w14:paraId="7E6E6502" w14:textId="77777777" w:rsidR="001E1705" w:rsidRPr="00DD0C44" w:rsidRDefault="00E53888" w:rsidP="001E1705">
      <w:pPr>
        <w:pStyle w:val="NormalIndent"/>
        <w:keepNext/>
        <w:ind w:left="0"/>
      </w:pPr>
      <w:r w:rsidRPr="00DD0C44">
        <w:rPr>
          <w:noProof/>
          <w:snapToGrid/>
        </w:rPr>
        <w:lastRenderedPageBreak/>
        <w:drawing>
          <wp:inline distT="0" distB="0" distL="0" distR="0" wp14:anchorId="31287A66" wp14:editId="2A042308">
            <wp:extent cx="5943600" cy="419808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198082"/>
                    </a:xfrm>
                    <a:prstGeom prst="rect">
                      <a:avLst/>
                    </a:prstGeom>
                    <a:noFill/>
                    <a:ln>
                      <a:noFill/>
                    </a:ln>
                  </pic:spPr>
                </pic:pic>
              </a:graphicData>
            </a:graphic>
          </wp:inline>
        </w:drawing>
      </w:r>
    </w:p>
    <w:p w14:paraId="340507C5" w14:textId="34C50CCD" w:rsidR="00E53888" w:rsidRPr="00DD0C44" w:rsidRDefault="001E1705" w:rsidP="009A7208">
      <w:pPr>
        <w:pStyle w:val="Caption"/>
        <w:jc w:val="center"/>
      </w:pPr>
      <w:r w:rsidRPr="00DD0C44">
        <w:t xml:space="preserve">Figure </w:t>
      </w:r>
      <w:fldSimple w:instr=" SEQ Figure \* ARABIC ">
        <w:r w:rsidR="00D96644" w:rsidRPr="00DD0C44">
          <w:rPr>
            <w:noProof/>
          </w:rPr>
          <w:t>1</w:t>
        </w:r>
        <w:r w:rsidR="007F3F5D" w:rsidRPr="00DD0C44">
          <w:rPr>
            <w:noProof/>
          </w:rPr>
          <w:t>5</w:t>
        </w:r>
      </w:fldSimple>
      <w:r w:rsidRPr="00DD0C44">
        <w:t xml:space="preserve">: Sensitivity analysis of annual HIV incidence to variation of all model parameters in the absence of PrEP. </w:t>
      </w:r>
      <w:r w:rsidRPr="00DD0C44">
        <w:rPr>
          <w:b w:val="0"/>
        </w:rPr>
        <w:t>The x-axis shows the percent difference in the incidence after the parameter change relative to its baseline value [ranging from -100% to +100%]. The Y-axis shows the corresponding parameter change, with +/- sign representing a 25% increase/decrease in the origina</w:t>
      </w:r>
      <w:r w:rsidR="009A7208" w:rsidRPr="00DD0C44">
        <w:rPr>
          <w:b w:val="0"/>
        </w:rPr>
        <w:t>l value. Using a threshold of 25</w:t>
      </w:r>
      <w:r w:rsidRPr="00DD0C44">
        <w:rPr>
          <w:b w:val="0"/>
        </w:rPr>
        <w:t>% to detect significant variations from baseline</w:t>
      </w:r>
      <w:r w:rsidR="007341A5" w:rsidRPr="00DD0C44">
        <w:rPr>
          <w:b w:val="0"/>
        </w:rPr>
        <w:t xml:space="preserve"> (highlighted in red)</w:t>
      </w:r>
      <w:r w:rsidRPr="00DD0C44">
        <w:rPr>
          <w:b w:val="0"/>
        </w:rPr>
        <w:t>, presented SA scenarios carry a significant impact on HIV incidence.</w:t>
      </w:r>
    </w:p>
    <w:p w14:paraId="4007E4B6" w14:textId="77777777" w:rsidR="00E53888" w:rsidRPr="00DD0C44" w:rsidRDefault="00E53888" w:rsidP="00D56DB2">
      <w:pPr>
        <w:pStyle w:val="NormalIndent"/>
        <w:ind w:left="0"/>
      </w:pPr>
    </w:p>
    <w:p w14:paraId="4DD7A766" w14:textId="77777777" w:rsidR="001B4BCD" w:rsidRPr="00DD0C44" w:rsidRDefault="001B4BCD" w:rsidP="00A9737C">
      <w:pPr>
        <w:pStyle w:val="Heading2"/>
      </w:pPr>
      <w:r w:rsidRPr="00DD0C44">
        <w:t xml:space="preserve">Sensitivity analysis of the impact of PrEP on HIV incidence: </w:t>
      </w:r>
    </w:p>
    <w:p w14:paraId="65057920" w14:textId="368340E8" w:rsidR="009A7208" w:rsidRPr="00DD0C44" w:rsidRDefault="009A7208" w:rsidP="009A7208">
      <w:pPr>
        <w:pStyle w:val="NormalIndent"/>
        <w:ind w:left="0"/>
      </w:pPr>
      <w:r w:rsidRPr="00DD0C44">
        <w:t xml:space="preserve">Since our viral load and HIV transmission parameters end up being multiplied together, or even </w:t>
      </w:r>
      <w:proofErr w:type="spellStart"/>
      <w:r w:rsidRPr="00DD0C44">
        <w:t>exponentiated</w:t>
      </w:r>
      <w:proofErr w:type="spellEnd"/>
      <w:r w:rsidRPr="00DD0C44">
        <w:t xml:space="preserve"> – a 25% variation in the original parameter value often resulted in unreasonably large shifts in HIV incidence, in the absence of PrEP. For example, a 25% change in estimated viral load during the chronic phase results in an increase of more than 150% in the HIV incidence in this population – a level of variation that is not epidemiologically reasonable in Baltimore City (and indeed, the very reason that we calibrated the model to HIV prevalence, as above). As a result, reporting sensitivity of the model to a “25% change in viral load during the chronic phase” is misleading, as this is actually reporting the sensitivity of the model to a &gt;150% change in baseline incidence.</w:t>
      </w:r>
    </w:p>
    <w:p w14:paraId="753DA4D7" w14:textId="1C68FBB8" w:rsidR="001B4BCD" w:rsidRPr="00DD0C44" w:rsidRDefault="007341A5" w:rsidP="001B4BCD">
      <w:pPr>
        <w:pStyle w:val="NormalIndent"/>
        <w:ind w:left="0"/>
      </w:pPr>
      <w:r w:rsidRPr="00DD0C44">
        <w:t xml:space="preserve">After seeing this, we instead took each of the viral load parameters and evaluated what degree of change in those parameters would result in a roughly 25% change in HIV incidence. We found that, regardless of the parameter chosen, the sensitivity of the relative impact of PrEP scaled with the effect of the parameter on HIV incidence. For example, a 3.5% increase in viral load during the chronic phase </w:t>
      </w:r>
      <w:r w:rsidRPr="00DD0C44">
        <w:lastRenderedPageBreak/>
        <w:t>results in a 17% increase in HIV incidence, under which the relative impact of PrEP increases by 10%.  Similarly, a 15% increase in viral load during the late phase results in a 20% increase in HIV incidence, under which the relative impact of PrEP increases by 12%</w:t>
      </w:r>
      <w:r w:rsidR="007F3F5D" w:rsidRPr="00DD0C44">
        <w:t xml:space="preserve"> (Figure 16</w:t>
      </w:r>
      <w:r w:rsidR="00D96644" w:rsidRPr="00DD0C44">
        <w:t>)</w:t>
      </w:r>
      <w:r w:rsidRPr="00DD0C44">
        <w:t xml:space="preserve">.  </w:t>
      </w:r>
      <w:r w:rsidR="009A7208" w:rsidRPr="00DD0C44">
        <w:t>When these parameters are varied in such a way to generate a &lt;= 25% change in HIV incidence at baseline, the change in PrEP impact actually falls below our pre-defined threshold of +/-2</w:t>
      </w:r>
      <w:r w:rsidRPr="00DD0C44">
        <w:t>5</w:t>
      </w:r>
      <w:r w:rsidR="009A7208" w:rsidRPr="00DD0C44">
        <w:t>% (</w:t>
      </w:r>
      <w:r w:rsidR="007D6932" w:rsidRPr="00DD0C44">
        <w:t>Figure 1</w:t>
      </w:r>
      <w:r w:rsidR="007F3F5D" w:rsidRPr="00DD0C44">
        <w:t>7</w:t>
      </w:r>
      <w:r w:rsidR="00D96644" w:rsidRPr="00DD0C44">
        <w:t>).</w:t>
      </w:r>
    </w:p>
    <w:p w14:paraId="79D118D9" w14:textId="07190314" w:rsidR="00977637" w:rsidRPr="00DD0C44" w:rsidRDefault="00977637" w:rsidP="001E1705">
      <w:pPr>
        <w:pStyle w:val="Caption"/>
        <w:jc w:val="center"/>
      </w:pPr>
    </w:p>
    <w:p w14:paraId="3444F151" w14:textId="169C7334" w:rsidR="00344C50" w:rsidRPr="00DD0C44" w:rsidRDefault="007341A5" w:rsidP="00344C50">
      <w:pPr>
        <w:pStyle w:val="NormalIndent"/>
        <w:keepNext/>
        <w:ind w:left="0"/>
        <w:jc w:val="center"/>
      </w:pPr>
      <w:r w:rsidRPr="00DD0C44">
        <w:rPr>
          <w:noProof/>
          <w:snapToGrid/>
        </w:rPr>
        <w:drawing>
          <wp:inline distT="0" distB="0" distL="0" distR="0" wp14:anchorId="2A13B0C5" wp14:editId="0F3B9AC6">
            <wp:extent cx="5943600" cy="3356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56928"/>
                    </a:xfrm>
                    <a:prstGeom prst="rect">
                      <a:avLst/>
                    </a:prstGeom>
                    <a:noFill/>
                    <a:ln>
                      <a:noFill/>
                    </a:ln>
                  </pic:spPr>
                </pic:pic>
              </a:graphicData>
            </a:graphic>
          </wp:inline>
        </w:drawing>
      </w:r>
    </w:p>
    <w:p w14:paraId="79E41D85" w14:textId="4BCF9FE4" w:rsidR="00344C50" w:rsidRPr="00DD0C44" w:rsidRDefault="00344C50" w:rsidP="00CF64D9">
      <w:pPr>
        <w:pStyle w:val="Caption"/>
        <w:jc w:val="center"/>
      </w:pPr>
      <w:r w:rsidRPr="00DD0C44">
        <w:t>Figure</w:t>
      </w:r>
      <w:r w:rsidR="00A46BB3" w:rsidRPr="00DD0C44">
        <w:t xml:space="preserve"> 1</w:t>
      </w:r>
      <w:r w:rsidR="007F3F5D" w:rsidRPr="00DD0C44">
        <w:t>6</w:t>
      </w:r>
      <w:r w:rsidRPr="00DD0C44">
        <w:t xml:space="preserve">: Sensitivity analysis of the impact of PrEP on HIV incidence to variation of </w:t>
      </w:r>
      <w:r w:rsidR="007341A5" w:rsidRPr="00DD0C44">
        <w:t xml:space="preserve">selected </w:t>
      </w:r>
      <w:r w:rsidRPr="00DD0C44">
        <w:t>model parameters.</w:t>
      </w:r>
      <w:r w:rsidRPr="00DD0C44">
        <w:rPr>
          <w:b w:val="0"/>
        </w:rPr>
        <w:t xml:space="preserve"> Panels map the relative impact of PrEP on incidence</w:t>
      </w:r>
      <w:r w:rsidR="00A46BB3" w:rsidRPr="00DD0C44">
        <w:rPr>
          <w:b w:val="0"/>
        </w:rPr>
        <w:t xml:space="preserve"> </w:t>
      </w:r>
      <w:r w:rsidR="00940F48" w:rsidRPr="00DD0C44">
        <w:rPr>
          <w:b w:val="0"/>
        </w:rPr>
        <w:t>in the first 10</w:t>
      </w:r>
      <w:r w:rsidR="00A46BB3" w:rsidRPr="00DD0C44">
        <w:rPr>
          <w:b w:val="0"/>
        </w:rPr>
        <w:t xml:space="preserve"> years</w:t>
      </w:r>
      <w:r w:rsidRPr="00DD0C44">
        <w:rPr>
          <w:b w:val="0"/>
        </w:rPr>
        <w:t xml:space="preserve"> of implementation according to scenario 1, assuming </w:t>
      </w:r>
      <w:r w:rsidR="00A46BB3" w:rsidRPr="00DD0C44">
        <w:rPr>
          <w:b w:val="0"/>
        </w:rPr>
        <w:t>60</w:t>
      </w:r>
      <w:r w:rsidRPr="00DD0C44">
        <w:rPr>
          <w:b w:val="0"/>
        </w:rPr>
        <w:t xml:space="preserve">% </w:t>
      </w:r>
      <w:r w:rsidR="00B126D8" w:rsidRPr="00DD0C44">
        <w:rPr>
          <w:b w:val="0"/>
        </w:rPr>
        <w:t>protection</w:t>
      </w:r>
      <w:r w:rsidRPr="00DD0C44">
        <w:rPr>
          <w:b w:val="0"/>
        </w:rPr>
        <w:t xml:space="preserve">. The x-axis shows the percent difference in the corresponding output after the parameter change relative to its baseline value. The Y-axis shows the corresponding parameter change, with </w:t>
      </w:r>
      <w:r w:rsidR="00A75A1C" w:rsidRPr="00DD0C44">
        <w:rPr>
          <w:b w:val="0"/>
        </w:rPr>
        <w:t xml:space="preserve">the noted </w:t>
      </w:r>
      <w:r w:rsidR="007341A5" w:rsidRPr="00DD0C44">
        <w:rPr>
          <w:b w:val="0"/>
        </w:rPr>
        <w:t xml:space="preserve">variation </w:t>
      </w:r>
      <w:r w:rsidRPr="00DD0C44">
        <w:rPr>
          <w:b w:val="0"/>
        </w:rPr>
        <w:t>in the original value</w:t>
      </w:r>
      <w:r w:rsidR="009A7208" w:rsidRPr="00DD0C44">
        <w:rPr>
          <w:b w:val="0"/>
        </w:rPr>
        <w:t xml:space="preserve"> </w:t>
      </w:r>
      <w:r w:rsidR="00A75A1C" w:rsidRPr="00DD0C44">
        <w:rPr>
          <w:b w:val="0"/>
        </w:rPr>
        <w:t>to provide a</w:t>
      </w:r>
      <w:r w:rsidR="007341A5" w:rsidRPr="00DD0C44">
        <w:rPr>
          <w:b w:val="0"/>
        </w:rPr>
        <w:t xml:space="preserve"> roughly 25% change in HIV incidence</w:t>
      </w:r>
      <w:r w:rsidRPr="00DD0C44">
        <w:rPr>
          <w:b w:val="0"/>
        </w:rPr>
        <w:t xml:space="preserve">. </w:t>
      </w:r>
      <w:r w:rsidR="00A46BB3" w:rsidRPr="00DD0C44">
        <w:rPr>
          <w:b w:val="0"/>
        </w:rPr>
        <w:t>Using a</w:t>
      </w:r>
      <w:r w:rsidRPr="00DD0C44">
        <w:rPr>
          <w:b w:val="0"/>
        </w:rPr>
        <w:t xml:space="preserve"> threshold of </w:t>
      </w:r>
      <w:r w:rsidR="00CC751C" w:rsidRPr="00DD0C44">
        <w:rPr>
          <w:b w:val="0"/>
        </w:rPr>
        <w:t>2</w:t>
      </w:r>
      <w:r w:rsidR="007341A5" w:rsidRPr="00DD0C44">
        <w:rPr>
          <w:b w:val="0"/>
        </w:rPr>
        <w:t>5</w:t>
      </w:r>
      <w:r w:rsidRPr="00DD0C44">
        <w:rPr>
          <w:b w:val="0"/>
        </w:rPr>
        <w:t>%</w:t>
      </w:r>
      <w:r w:rsidR="00A46BB3" w:rsidRPr="00DD0C44">
        <w:rPr>
          <w:b w:val="0"/>
        </w:rPr>
        <w:t xml:space="preserve"> to detect significant variations from baseline</w:t>
      </w:r>
      <w:r w:rsidR="007341A5" w:rsidRPr="00DD0C44">
        <w:rPr>
          <w:b w:val="0"/>
        </w:rPr>
        <w:t xml:space="preserve"> (</w:t>
      </w:r>
      <w:r w:rsidR="00A75A1C" w:rsidRPr="00DD0C44">
        <w:rPr>
          <w:b w:val="0"/>
        </w:rPr>
        <w:t xml:space="preserve">bars </w:t>
      </w:r>
      <w:r w:rsidR="007341A5" w:rsidRPr="00DD0C44">
        <w:rPr>
          <w:b w:val="0"/>
        </w:rPr>
        <w:t>highlighted in red)</w:t>
      </w:r>
      <w:r w:rsidR="00A46BB3" w:rsidRPr="00DD0C44">
        <w:rPr>
          <w:b w:val="0"/>
        </w:rPr>
        <w:t>, none of the SA scenarios carr</w:t>
      </w:r>
      <w:r w:rsidR="00D96644" w:rsidRPr="00DD0C44">
        <w:rPr>
          <w:b w:val="0"/>
        </w:rPr>
        <w:t>ies</w:t>
      </w:r>
      <w:r w:rsidR="00A46BB3" w:rsidRPr="00DD0C44">
        <w:rPr>
          <w:b w:val="0"/>
        </w:rPr>
        <w:t xml:space="preserve"> a significant impact on results</w:t>
      </w:r>
      <w:r w:rsidR="00940F48" w:rsidRPr="00DD0C44">
        <w:rPr>
          <w:b w:val="0"/>
        </w:rPr>
        <w:t xml:space="preserve"> that persist</w:t>
      </w:r>
      <w:r w:rsidR="00D96644" w:rsidRPr="00DD0C44">
        <w:rPr>
          <w:b w:val="0"/>
        </w:rPr>
        <w:t>s</w:t>
      </w:r>
      <w:r w:rsidR="00940F48" w:rsidRPr="00DD0C44">
        <w:rPr>
          <w:b w:val="0"/>
        </w:rPr>
        <w:t xml:space="preserve"> over time</w:t>
      </w:r>
      <w:r w:rsidR="007341A5" w:rsidRPr="00DD0C44">
        <w:rPr>
          <w:b w:val="0"/>
        </w:rPr>
        <w:t>.</w:t>
      </w:r>
    </w:p>
    <w:p w14:paraId="07ACB29E" w14:textId="4EE97D1E" w:rsidR="00D96644" w:rsidRPr="00DD0C44" w:rsidRDefault="00A9737C" w:rsidP="00D96644">
      <w:pPr>
        <w:keepNext/>
      </w:pPr>
      <w:r w:rsidRPr="00DD0C44">
        <w:br w:type="page"/>
      </w:r>
      <w:r w:rsidR="00D96644" w:rsidRPr="00DD0C44">
        <w:rPr>
          <w:noProof/>
          <w:snapToGrid/>
        </w:rPr>
        <w:lastRenderedPageBreak/>
        <w:drawing>
          <wp:inline distT="0" distB="0" distL="0" distR="0" wp14:anchorId="2D316740" wp14:editId="60B55BCF">
            <wp:extent cx="5943600" cy="3270167"/>
            <wp:effectExtent l="0" t="0" r="0" b="698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70167"/>
                    </a:xfrm>
                    <a:prstGeom prst="rect">
                      <a:avLst/>
                    </a:prstGeom>
                    <a:noFill/>
                    <a:ln>
                      <a:noFill/>
                    </a:ln>
                  </pic:spPr>
                </pic:pic>
              </a:graphicData>
            </a:graphic>
          </wp:inline>
        </w:drawing>
      </w:r>
    </w:p>
    <w:p w14:paraId="2EE9299C" w14:textId="685E9894" w:rsidR="00D96644" w:rsidRPr="00DD0C44" w:rsidRDefault="00D96644" w:rsidP="00D96644">
      <w:pPr>
        <w:pStyle w:val="Caption"/>
        <w:jc w:val="center"/>
        <w:rPr>
          <w:b w:val="0"/>
        </w:rPr>
      </w:pPr>
      <w:r w:rsidRPr="00DD0C44">
        <w:t>Figure 1</w:t>
      </w:r>
      <w:r w:rsidR="007F3F5D" w:rsidRPr="00DD0C44">
        <w:t>7</w:t>
      </w:r>
      <w:r w:rsidRPr="00DD0C44">
        <w:t>: Sensitivity analysis of the impact of PrEP on HIV incidence to variation of all model parameters.</w:t>
      </w:r>
      <w:r w:rsidRPr="00DD0C44">
        <w:rPr>
          <w:b w:val="0"/>
        </w:rPr>
        <w:t xml:space="preserve"> Panels map the relative impact of PrEP on incidence in the first 10 years of implementation according to scenario 1, assuming 60% protection. The x-axis shows the percent difference in the corresponding output after the parameter change relative to its baseline value. The Y-axis shows the corresponding parameter change, with +/- sign representing variation in the original value. Using a threshold of 25% to detect significant variations from baseline (only significant values are shown), none of the SA scenarios carries a significant impact on results that persists over time.</w:t>
      </w:r>
      <w:r w:rsidRPr="00DD0C44">
        <w:rPr>
          <w:b w:val="0"/>
        </w:rPr>
        <w:br w:type="page"/>
      </w:r>
    </w:p>
    <w:p w14:paraId="0F0E499B" w14:textId="77777777" w:rsidR="00A9737C" w:rsidRPr="00DD0C44" w:rsidRDefault="00A9737C" w:rsidP="00D96644">
      <w:pPr>
        <w:pStyle w:val="Caption"/>
      </w:pPr>
    </w:p>
    <w:p w14:paraId="1CA8929C" w14:textId="44015573" w:rsidR="00A9737C" w:rsidRPr="00DD0C44" w:rsidRDefault="00A9737C" w:rsidP="00A9737C">
      <w:pPr>
        <w:pStyle w:val="Heading1"/>
        <w:rPr>
          <w:snapToGrid/>
        </w:rPr>
      </w:pPr>
      <w:r w:rsidRPr="00DD0C44">
        <w:rPr>
          <w:snapToGrid/>
        </w:rPr>
        <w:t xml:space="preserve">Sexual </w:t>
      </w:r>
      <w:r w:rsidRPr="00DD0C44">
        <w:rPr>
          <w:rStyle w:val="Emphasis"/>
          <w:i w:val="0"/>
        </w:rPr>
        <w:t>positioning</w:t>
      </w:r>
      <w:r w:rsidRPr="00DD0C44">
        <w:rPr>
          <w:snapToGrid/>
        </w:rPr>
        <w:t xml:space="preserve"> (and corresponding differences in HIV transmissibility)</w:t>
      </w:r>
    </w:p>
    <w:p w14:paraId="791FDE19" w14:textId="5CE7A33C" w:rsidR="00A9737C" w:rsidRPr="00DD0C44" w:rsidRDefault="00A9737C" w:rsidP="00A9737C">
      <w:pPr>
        <w:rPr>
          <w:snapToGrid/>
        </w:rPr>
      </w:pPr>
      <w:r w:rsidRPr="00DD0C44">
        <w:rPr>
          <w:snapToGrid/>
        </w:rPr>
        <w:t xml:space="preserve">Given the main aim of this study to explore the population-level impact of PrEP, we have adopted several simplifying assumption regarding the heterogeneity of susceptibility to HIV infection. We note that this approach is also taken by a number of other recently published studies in the literature </w:t>
      </w:r>
      <w:r w:rsidRPr="00DD0C44">
        <w:rPr>
          <w:snapToGrid/>
        </w:rPr>
        <w:fldChar w:fldCharType="begin" w:fldLock="1"/>
      </w:r>
      <w:r w:rsidR="007176C4" w:rsidRPr="00DD0C44">
        <w:rPr>
          <w:snapToGrid/>
        </w:rPr>
        <w:instrText>ADDIN CSL_CITATION { "citationItems" : [ { "id" : "ITEM-1", "itemData" : { "author" : [ { "dropping-particle" : "", "family" : "Vieira", "given" : "Israel T.", "non-dropping-particle" : "", "parse-names" : false, "suffix" : "" }, { "dropping-particle" : "de", "family" : "Senna", "given" : "Valter", "non-dropping-particle" : "", "parse-names" : false, "suffix" : "" }, { "dropping-particle" : "", "family" : "Pereira.", "given" : "Hernane B. de B.", "non-dropping-particle" : "", "parse-names" : false, "suffix" : "" } ], "container-title" : "Pesquisa Operacional", "id" : "ITEM-1", "issue" : "2", "issued" : { "date-parts" : [ [ "2011" ] ] }, "page" : "373-389", "title" : "A small world model for the spread of HIV infection", "type" : "article-journal", "volume" : "31" }, "uris" : [ "http://www.mendeley.com/documents/?uuid=9d349b70-4540-4e73-aac2-893244364113" ] }, { "id" : "ITEM-2", "itemData" : { "author" : [ { "dropping-particle" : "", "family" : "Marshall", "given" : "Brandon DL", "non-dropping-particle" : "", "parse-names" : false, "suffix" : "" }, { "dropping-particle" : "", "family" : "Paczkowski", "given" : "Magdalena M.", "non-dropping-particle" : "", "parse-names" : false, "suffix" : "" }, { "dropping-particle" : "", "family" : "Seemann", "given" : "Lars", "non-dropping-particle" : "", "parse-names" : false, "suffix" : "" }, { "dropping-particle" : "", "family" : "Tempalski", "given" : "Barbara", "non-dropping-particle" : "", "parse-names" : false, "suffix" : "" }, { "dropping-particle" : "", "family" : "Pouget", "given" : "Enrique R.", "non-dropping-particle" : "", "parse-names" : false, "suffix" : "" }, { "dropping-particle" : "", "family" : "Galea", "given" : "Sandro", "non-dropping-particle" : "", "parse-names" : false, "suffix" : "" }, { "dropping-particle" : "", "family" : "Friedman.", "given" : "Samuel R.", "non-dropping-particle" : "", "parse-names" : false, "suffix" : "" } ], "container-title" : "PloS one", "id" : "ITEM-2", "issue" : "9", "issued" : { "date-parts" : [ [ "2012" ] ] }, "page" : "e44833", "title" : "A complex systems approach to evaluate HIV prevention in metropolitan areas: preliminary implications for combination intervention strategies", "type" : "article-journal", "volume" : "7" }, "uris" : [ "http://www.mendeley.com/documents/?uuid=f7211838-a7f5-42ca-9e5b-35ec2ce74810" ] }, { "id" : "ITEM-3", "itemData" : { "author" : [ { "dropping-particle" : "", "family" : "Alam", "given" : "S. J.", "non-dropping-particle" : "", "parse-names" : false, "suffix" : "" }, { "dropping-particle" : "", "family" : "Meyer", "given" : "R.", "non-dropping-particle" : "", "parse-names" : false, "suffix" : "" }, { "dropping-particle" : "", "family" : "Norling", "given" : "E.", "non-dropping-particle" : "", "parse-names" : false, "suffix" : "" } ], "container-title" : "Multi-Agent-Based Simulation IX", "id" : "ITEM-3", "issued" : { "date-parts" : [ [ "2009" ] ] }, "page" : "33-45", "title" : "A model for HIV spread in a South African village", "type" : "article-journal" }, "uris" : [ "http://www.mendeley.com/documents/?uuid=754d3ac3-832e-4e08-80bb-c5de3138417d" ] } ], "mendeley" : { "formattedCitation" : "[13,24,25]", "plainTextFormattedCitation" : "[13,24,25]", "previouslyFormattedCitation" : "[13,23,24]" }, "properties" : { "noteIndex" : 0 }, "schema" : "https://github.com/citation-style-language/schema/raw/master/csl-citation.json" }</w:instrText>
      </w:r>
      <w:r w:rsidRPr="00DD0C44">
        <w:rPr>
          <w:snapToGrid/>
        </w:rPr>
        <w:fldChar w:fldCharType="separate"/>
      </w:r>
      <w:r w:rsidR="007176C4" w:rsidRPr="00DD0C44">
        <w:rPr>
          <w:noProof/>
          <w:snapToGrid/>
        </w:rPr>
        <w:t>[13,24,25]</w:t>
      </w:r>
      <w:r w:rsidRPr="00DD0C44">
        <w:rPr>
          <w:snapToGrid/>
        </w:rPr>
        <w:fldChar w:fldCharType="end"/>
      </w:r>
      <w:r w:rsidRPr="00DD0C44">
        <w:rPr>
          <w:snapToGrid/>
        </w:rPr>
        <w:t xml:space="preserve">. </w:t>
      </w:r>
    </w:p>
    <w:p w14:paraId="30164BD2" w14:textId="7C10A373" w:rsidR="00A9737C" w:rsidRPr="00DD0C44" w:rsidRDefault="00A9737C" w:rsidP="00A9737C">
      <w:pPr>
        <w:rPr>
          <w:snapToGrid/>
        </w:rPr>
      </w:pPr>
      <w:r w:rsidRPr="00DD0C44">
        <w:rPr>
          <w:snapToGrid/>
        </w:rPr>
        <w:t xml:space="preserve">Nevertheless, in order to examine the potential impact of this assumption on our results, we constructed a test model in which we have assumed that 42% of MSM are insertive-only, 26% are </w:t>
      </w:r>
      <w:r w:rsidR="00E17B3A" w:rsidRPr="00DD0C44">
        <w:rPr>
          <w:snapToGrid/>
        </w:rPr>
        <w:t>receptive</w:t>
      </w:r>
      <w:r w:rsidRPr="00DD0C44">
        <w:rPr>
          <w:snapToGrid/>
        </w:rPr>
        <w:t xml:space="preserve">-only and the rest are versatile in their preference for an insertive or receptive role (estimated values are based on recent and unpublished data from BESURE </w:t>
      </w:r>
      <w:r w:rsidRPr="00DD0C44">
        <w:rPr>
          <w:snapToGrid/>
        </w:rPr>
        <w:fldChar w:fldCharType="begin" w:fldLock="1"/>
      </w:r>
      <w:r w:rsidR="007176C4" w:rsidRPr="00DD0C44">
        <w:rPr>
          <w:snapToGrid/>
        </w:rPr>
        <w:instrText>ADDIN CSL_CITATION { "citationItems" : [ { "id" : "ITEM-1", "itemData" : { "author" : [ { "dropping-particle" : "", "family" : "Maryland Department of Health and Mental Hygiene", "given" : "", "non-dropping-particle" : "", "parse-names" : false, "suffix" : "" } ], "id" : "ITEM-1", "issued" : { "date-parts" : [ [ "2015" ] ] }, "title" : "BESURE Study 2004-2014: Baltimore site of National HIV Behavioral Surveillance (NHBS)", "type" : "webpage" }, "uris" : [ "http://www.mendeley.com/documents/?uuid=d122aa34-5bb2-4f18-808b-4a6c916a83c8" ] } ], "mendeley" : { "formattedCitation" : "[26]", "plainTextFormattedCitation" : "[26]", "previouslyFormattedCitation" : "[25]" }, "properties" : { "noteIndex" : 0 }, "schema" : "https://github.com/citation-style-language/schema/raw/master/csl-citation.json" }</w:instrText>
      </w:r>
      <w:r w:rsidRPr="00DD0C44">
        <w:rPr>
          <w:snapToGrid/>
        </w:rPr>
        <w:fldChar w:fldCharType="separate"/>
      </w:r>
      <w:r w:rsidR="007176C4" w:rsidRPr="00DD0C44">
        <w:rPr>
          <w:noProof/>
          <w:snapToGrid/>
        </w:rPr>
        <w:t>[26]</w:t>
      </w:r>
      <w:r w:rsidRPr="00DD0C44">
        <w:rPr>
          <w:snapToGrid/>
        </w:rPr>
        <w:fldChar w:fldCharType="end"/>
      </w:r>
      <w:r w:rsidRPr="00DD0C44">
        <w:rPr>
          <w:snapToGrid/>
        </w:rPr>
        <w:t xml:space="preserve">). We further modified the sexual partnership formation to match for sexual positioning, and assumed that within each active sexual contact, those in a receptive role carry a higher probability of HIV transmission (using a similar structure as </w:t>
      </w:r>
      <w:proofErr w:type="spellStart"/>
      <w:r w:rsidRPr="00DD0C44">
        <w:rPr>
          <w:snapToGrid/>
        </w:rPr>
        <w:t>Jenness</w:t>
      </w:r>
      <w:proofErr w:type="spellEnd"/>
      <w:r w:rsidRPr="00DD0C44">
        <w:rPr>
          <w:snapToGrid/>
        </w:rPr>
        <w:t xml:space="preserve"> 2016 </w:t>
      </w:r>
      <w:r w:rsidRPr="00DD0C44">
        <w:rPr>
          <w:snapToGrid/>
        </w:rPr>
        <w:fldChar w:fldCharType="begin" w:fldLock="1"/>
      </w:r>
      <w:r w:rsidR="007176C4" w:rsidRPr="00DD0C44">
        <w:rPr>
          <w:snapToGrid/>
        </w:rPr>
        <w:instrText>ADDIN CSL_CITATION { "citationItems" : [ { "id" : "ITEM-1", "itemData" : { "author" : [ { "dropping-particle" : "", "family" : "Jenness", "given" : "SM", "non-dropping-particle" : "", "parse-names" : false, "suffix" : "" }, { "dropping-particle" : "", "family" : "Goodreau", "given" : "SM", "non-dropping-particle" : "", "parse-names" : false, "suffix" : "" } ], "container-title" : "Journal of Infectious", "id" : "ITEM-1", "issued" : { "date-parts" : [ [ "2016" ] ] }, "title" : "Impact of the Centers for Disease Control's HIV preexposure prophylaxis guidelines for men who have sex with men in the United States", "type" : "article-journal" }, "uris" : [ "http://www.mendeley.com/documents/?uuid=05d224fe-680c-31a1-bf26-37f03e1bc431" ] } ], "mendeley" : { "formattedCitation" : "[27]", "plainTextFormattedCitation" : "[27]", "previouslyFormattedCitation" : "[26]" }, "properties" : { "noteIndex" : 0 }, "schema" : "https://github.com/citation-style-language/schema/raw/master/csl-citation.json" }</w:instrText>
      </w:r>
      <w:r w:rsidRPr="00DD0C44">
        <w:rPr>
          <w:snapToGrid/>
        </w:rPr>
        <w:fldChar w:fldCharType="separate"/>
      </w:r>
      <w:r w:rsidR="007176C4" w:rsidRPr="00DD0C44">
        <w:rPr>
          <w:noProof/>
          <w:snapToGrid/>
        </w:rPr>
        <w:t>[27]</w:t>
      </w:r>
      <w:r w:rsidRPr="00DD0C44">
        <w:rPr>
          <w:snapToGrid/>
        </w:rPr>
        <w:fldChar w:fldCharType="end"/>
      </w:r>
      <w:r w:rsidRPr="00DD0C44">
        <w:rPr>
          <w:snapToGrid/>
        </w:rPr>
        <w:t>). We also modeled the likelihood of condom use in each partnership type and used the corresponding data reported through BESURE to calibrate the preference for condom use among MSM:</w:t>
      </w:r>
    </w:p>
    <w:p w14:paraId="62678BF5" w14:textId="77777777" w:rsidR="00A9737C" w:rsidRPr="00DD0C44" w:rsidRDefault="00A9737C" w:rsidP="00A9737C">
      <w:pPr>
        <w:pStyle w:val="ListParagraph"/>
        <w:numPr>
          <w:ilvl w:val="0"/>
          <w:numId w:val="31"/>
        </w:numPr>
        <w:rPr>
          <w:snapToGrid/>
        </w:rPr>
      </w:pPr>
      <w:r w:rsidRPr="00DD0C44">
        <w:rPr>
          <w:snapToGrid/>
        </w:rPr>
        <w:t>Proportion of MSM never using a condom in a casual partnership: 47%</w:t>
      </w:r>
    </w:p>
    <w:p w14:paraId="39711996" w14:textId="77777777" w:rsidR="00A9737C" w:rsidRPr="00DD0C44" w:rsidRDefault="00A9737C" w:rsidP="00A9737C">
      <w:pPr>
        <w:pStyle w:val="ListParagraph"/>
        <w:numPr>
          <w:ilvl w:val="0"/>
          <w:numId w:val="31"/>
        </w:numPr>
        <w:rPr>
          <w:snapToGrid/>
        </w:rPr>
      </w:pPr>
      <w:r w:rsidRPr="00DD0C44">
        <w:rPr>
          <w:snapToGrid/>
        </w:rPr>
        <w:t>Proportion of MSM sometimes using a condom in a casual partnership: 12%</w:t>
      </w:r>
    </w:p>
    <w:p w14:paraId="42EF5254" w14:textId="77777777" w:rsidR="00A9737C" w:rsidRPr="00DD0C44" w:rsidRDefault="00A9737C" w:rsidP="00A9737C">
      <w:pPr>
        <w:pStyle w:val="ListParagraph"/>
        <w:numPr>
          <w:ilvl w:val="0"/>
          <w:numId w:val="31"/>
        </w:numPr>
        <w:rPr>
          <w:snapToGrid/>
        </w:rPr>
      </w:pPr>
      <w:r w:rsidRPr="00DD0C44">
        <w:rPr>
          <w:snapToGrid/>
        </w:rPr>
        <w:t>Proportion of MSM never using a condom in a stable partnership: 45%</w:t>
      </w:r>
    </w:p>
    <w:p w14:paraId="72363B40" w14:textId="77777777" w:rsidR="00A9737C" w:rsidRPr="00DD0C44" w:rsidRDefault="00A9737C" w:rsidP="00A9737C">
      <w:pPr>
        <w:pStyle w:val="ListParagraph"/>
        <w:numPr>
          <w:ilvl w:val="0"/>
          <w:numId w:val="31"/>
        </w:numPr>
        <w:rPr>
          <w:snapToGrid/>
        </w:rPr>
      </w:pPr>
      <w:r w:rsidRPr="00DD0C44">
        <w:rPr>
          <w:snapToGrid/>
        </w:rPr>
        <w:t>Proportion of MSM sometimes using a condom in a stable partnership: 55%</w:t>
      </w:r>
    </w:p>
    <w:p w14:paraId="258C052E" w14:textId="255B5E87" w:rsidR="00A9737C" w:rsidRPr="00DD0C44" w:rsidRDefault="00A9737C" w:rsidP="00A9737C">
      <w:pPr>
        <w:rPr>
          <w:snapToGrid/>
        </w:rPr>
      </w:pPr>
      <w:r w:rsidRPr="00DD0C44">
        <w:rPr>
          <w:snapToGrid/>
        </w:rPr>
        <w:t xml:space="preserve">Those reporting use of a condom sometimes were assumed to have a 50% probability of condom use in each active partnership, with condom use providing 80% protection against transmission for both partners. Under these new assumptions, we recalibrated the new model with regard to HIV prevalence and compared the results in terms of PrEP effectiveness for reducing HIV incidence over time. Assuming a universal PrEP campaign screening 50 random MSM each week and delivering PrEP with adherence of 60% for 5 years, the percent reduction in HIV incidence relative to the baseline (without PrEP) was 34.4% [range 29%-37%] in the original model and 33.1% [range: 27%- 39%] in the new model. Based on these results– and the theoretical argument that sexual position should not dramatically affect the relative impact of PrEP (measured in terms of % of infections averted) – </w:t>
      </w:r>
      <w:r w:rsidRPr="00DD0C44">
        <w:t>we chose to use a simpler model that highlights the basic relationships that we are aiming to explore (e.g., between coverage/adherence and PrEP impact) with a minimum of additional assumptions incorporated</w:t>
      </w:r>
      <w:r w:rsidRPr="00DD0C44">
        <w:rPr>
          <w:snapToGrid/>
        </w:rPr>
        <w:t xml:space="preserve">. </w:t>
      </w:r>
    </w:p>
    <w:p w14:paraId="227C206C" w14:textId="77777777" w:rsidR="00A9737C" w:rsidRPr="00DD0C44" w:rsidRDefault="00A9737C" w:rsidP="00344C50">
      <w:pPr>
        <w:pStyle w:val="NormalIndent"/>
        <w:ind w:left="0"/>
        <w:rPr>
          <w:b/>
        </w:rPr>
      </w:pPr>
    </w:p>
    <w:p w14:paraId="0EF49166" w14:textId="77777777" w:rsidR="00A9737C" w:rsidRPr="00DD0C44" w:rsidRDefault="00A9737C" w:rsidP="00344C50">
      <w:pPr>
        <w:pStyle w:val="NormalIndent"/>
        <w:ind w:left="0"/>
        <w:rPr>
          <w:b/>
        </w:rPr>
      </w:pPr>
    </w:p>
    <w:p w14:paraId="718160E5" w14:textId="77777777" w:rsidR="00A9737C" w:rsidRPr="00DD0C44" w:rsidRDefault="00A9737C" w:rsidP="00344C50">
      <w:pPr>
        <w:pStyle w:val="NormalIndent"/>
        <w:ind w:left="0"/>
        <w:rPr>
          <w:b/>
        </w:rPr>
      </w:pPr>
      <w:r w:rsidRPr="00DD0C44">
        <w:rPr>
          <w:b/>
        </w:rPr>
        <w:br w:type="page"/>
      </w:r>
    </w:p>
    <w:p w14:paraId="6D20454A" w14:textId="1A029E58" w:rsidR="005553F6" w:rsidRPr="00DD0C44" w:rsidRDefault="005553F6" w:rsidP="00344C50">
      <w:pPr>
        <w:pStyle w:val="NormalIndent"/>
        <w:ind w:left="0"/>
        <w:rPr>
          <w:b/>
        </w:rPr>
      </w:pPr>
      <w:r w:rsidRPr="00DD0C44">
        <w:rPr>
          <w:b/>
        </w:rPr>
        <w:lastRenderedPageBreak/>
        <w:t>References</w:t>
      </w:r>
    </w:p>
    <w:p w14:paraId="086EF155" w14:textId="7FB6EF83" w:rsidR="007176C4" w:rsidRPr="00DD0C44" w:rsidRDefault="005553F6" w:rsidP="007176C4">
      <w:pPr>
        <w:widowControl w:val="0"/>
        <w:autoSpaceDE w:val="0"/>
        <w:autoSpaceDN w:val="0"/>
        <w:adjustRightInd w:val="0"/>
        <w:ind w:left="640" w:hanging="640"/>
        <w:rPr>
          <w:noProof/>
          <w:szCs w:val="24"/>
        </w:rPr>
      </w:pPr>
      <w:r w:rsidRPr="00DD0C44">
        <w:fldChar w:fldCharType="begin" w:fldLock="1"/>
      </w:r>
      <w:r w:rsidRPr="00DD0C44">
        <w:instrText xml:space="preserve">ADDIN Mendeley Bibliography CSL_BIBLIOGRAPHY </w:instrText>
      </w:r>
      <w:r w:rsidRPr="00DD0C44">
        <w:fldChar w:fldCharType="separate"/>
      </w:r>
      <w:r w:rsidR="007176C4" w:rsidRPr="00DD0C44">
        <w:rPr>
          <w:noProof/>
          <w:szCs w:val="24"/>
        </w:rPr>
        <w:t xml:space="preserve">1. </w:t>
      </w:r>
      <w:r w:rsidR="007176C4" w:rsidRPr="00DD0C44">
        <w:rPr>
          <w:noProof/>
          <w:szCs w:val="24"/>
        </w:rPr>
        <w:tab/>
        <w:t>Alliance BNI. Vital Signs 12 [Internet]. 2012. Available: http://bniajfi.org/vital_signs/</w:t>
      </w:r>
    </w:p>
    <w:p w14:paraId="232D07D9"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 </w:t>
      </w:r>
      <w:r w:rsidRPr="00DD0C44">
        <w:rPr>
          <w:noProof/>
          <w:szCs w:val="24"/>
        </w:rPr>
        <w:tab/>
        <w:t xml:space="preserve">Maryland Department of Health and Mental Hygiene, MDHMH. 2012 Baltimore City Annual HIV Epidemiological Profile. Baltimore; 2012. </w:t>
      </w:r>
    </w:p>
    <w:p w14:paraId="1192CBA1"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3. </w:t>
      </w:r>
      <w:r w:rsidRPr="00DD0C44">
        <w:rPr>
          <w:noProof/>
          <w:szCs w:val="24"/>
        </w:rPr>
        <w:tab/>
        <w:t>World Health Organization. Life tables by country United States of America. In: Global Health Observatory Data Repository [Internet]. 2013. Available: http://apps.who.int/gho/data/view.main.61780?lang=en</w:t>
      </w:r>
    </w:p>
    <w:p w14:paraId="479A9104"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4. </w:t>
      </w:r>
      <w:r w:rsidRPr="00DD0C44">
        <w:rPr>
          <w:noProof/>
          <w:szCs w:val="24"/>
        </w:rPr>
        <w:tab/>
        <w:t>Purcell DW, Johnson CH, Lansky A, Prejean J, Stein R, Denning P, et al. Estimating the population size of men who have sex with men in the United States to obtain HIV and syphilis rates. Open AIDS J. 2012;6: 98–107. doi:10.2174/1874613601206010098</w:t>
      </w:r>
    </w:p>
    <w:p w14:paraId="0FBA22C5"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5. </w:t>
      </w:r>
      <w:r w:rsidRPr="00DD0C44">
        <w:rPr>
          <w:noProof/>
          <w:szCs w:val="24"/>
        </w:rPr>
        <w:tab/>
        <w:t xml:space="preserve">AC K, WB P, CD. M. Sexual behavior in the human male. Philadelphia: W. B. Saunders; 1948. </w:t>
      </w:r>
    </w:p>
    <w:p w14:paraId="72D48AA6"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6. </w:t>
      </w:r>
      <w:r w:rsidRPr="00DD0C44">
        <w:rPr>
          <w:noProof/>
          <w:szCs w:val="24"/>
        </w:rPr>
        <w:tab/>
        <w:t xml:space="preserve">Diamond M. Homosexuality and bisexuality in different populations. Arch Sex Behav. 1993;22: 291–310. </w:t>
      </w:r>
    </w:p>
    <w:p w14:paraId="5ED7ED27"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7. </w:t>
      </w:r>
      <w:r w:rsidRPr="00DD0C44">
        <w:rPr>
          <w:noProof/>
          <w:szCs w:val="24"/>
        </w:rPr>
        <w:tab/>
        <w:t xml:space="preserve">Black D, Gates G, Sanders S, Taylor L. Demographics of the gay and lesbian population in the United States: Evidence from available systematic data sources.". Demography. 2000;37: 139–154. </w:t>
      </w:r>
    </w:p>
    <w:p w14:paraId="1CB1CBE9"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8. </w:t>
      </w:r>
      <w:r w:rsidRPr="00DD0C44">
        <w:rPr>
          <w:noProof/>
          <w:szCs w:val="24"/>
        </w:rPr>
        <w:tab/>
        <w:t xml:space="preserve">Lieb S, Fallon SJ, Friedman SR, Thompson DR, Gates GJ, Liberti TM, et al. Statewide Estimation of Racial/Ethnic Populations of Men Who Have Sex with Men in the U.S. Public Health Rep. 2011;126: 60–72. </w:t>
      </w:r>
    </w:p>
    <w:p w14:paraId="6BE85BD8"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9. </w:t>
      </w:r>
      <w:r w:rsidRPr="00DD0C44">
        <w:rPr>
          <w:noProof/>
          <w:szCs w:val="24"/>
        </w:rPr>
        <w:tab/>
        <w:t>German D. BESURE Study: National HIV Behavioral Surveillance Study in Baltimore [Internet]. Available: http://www.jhsph.edu/faculty/research/map/US/1413/8192</w:t>
      </w:r>
    </w:p>
    <w:p w14:paraId="4C186222"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10. </w:t>
      </w:r>
      <w:r w:rsidRPr="00DD0C44">
        <w:rPr>
          <w:noProof/>
          <w:szCs w:val="24"/>
        </w:rPr>
        <w:tab/>
        <w:t xml:space="preserve">Xiridou M, Geskus R, de Wit J, Coutinho R, Kretzschmar M. The contribution of steady and casual partnerships to the incidence of HIV infection among homosexual men in Amsterdam. AIDS. 2003;7: 1029–1038. </w:t>
      </w:r>
    </w:p>
    <w:p w14:paraId="5E798525"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11. </w:t>
      </w:r>
      <w:r w:rsidRPr="00DD0C44">
        <w:rPr>
          <w:noProof/>
          <w:szCs w:val="24"/>
        </w:rPr>
        <w:tab/>
        <w:t xml:space="preserve">Beyrer C, Baral SD, van Griensven F, Goodreau SM, Chariyalertsak S, Wirtz AL, et al. Global epidemiology of HIV infection in men who have sex with men. Lancet. 2012;380: 367–77. </w:t>
      </w:r>
    </w:p>
    <w:p w14:paraId="76F5D1A0"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12. </w:t>
      </w:r>
      <w:r w:rsidRPr="00DD0C44">
        <w:rPr>
          <w:noProof/>
          <w:szCs w:val="24"/>
        </w:rPr>
        <w:tab/>
        <w:t xml:space="preserve">Hoare A, Gray RT, Wilson DP. Could implementation of Australia’s National Gay Men’s Syphilis Action Plan have an indirect effect on the HIV epidemic? Sex Health. 2012;9: 144–151. </w:t>
      </w:r>
    </w:p>
    <w:p w14:paraId="4F77EAA0"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13. </w:t>
      </w:r>
      <w:r w:rsidRPr="00DD0C44">
        <w:rPr>
          <w:noProof/>
          <w:szCs w:val="24"/>
        </w:rPr>
        <w:tab/>
        <w:t xml:space="preserve">Vieira IT, Senna V de, Pereira. HB de B. A small world model for the spread of HIV infection. Pesqui Operacional. 2011;31: 373–389. </w:t>
      </w:r>
    </w:p>
    <w:p w14:paraId="4670CD92"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14. </w:t>
      </w:r>
      <w:r w:rsidRPr="00DD0C44">
        <w:rPr>
          <w:noProof/>
          <w:szCs w:val="24"/>
        </w:rPr>
        <w:tab/>
        <w:t xml:space="preserve">Egan JE, Frye V, Kurtz SP, Latkin C, Chen M, Tobin K, et al. Migration, neighborhoods, and networks: approaches to understanding how urban environmental conditions affect syndemic adverse health outcomes among gay, bisexual and other men who have sex with men. AIDS Behav. 2011;15: 35–50. </w:t>
      </w:r>
    </w:p>
    <w:p w14:paraId="708B44E2"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15. </w:t>
      </w:r>
      <w:r w:rsidRPr="00DD0C44">
        <w:rPr>
          <w:noProof/>
          <w:szCs w:val="24"/>
        </w:rPr>
        <w:tab/>
        <w:t xml:space="preserve">White JM, Reisner SL, Dunham E, Mimiaga MJ. Race-Based Sexual Preferences in a Sample of Online Profiles of Urban Men Seeking Sex with Men. J Urban Heal. 2014;91: 768–775. </w:t>
      </w:r>
    </w:p>
    <w:p w14:paraId="29DE930E"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16. </w:t>
      </w:r>
      <w:r w:rsidRPr="00DD0C44">
        <w:rPr>
          <w:noProof/>
          <w:szCs w:val="24"/>
        </w:rPr>
        <w:tab/>
        <w:t xml:space="preserve">Wilson DP. Modelling based on Australian HIV notifications data suggests homosexual age mixing is primarily assortative. J Acquir Immune Defic Syndr. 2009;51: 356–360. </w:t>
      </w:r>
    </w:p>
    <w:p w14:paraId="5ABC4ACA"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17. </w:t>
      </w:r>
      <w:r w:rsidRPr="00DD0C44">
        <w:rPr>
          <w:noProof/>
          <w:szCs w:val="24"/>
        </w:rPr>
        <w:tab/>
        <w:t>Wilson DP, Law MG, Grulich AE, Cooper DA, Kaldor JM. Relation between HIV viral load and infectiousness: a model-based analysis. Lancet. Elsevier; 2008;372: 314–20. doi:10.1016/S0140-6736(08)61115-0</w:t>
      </w:r>
    </w:p>
    <w:p w14:paraId="048E04E6"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lastRenderedPageBreak/>
        <w:t xml:space="preserve">18. </w:t>
      </w:r>
      <w:r w:rsidRPr="00DD0C44">
        <w:rPr>
          <w:noProof/>
          <w:szCs w:val="24"/>
        </w:rPr>
        <w:tab/>
        <w:t>Beyrer C, Baral SD, van Griensven F, Goodreau SM, Chariyalertsak S, Wirtz AL, et al. Global epidemiology of HIV infection in men who have sex with men. Lancet. 2012;380: 367–77. doi:10.1016/S0140-6736(12)60821-6</w:t>
      </w:r>
    </w:p>
    <w:p w14:paraId="575E930A"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19. </w:t>
      </w:r>
      <w:r w:rsidRPr="00DD0C44">
        <w:rPr>
          <w:noProof/>
          <w:szCs w:val="24"/>
        </w:rPr>
        <w:tab/>
        <w:t xml:space="preserve">Rana AI, Liu T, Gillani FS, Reece R, Kojic EM, Zlotnick C, et al. Multiple gaps in care common among newly diagnosed HIV patients. AIDS Care. 2015;27: 697–687. </w:t>
      </w:r>
    </w:p>
    <w:p w14:paraId="623BDC45"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20. </w:t>
      </w:r>
      <w:r w:rsidRPr="00DD0C44">
        <w:rPr>
          <w:noProof/>
          <w:szCs w:val="24"/>
        </w:rPr>
        <w:tab/>
        <w:t xml:space="preserve">Maulsby C, Jain K, Sifakis F, German D, Flynn CP, Holtgrave D. Individual-Level and Partner-Level Predictors of Newly Diagnosed HIV Infection Among Black and White Men Who Have Sex with Men in Baltimore, MD. AIDS Behav. 2014; 1–9. </w:t>
      </w:r>
    </w:p>
    <w:p w14:paraId="2D7E23A7"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21. </w:t>
      </w:r>
      <w:r w:rsidRPr="00DD0C44">
        <w:rPr>
          <w:noProof/>
          <w:szCs w:val="24"/>
        </w:rPr>
        <w:tab/>
        <w:t xml:space="preserve">Rosenberg ES, Millett GA, Sullivan PS, Rio C del, Curran JW. Understanding the HIV disparities between black and white men who have sex with men in the USA using the HIV care continuum: a modelling study. Lancet HIV. 2014;1: e112–e118. </w:t>
      </w:r>
    </w:p>
    <w:p w14:paraId="5B2A7650"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22. </w:t>
      </w:r>
      <w:r w:rsidRPr="00DD0C44">
        <w:rPr>
          <w:noProof/>
          <w:szCs w:val="24"/>
        </w:rPr>
        <w:tab/>
        <w:t xml:space="preserve">Law AM, Kelton WD. Simulation Modeling and Analysis. Third. McGraw-Hill; 2000. </w:t>
      </w:r>
    </w:p>
    <w:p w14:paraId="0709C132"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23. </w:t>
      </w:r>
      <w:r w:rsidRPr="00DD0C44">
        <w:rPr>
          <w:noProof/>
          <w:szCs w:val="24"/>
        </w:rPr>
        <w:tab/>
        <w:t xml:space="preserve">Sullivan PS, Peterson J, Rosenberg ES, Kelley CF, Cooper H, Vaughan A, et al. Understanding racial HIV/STI disparities in black and white men who have sex with men: a multilevel approach. PLoS One. 2014;9: e90514. </w:t>
      </w:r>
    </w:p>
    <w:p w14:paraId="1C453E62"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24. </w:t>
      </w:r>
      <w:r w:rsidRPr="00DD0C44">
        <w:rPr>
          <w:noProof/>
          <w:szCs w:val="24"/>
        </w:rPr>
        <w:tab/>
        <w:t xml:space="preserve">Marshall BD, Paczkowski MM, Seemann L, Tempalski B, Pouget ER, Galea S, et al. A complex systems approach to evaluate HIV prevention in metropolitan areas: preliminary implications for combination intervention strategies. PLoS One. 2012;7: e44833. </w:t>
      </w:r>
    </w:p>
    <w:p w14:paraId="2776F751"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25. </w:t>
      </w:r>
      <w:r w:rsidRPr="00DD0C44">
        <w:rPr>
          <w:noProof/>
          <w:szCs w:val="24"/>
        </w:rPr>
        <w:tab/>
        <w:t xml:space="preserve">Alam SJ, Meyer R, Norling E. A model for HIV spread in a South African village. Multi-Agent-Based Simul IX. 2009; 33–45. </w:t>
      </w:r>
    </w:p>
    <w:p w14:paraId="19FA9D5E" w14:textId="77777777" w:rsidR="007176C4" w:rsidRPr="00DD0C44" w:rsidRDefault="007176C4" w:rsidP="007176C4">
      <w:pPr>
        <w:widowControl w:val="0"/>
        <w:autoSpaceDE w:val="0"/>
        <w:autoSpaceDN w:val="0"/>
        <w:adjustRightInd w:val="0"/>
        <w:ind w:left="640" w:hanging="640"/>
        <w:rPr>
          <w:noProof/>
          <w:szCs w:val="24"/>
        </w:rPr>
      </w:pPr>
      <w:r w:rsidRPr="00DD0C44">
        <w:rPr>
          <w:noProof/>
          <w:szCs w:val="24"/>
        </w:rPr>
        <w:t xml:space="preserve">26. </w:t>
      </w:r>
      <w:r w:rsidRPr="00DD0C44">
        <w:rPr>
          <w:noProof/>
          <w:szCs w:val="24"/>
        </w:rPr>
        <w:tab/>
        <w:t xml:space="preserve">Maryland Department of Health and Mental Hygiene. BESURE Study 2004-2014: Baltimore site of National HIV Behavioral Surveillance (NHBS) [Internet]. 2015. </w:t>
      </w:r>
    </w:p>
    <w:p w14:paraId="3E73E8CE" w14:textId="77777777" w:rsidR="007176C4" w:rsidRPr="00DD0C44" w:rsidRDefault="007176C4" w:rsidP="007176C4">
      <w:pPr>
        <w:widowControl w:val="0"/>
        <w:autoSpaceDE w:val="0"/>
        <w:autoSpaceDN w:val="0"/>
        <w:adjustRightInd w:val="0"/>
        <w:ind w:left="640" w:hanging="640"/>
        <w:rPr>
          <w:noProof/>
        </w:rPr>
      </w:pPr>
      <w:r w:rsidRPr="00DD0C44">
        <w:rPr>
          <w:noProof/>
          <w:szCs w:val="24"/>
        </w:rPr>
        <w:t xml:space="preserve">27. </w:t>
      </w:r>
      <w:r w:rsidRPr="00DD0C44">
        <w:rPr>
          <w:noProof/>
          <w:szCs w:val="24"/>
        </w:rPr>
        <w:tab/>
        <w:t>Jenness S, Goodreau S. Impact of the Centers for Disease Control’s HIV preexposure prophylaxis guidelines for men who have sex with men in the United States. J Infect. 2016; Available: http://jid.oxfordjournals.org/content/early/2016/07/12/infdis.jiw223.abstract</w:t>
      </w:r>
    </w:p>
    <w:p w14:paraId="45BC5E6E" w14:textId="48A5459E" w:rsidR="005553F6" w:rsidRPr="00527129" w:rsidRDefault="005553F6" w:rsidP="007176C4">
      <w:pPr>
        <w:widowControl w:val="0"/>
        <w:autoSpaceDE w:val="0"/>
        <w:autoSpaceDN w:val="0"/>
        <w:adjustRightInd w:val="0"/>
        <w:ind w:left="640" w:hanging="640"/>
      </w:pPr>
      <w:r w:rsidRPr="00DD0C44">
        <w:fldChar w:fldCharType="end"/>
      </w:r>
      <w:bookmarkStart w:id="0" w:name="_GoBack"/>
      <w:bookmarkEnd w:id="0"/>
    </w:p>
    <w:sectPr w:rsidR="005553F6" w:rsidRPr="00527129" w:rsidSect="008F6970">
      <w:pgSz w:w="12240" w:h="15840"/>
      <w:pgMar w:top="1440" w:right="1440" w:bottom="1440" w:left="1440" w:header="720" w:footer="720" w:gutter="0"/>
      <w:cols w:space="720"/>
      <w:noEndnote/>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9BB30F" w15:done="0"/>
  <w15:commentEx w15:paraId="6E8B316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E8E30" w14:textId="77777777" w:rsidR="0092692A" w:rsidRDefault="0092692A" w:rsidP="00E85DC8">
      <w:r>
        <w:separator/>
      </w:r>
    </w:p>
  </w:endnote>
  <w:endnote w:type="continuationSeparator" w:id="0">
    <w:p w14:paraId="3BC7D256" w14:textId="77777777" w:rsidR="0092692A" w:rsidRDefault="0092692A" w:rsidP="00E8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algun Gothic">
    <w:charset w:val="81"/>
    <w:family w:val="swiss"/>
    <w:pitch w:val="variable"/>
    <w:sig w:usb0="900002AF" w:usb1="09D77CFB" w:usb2="00000012" w:usb3="00000000" w:csb0="0008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7F77C" w14:textId="77777777" w:rsidR="0092692A" w:rsidRDefault="0092692A" w:rsidP="00E85DC8">
      <w:r>
        <w:separator/>
      </w:r>
    </w:p>
  </w:footnote>
  <w:footnote w:type="continuationSeparator" w:id="0">
    <w:p w14:paraId="09EA92DE" w14:textId="77777777" w:rsidR="0092692A" w:rsidRDefault="0092692A" w:rsidP="00E85DC8">
      <w:r>
        <w:continuationSeparator/>
      </w:r>
    </w:p>
  </w:footnote>
  <w:footnote w:id="1">
    <w:p w14:paraId="379E4513" w14:textId="77777777" w:rsidR="0092692A" w:rsidRDefault="0092692A" w:rsidP="002458EE">
      <w:pPr>
        <w:pStyle w:val="FootnoteText"/>
      </w:pPr>
      <w:r w:rsidRPr="00004961">
        <w:rPr>
          <w:rStyle w:val="FootnoteReference"/>
        </w:rPr>
        <w:footnoteRef/>
      </w:r>
      <w:r>
        <w:t xml:space="preserve"> Estimates are based on reported surveillance data from MSM and MSM/IDUs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07F"/>
    <w:multiLevelType w:val="hybridMultilevel"/>
    <w:tmpl w:val="C4F4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24113"/>
    <w:multiLevelType w:val="hybridMultilevel"/>
    <w:tmpl w:val="2CB6BE4C"/>
    <w:lvl w:ilvl="0" w:tplc="5AD0309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F41B5"/>
    <w:multiLevelType w:val="hybridMultilevel"/>
    <w:tmpl w:val="F0B4DF34"/>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C8332F7"/>
    <w:multiLevelType w:val="hybridMultilevel"/>
    <w:tmpl w:val="1DCA2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E144FC"/>
    <w:multiLevelType w:val="multilevel"/>
    <w:tmpl w:val="E9F86620"/>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666"/>
        </w:tabs>
        <w:ind w:left="666" w:hanging="576"/>
      </w:pPr>
      <w:rPr>
        <w:rFonts w:hint="default"/>
        <w:b/>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954"/>
        </w:tabs>
        <w:ind w:left="954" w:hanging="864"/>
      </w:pPr>
      <w:rPr>
        <w:rFonts w:hint="default"/>
      </w:rPr>
    </w:lvl>
    <w:lvl w:ilvl="4">
      <w:start w:val="1"/>
      <w:numFmt w:val="decimal"/>
      <w:pStyle w:val="Heading5"/>
      <w:lvlText w:val="%1.%2.%3.%4.%5"/>
      <w:lvlJc w:val="left"/>
      <w:pPr>
        <w:tabs>
          <w:tab w:val="num" w:pos="1098"/>
        </w:tabs>
        <w:ind w:left="1098" w:hanging="1008"/>
      </w:pPr>
      <w:rPr>
        <w:rFonts w:hint="default"/>
      </w:rPr>
    </w:lvl>
    <w:lvl w:ilvl="5">
      <w:start w:val="1"/>
      <w:numFmt w:val="decimal"/>
      <w:pStyle w:val="Heading6"/>
      <w:lvlText w:val="%1.%2.%3.%4.%5.%6"/>
      <w:lvlJc w:val="left"/>
      <w:pPr>
        <w:tabs>
          <w:tab w:val="num" w:pos="1242"/>
        </w:tabs>
        <w:ind w:left="1242" w:hanging="1152"/>
      </w:pPr>
      <w:rPr>
        <w:rFonts w:hint="default"/>
      </w:rPr>
    </w:lvl>
    <w:lvl w:ilvl="6">
      <w:start w:val="1"/>
      <w:numFmt w:val="decimal"/>
      <w:pStyle w:val="Heading7"/>
      <w:lvlText w:val="%1.%2.%3.%4.%5.%6.%7"/>
      <w:lvlJc w:val="left"/>
      <w:pPr>
        <w:tabs>
          <w:tab w:val="num" w:pos="1386"/>
        </w:tabs>
        <w:ind w:left="1386" w:hanging="1296"/>
      </w:pPr>
      <w:rPr>
        <w:rFonts w:hint="default"/>
      </w:rPr>
    </w:lvl>
    <w:lvl w:ilvl="7">
      <w:start w:val="1"/>
      <w:numFmt w:val="decimal"/>
      <w:pStyle w:val="Heading8"/>
      <w:lvlText w:val="%1.%2.%3.%4.%5.%6.%7.%8"/>
      <w:lvlJc w:val="left"/>
      <w:pPr>
        <w:tabs>
          <w:tab w:val="num" w:pos="1530"/>
        </w:tabs>
        <w:ind w:left="1530" w:hanging="1440"/>
      </w:pPr>
      <w:rPr>
        <w:rFonts w:hint="default"/>
      </w:rPr>
    </w:lvl>
    <w:lvl w:ilvl="8">
      <w:start w:val="1"/>
      <w:numFmt w:val="decimal"/>
      <w:pStyle w:val="Heading9"/>
      <w:lvlText w:val="%1.%2.%3.%4.%5.%6.%7.%8.%9"/>
      <w:lvlJc w:val="left"/>
      <w:pPr>
        <w:tabs>
          <w:tab w:val="num" w:pos="1674"/>
        </w:tabs>
        <w:ind w:left="1674" w:hanging="1584"/>
      </w:pPr>
      <w:rPr>
        <w:rFonts w:hint="default"/>
      </w:rPr>
    </w:lvl>
  </w:abstractNum>
  <w:abstractNum w:abstractNumId="5">
    <w:nsid w:val="2C41726F"/>
    <w:multiLevelType w:val="hybridMultilevel"/>
    <w:tmpl w:val="A27E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C45B6"/>
    <w:multiLevelType w:val="hybridMultilevel"/>
    <w:tmpl w:val="516C2B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216C3"/>
    <w:multiLevelType w:val="hybridMultilevel"/>
    <w:tmpl w:val="712E883E"/>
    <w:lvl w:ilvl="0" w:tplc="8FF4F090">
      <w:start w:val="2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E3AE0"/>
    <w:multiLevelType w:val="multilevel"/>
    <w:tmpl w:val="6A2A6616"/>
    <w:lvl w:ilvl="0">
      <w:start w:val="1"/>
      <w:numFmt w:val="decimal"/>
      <w:lvlText w:val="S.%1"/>
      <w:lvlJc w:val="left"/>
      <w:pPr>
        <w:ind w:left="432" w:hanging="432"/>
      </w:pPr>
      <w:rPr>
        <w:rFonts w:asciiTheme="majorHAnsi" w:hAnsiTheme="majorHAnsi" w:hint="default"/>
        <w:b/>
        <w:bCs/>
        <w:i w:val="0"/>
        <w:iCs w:val="0"/>
        <w:sz w:val="32"/>
        <w:szCs w:val="32"/>
      </w:rPr>
    </w:lvl>
    <w:lvl w:ilvl="1">
      <w:start w:val="1"/>
      <w:numFmt w:val="decimal"/>
      <w:lvlText w:val="S.%1.%2"/>
      <w:lvlJc w:val="left"/>
      <w:pPr>
        <w:ind w:left="576" w:hanging="576"/>
      </w:pPr>
      <w:rPr>
        <w:rFonts w:asciiTheme="majorHAnsi" w:hAnsiTheme="majorHAnsi" w:hint="default"/>
        <w:b/>
        <w:bCs/>
        <w:i w:val="0"/>
        <w:iCs w:val="0"/>
        <w:sz w:val="28"/>
        <w:szCs w:val="28"/>
      </w:rPr>
    </w:lvl>
    <w:lvl w:ilvl="2">
      <w:start w:val="1"/>
      <w:numFmt w:val="decimal"/>
      <w:lvlText w:val="%1.%2.%3"/>
      <w:lvlJc w:val="left"/>
      <w:pPr>
        <w:ind w:left="720" w:hanging="720"/>
      </w:pPr>
      <w:rPr>
        <w:rFonts w:asciiTheme="majorHAnsi" w:hAnsiTheme="majorHAnsi" w:hint="default"/>
        <w:b/>
        <w:bCs/>
        <w:i w:val="0"/>
        <w:iCs w:val="0"/>
        <w:sz w:val="24"/>
        <w:szCs w:val="24"/>
      </w:rPr>
    </w:lvl>
    <w:lvl w:ilvl="3">
      <w:start w:val="1"/>
      <w:numFmt w:val="none"/>
      <w:lvlText w:val=""/>
      <w:lvlJc w:val="left"/>
      <w:pPr>
        <w:ind w:left="864" w:hanging="864"/>
      </w:pPr>
      <w:rPr>
        <w:rFonts w:asciiTheme="majorHAnsi" w:hAnsiTheme="majorHAnsi" w:hint="default"/>
        <w:b/>
        <w:bCs/>
        <w:i w:val="0"/>
        <w:i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3873477"/>
    <w:multiLevelType w:val="hybridMultilevel"/>
    <w:tmpl w:val="15CA23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A6113DC"/>
    <w:multiLevelType w:val="hybridMultilevel"/>
    <w:tmpl w:val="122A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953CE"/>
    <w:multiLevelType w:val="multilevel"/>
    <w:tmpl w:val="CE701B46"/>
    <w:lvl w:ilvl="0">
      <w:start w:val="1"/>
      <w:numFmt w:val="decimal"/>
      <w:lvlText w:val="%1."/>
      <w:lvlJc w:val="left"/>
      <w:pPr>
        <w:ind w:left="0" w:hanging="360"/>
      </w:pPr>
      <w:rPr>
        <w:rFonts w:hint="default"/>
      </w:rPr>
    </w:lvl>
    <w:lvl w:ilvl="1">
      <w:start w:val="1"/>
      <w:numFmt w:val="none"/>
      <w:lvlText w:val="%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nsid w:val="61873107"/>
    <w:multiLevelType w:val="hybridMultilevel"/>
    <w:tmpl w:val="2856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E406C"/>
    <w:multiLevelType w:val="hybridMultilevel"/>
    <w:tmpl w:val="63EE11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50527B"/>
    <w:multiLevelType w:val="hybridMultilevel"/>
    <w:tmpl w:val="1E3C6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87448BB"/>
    <w:multiLevelType w:val="hybridMultilevel"/>
    <w:tmpl w:val="74E8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8"/>
  </w:num>
  <w:num w:numId="7">
    <w:abstractNumId w:val="1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10"/>
  </w:num>
  <w:num w:numId="20">
    <w:abstractNumId w:val="15"/>
  </w:num>
  <w:num w:numId="21">
    <w:abstractNumId w:val="5"/>
  </w:num>
  <w:num w:numId="22">
    <w:abstractNumId w:val="6"/>
  </w:num>
  <w:num w:numId="23">
    <w:abstractNumId w:val="7"/>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4"/>
  </w:num>
  <w:num w:numId="28">
    <w:abstractNumId w:val="3"/>
  </w:num>
  <w:num w:numId="29">
    <w:abstractNumId w:val="0"/>
  </w:num>
  <w:num w:numId="30">
    <w:abstractNumId w:val="2"/>
  </w:num>
  <w:num w:numId="31">
    <w:abstractNumId w:val="13"/>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DC8"/>
    <w:rsid w:val="0000252F"/>
    <w:rsid w:val="000025C0"/>
    <w:rsid w:val="00004961"/>
    <w:rsid w:val="0001087D"/>
    <w:rsid w:val="000201F5"/>
    <w:rsid w:val="00026D54"/>
    <w:rsid w:val="000C4AC1"/>
    <w:rsid w:val="000C7A5E"/>
    <w:rsid w:val="00114C44"/>
    <w:rsid w:val="00120C48"/>
    <w:rsid w:val="001300A1"/>
    <w:rsid w:val="00145855"/>
    <w:rsid w:val="001748A1"/>
    <w:rsid w:val="0017584E"/>
    <w:rsid w:val="001B4BCD"/>
    <w:rsid w:val="001E1705"/>
    <w:rsid w:val="001E3DAE"/>
    <w:rsid w:val="00206D26"/>
    <w:rsid w:val="00226834"/>
    <w:rsid w:val="00237303"/>
    <w:rsid w:val="002458EE"/>
    <w:rsid w:val="00276984"/>
    <w:rsid w:val="002A374D"/>
    <w:rsid w:val="002B7922"/>
    <w:rsid w:val="002E1AE0"/>
    <w:rsid w:val="00344C50"/>
    <w:rsid w:val="003724EA"/>
    <w:rsid w:val="003A612C"/>
    <w:rsid w:val="00413D6A"/>
    <w:rsid w:val="00450B4C"/>
    <w:rsid w:val="00496274"/>
    <w:rsid w:val="004E05AA"/>
    <w:rsid w:val="004E75EB"/>
    <w:rsid w:val="00527129"/>
    <w:rsid w:val="00544C42"/>
    <w:rsid w:val="005553F6"/>
    <w:rsid w:val="00597053"/>
    <w:rsid w:val="005C3B0C"/>
    <w:rsid w:val="005C4F89"/>
    <w:rsid w:val="005C6D3C"/>
    <w:rsid w:val="005E3A44"/>
    <w:rsid w:val="005F57B1"/>
    <w:rsid w:val="0062252F"/>
    <w:rsid w:val="0065397E"/>
    <w:rsid w:val="00681EF5"/>
    <w:rsid w:val="006C3302"/>
    <w:rsid w:val="007016E7"/>
    <w:rsid w:val="007176C4"/>
    <w:rsid w:val="0072252E"/>
    <w:rsid w:val="00722CA9"/>
    <w:rsid w:val="007341A5"/>
    <w:rsid w:val="0074788E"/>
    <w:rsid w:val="00751ADA"/>
    <w:rsid w:val="00762B5D"/>
    <w:rsid w:val="007755D2"/>
    <w:rsid w:val="00794224"/>
    <w:rsid w:val="007C0F91"/>
    <w:rsid w:val="007C6A26"/>
    <w:rsid w:val="007D6932"/>
    <w:rsid w:val="007E3D1E"/>
    <w:rsid w:val="007F3F5D"/>
    <w:rsid w:val="00864575"/>
    <w:rsid w:val="008A7444"/>
    <w:rsid w:val="008D33C4"/>
    <w:rsid w:val="008D567C"/>
    <w:rsid w:val="008E7301"/>
    <w:rsid w:val="008F6970"/>
    <w:rsid w:val="00923A2A"/>
    <w:rsid w:val="0092692A"/>
    <w:rsid w:val="00940F48"/>
    <w:rsid w:val="009562F8"/>
    <w:rsid w:val="00977637"/>
    <w:rsid w:val="009A7208"/>
    <w:rsid w:val="009B6FCC"/>
    <w:rsid w:val="009E0161"/>
    <w:rsid w:val="00A10D8D"/>
    <w:rsid w:val="00A2315D"/>
    <w:rsid w:val="00A25AEE"/>
    <w:rsid w:val="00A26665"/>
    <w:rsid w:val="00A32828"/>
    <w:rsid w:val="00A347E7"/>
    <w:rsid w:val="00A3720C"/>
    <w:rsid w:val="00A46BB3"/>
    <w:rsid w:val="00A47FC9"/>
    <w:rsid w:val="00A75A1C"/>
    <w:rsid w:val="00A9737C"/>
    <w:rsid w:val="00AA1A46"/>
    <w:rsid w:val="00AB1AD4"/>
    <w:rsid w:val="00AC730B"/>
    <w:rsid w:val="00B01459"/>
    <w:rsid w:val="00B126D8"/>
    <w:rsid w:val="00B400E6"/>
    <w:rsid w:val="00B75E08"/>
    <w:rsid w:val="00B76636"/>
    <w:rsid w:val="00BB7ED3"/>
    <w:rsid w:val="00BF20F2"/>
    <w:rsid w:val="00C0102B"/>
    <w:rsid w:val="00C24399"/>
    <w:rsid w:val="00C33919"/>
    <w:rsid w:val="00C8131D"/>
    <w:rsid w:val="00C97863"/>
    <w:rsid w:val="00CA000E"/>
    <w:rsid w:val="00CC5CEC"/>
    <w:rsid w:val="00CC751C"/>
    <w:rsid w:val="00CE02A7"/>
    <w:rsid w:val="00CE1E69"/>
    <w:rsid w:val="00CF64D9"/>
    <w:rsid w:val="00D359BB"/>
    <w:rsid w:val="00D4240D"/>
    <w:rsid w:val="00D534D0"/>
    <w:rsid w:val="00D56DB2"/>
    <w:rsid w:val="00D770BC"/>
    <w:rsid w:val="00D914E2"/>
    <w:rsid w:val="00D946EB"/>
    <w:rsid w:val="00D96644"/>
    <w:rsid w:val="00DC2828"/>
    <w:rsid w:val="00DD0C44"/>
    <w:rsid w:val="00DF415A"/>
    <w:rsid w:val="00DF5AA6"/>
    <w:rsid w:val="00E17B3A"/>
    <w:rsid w:val="00E4235D"/>
    <w:rsid w:val="00E50576"/>
    <w:rsid w:val="00E53888"/>
    <w:rsid w:val="00E85DC8"/>
    <w:rsid w:val="00E87248"/>
    <w:rsid w:val="00EE1AF0"/>
    <w:rsid w:val="00EF641B"/>
    <w:rsid w:val="00F20FC0"/>
    <w:rsid w:val="00F411A5"/>
    <w:rsid w:val="00F769F8"/>
    <w:rsid w:val="00F9401F"/>
    <w:rsid w:val="00FB0A7E"/>
    <w:rsid w:val="00FC1A97"/>
    <w:rsid w:val="00FD74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D76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Indent"/>
    <w:qFormat/>
    <w:rsid w:val="009562F8"/>
    <w:pPr>
      <w:tabs>
        <w:tab w:val="left" w:pos="360"/>
        <w:tab w:val="left" w:pos="720"/>
        <w:tab w:val="left" w:pos="1080"/>
      </w:tabs>
      <w:spacing w:after="120"/>
      <w:jc w:val="both"/>
    </w:pPr>
    <w:rPr>
      <w:rFonts w:ascii="Calibri" w:hAnsi="Calibri"/>
      <w:snapToGrid w:val="0"/>
      <w:sz w:val="22"/>
    </w:rPr>
  </w:style>
  <w:style w:type="paragraph" w:styleId="Heading1">
    <w:name w:val="heading 1"/>
    <w:basedOn w:val="Normal"/>
    <w:next w:val="Normal"/>
    <w:link w:val="Heading1Char"/>
    <w:qFormat/>
    <w:rsid w:val="008F6970"/>
    <w:pPr>
      <w:keepNext/>
      <w:numPr>
        <w:numId w:val="18"/>
      </w:numPr>
      <w:tabs>
        <w:tab w:val="clear" w:pos="360"/>
      </w:tabs>
      <w:suppressAutoHyphens/>
      <w:spacing w:before="240"/>
      <w:jc w:val="left"/>
      <w:outlineLvl w:val="0"/>
    </w:pPr>
    <w:rPr>
      <w:rFonts w:cstheme="majorBidi"/>
      <w:b/>
      <w:caps/>
    </w:rPr>
  </w:style>
  <w:style w:type="paragraph" w:styleId="Heading2">
    <w:name w:val="heading 2"/>
    <w:basedOn w:val="Normal"/>
    <w:next w:val="Normal"/>
    <w:link w:val="Heading2Char"/>
    <w:qFormat/>
    <w:rsid w:val="008F6970"/>
    <w:pPr>
      <w:keepNext/>
      <w:numPr>
        <w:ilvl w:val="1"/>
        <w:numId w:val="18"/>
      </w:numPr>
      <w:tabs>
        <w:tab w:val="clear" w:pos="360"/>
      </w:tabs>
      <w:suppressAutoHyphens/>
      <w:spacing w:before="240"/>
      <w:jc w:val="left"/>
      <w:outlineLvl w:val="1"/>
    </w:pPr>
    <w:rPr>
      <w:rFonts w:cstheme="majorBidi"/>
      <w:b/>
    </w:rPr>
  </w:style>
  <w:style w:type="paragraph" w:styleId="Heading3">
    <w:name w:val="heading 3"/>
    <w:basedOn w:val="Normal"/>
    <w:next w:val="Normal"/>
    <w:link w:val="Heading3Char"/>
    <w:qFormat/>
    <w:rsid w:val="008F6970"/>
    <w:pPr>
      <w:keepNext/>
      <w:numPr>
        <w:ilvl w:val="2"/>
        <w:numId w:val="18"/>
      </w:numPr>
      <w:tabs>
        <w:tab w:val="clear" w:pos="360"/>
        <w:tab w:val="clear" w:pos="720"/>
        <w:tab w:val="clear" w:pos="1080"/>
        <w:tab w:val="num" w:pos="810"/>
      </w:tabs>
      <w:suppressAutoHyphens/>
      <w:spacing w:before="240" w:after="240"/>
      <w:ind w:left="810"/>
      <w:jc w:val="left"/>
      <w:outlineLvl w:val="2"/>
    </w:pPr>
    <w:rPr>
      <w:b/>
    </w:rPr>
  </w:style>
  <w:style w:type="paragraph" w:styleId="Heading4">
    <w:name w:val="heading 4"/>
    <w:basedOn w:val="Normal"/>
    <w:next w:val="Normal"/>
    <w:link w:val="Heading4Char"/>
    <w:qFormat/>
    <w:rsid w:val="008F6970"/>
    <w:pPr>
      <w:keepNext/>
      <w:numPr>
        <w:ilvl w:val="3"/>
        <w:numId w:val="18"/>
      </w:numPr>
      <w:tabs>
        <w:tab w:val="clear" w:pos="360"/>
        <w:tab w:val="clear" w:pos="1080"/>
      </w:tabs>
      <w:suppressAutoHyphens/>
      <w:spacing w:before="240" w:after="240"/>
      <w:jc w:val="left"/>
      <w:outlineLvl w:val="3"/>
    </w:pPr>
    <w:rPr>
      <w:b/>
    </w:rPr>
  </w:style>
  <w:style w:type="paragraph" w:styleId="Heading5">
    <w:name w:val="heading 5"/>
    <w:basedOn w:val="Normal"/>
    <w:next w:val="Normal"/>
    <w:link w:val="Heading5Char"/>
    <w:qFormat/>
    <w:rsid w:val="008F6970"/>
    <w:pPr>
      <w:keepNext/>
      <w:numPr>
        <w:ilvl w:val="4"/>
        <w:numId w:val="18"/>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link w:val="Heading6Char"/>
    <w:qFormat/>
    <w:rsid w:val="008F6970"/>
    <w:pPr>
      <w:keepNext/>
      <w:numPr>
        <w:ilvl w:val="5"/>
        <w:numId w:val="18"/>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link w:val="Heading7Char"/>
    <w:qFormat/>
    <w:rsid w:val="008F6970"/>
    <w:pPr>
      <w:keepNext/>
      <w:numPr>
        <w:ilvl w:val="6"/>
        <w:numId w:val="18"/>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8F6970"/>
    <w:pPr>
      <w:keepNext/>
      <w:numPr>
        <w:ilvl w:val="7"/>
        <w:numId w:val="18"/>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link w:val="Heading9Char"/>
    <w:qFormat/>
    <w:rsid w:val="008F6970"/>
    <w:pPr>
      <w:keepNext/>
      <w:numPr>
        <w:ilvl w:val="8"/>
        <w:numId w:val="18"/>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26D54"/>
    <w:rPr>
      <w:rFonts w:cstheme="majorBidi"/>
      <w:b/>
      <w:snapToGrid w:val="0"/>
      <w:sz w:val="22"/>
    </w:rPr>
  </w:style>
  <w:style w:type="paragraph" w:styleId="NormalIndent">
    <w:name w:val="Normal Indent"/>
    <w:basedOn w:val="Normal"/>
    <w:uiPriority w:val="99"/>
    <w:unhideWhenUsed/>
    <w:rsid w:val="00A32828"/>
    <w:pPr>
      <w:ind w:left="720"/>
    </w:pPr>
  </w:style>
  <w:style w:type="paragraph" w:styleId="BalloonText">
    <w:name w:val="Balloon Text"/>
    <w:basedOn w:val="Normal"/>
    <w:link w:val="BalloonTextChar"/>
    <w:uiPriority w:val="99"/>
    <w:semiHidden/>
    <w:unhideWhenUsed/>
    <w:rsid w:val="00794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224"/>
    <w:rPr>
      <w:rFonts w:ascii="Lucida Grande" w:hAnsi="Lucida Grande" w:cs="Lucida Grande"/>
      <w:snapToGrid w:val="0"/>
      <w:sz w:val="18"/>
      <w:szCs w:val="18"/>
    </w:rPr>
  </w:style>
  <w:style w:type="character" w:customStyle="1" w:styleId="Heading1Char">
    <w:name w:val="Heading 1 Char"/>
    <w:basedOn w:val="DefaultParagraphFont"/>
    <w:link w:val="Heading1"/>
    <w:rsid w:val="007C0F91"/>
    <w:rPr>
      <w:rFonts w:cstheme="majorBidi"/>
      <w:b/>
      <w:caps/>
      <w:snapToGrid w:val="0"/>
      <w:sz w:val="22"/>
    </w:rPr>
  </w:style>
  <w:style w:type="character" w:customStyle="1" w:styleId="Heading3Char">
    <w:name w:val="Heading 3 Char"/>
    <w:basedOn w:val="DefaultParagraphFont"/>
    <w:link w:val="Heading3"/>
    <w:rsid w:val="00E85DC8"/>
    <w:rPr>
      <w:b/>
      <w:snapToGrid w:val="0"/>
      <w:sz w:val="22"/>
    </w:rPr>
  </w:style>
  <w:style w:type="character" w:customStyle="1" w:styleId="Heading4Char">
    <w:name w:val="Heading 4 Char"/>
    <w:basedOn w:val="DefaultParagraphFont"/>
    <w:link w:val="Heading4"/>
    <w:rsid w:val="00E85DC8"/>
    <w:rPr>
      <w:b/>
      <w:snapToGrid w:val="0"/>
      <w:sz w:val="22"/>
    </w:rPr>
  </w:style>
  <w:style w:type="character" w:customStyle="1" w:styleId="Heading5Char">
    <w:name w:val="Heading 5 Char"/>
    <w:basedOn w:val="DefaultParagraphFont"/>
    <w:link w:val="Heading5"/>
    <w:rsid w:val="00E85DC8"/>
    <w:rPr>
      <w:b/>
      <w:snapToGrid w:val="0"/>
      <w:sz w:val="22"/>
    </w:rPr>
  </w:style>
  <w:style w:type="character" w:customStyle="1" w:styleId="Heading6Char">
    <w:name w:val="Heading 6 Char"/>
    <w:basedOn w:val="DefaultParagraphFont"/>
    <w:link w:val="Heading6"/>
    <w:rsid w:val="00E85DC8"/>
    <w:rPr>
      <w:b/>
      <w:snapToGrid w:val="0"/>
      <w:sz w:val="22"/>
    </w:rPr>
  </w:style>
  <w:style w:type="character" w:customStyle="1" w:styleId="Heading7Char">
    <w:name w:val="Heading 7 Char"/>
    <w:basedOn w:val="DefaultParagraphFont"/>
    <w:link w:val="Heading7"/>
    <w:rsid w:val="00E85DC8"/>
    <w:rPr>
      <w:b/>
      <w:snapToGrid w:val="0"/>
      <w:sz w:val="22"/>
    </w:rPr>
  </w:style>
  <w:style w:type="character" w:customStyle="1" w:styleId="Heading8Char">
    <w:name w:val="Heading 8 Char"/>
    <w:basedOn w:val="DefaultParagraphFont"/>
    <w:link w:val="Heading8"/>
    <w:rsid w:val="00E85DC8"/>
    <w:rPr>
      <w:b/>
      <w:snapToGrid w:val="0"/>
      <w:sz w:val="22"/>
    </w:rPr>
  </w:style>
  <w:style w:type="character" w:customStyle="1" w:styleId="Heading9Char">
    <w:name w:val="Heading 9 Char"/>
    <w:basedOn w:val="DefaultParagraphFont"/>
    <w:link w:val="Heading9"/>
    <w:rsid w:val="00E85DC8"/>
    <w:rPr>
      <w:b/>
      <w:snapToGrid w:val="0"/>
      <w:sz w:val="22"/>
    </w:rPr>
  </w:style>
  <w:style w:type="paragraph" w:styleId="NoSpacing">
    <w:name w:val="No Spacing"/>
    <w:uiPriority w:val="1"/>
    <w:qFormat/>
    <w:rsid w:val="00E85DC8"/>
    <w:pPr>
      <w:tabs>
        <w:tab w:val="left" w:pos="360"/>
        <w:tab w:val="left" w:pos="720"/>
        <w:tab w:val="left" w:pos="1080"/>
      </w:tabs>
      <w:jc w:val="both"/>
    </w:pPr>
    <w:rPr>
      <w:rFonts w:asciiTheme="majorHAnsi" w:hAnsiTheme="majorHAnsi"/>
      <w:snapToGrid w:val="0"/>
      <w:sz w:val="18"/>
    </w:rPr>
  </w:style>
  <w:style w:type="table" w:styleId="LightList">
    <w:name w:val="Light List"/>
    <w:basedOn w:val="TableNormal"/>
    <w:uiPriority w:val="61"/>
    <w:rsid w:val="00E85DC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E85DC8"/>
    <w:rPr>
      <w:sz w:val="18"/>
      <w:szCs w:val="18"/>
    </w:rPr>
  </w:style>
  <w:style w:type="paragraph" w:styleId="CommentText">
    <w:name w:val="annotation text"/>
    <w:basedOn w:val="Normal"/>
    <w:link w:val="CommentTextChar"/>
    <w:uiPriority w:val="99"/>
    <w:unhideWhenUsed/>
    <w:rsid w:val="00E85DC8"/>
  </w:style>
  <w:style w:type="character" w:customStyle="1" w:styleId="CommentTextChar">
    <w:name w:val="Comment Text Char"/>
    <w:basedOn w:val="DefaultParagraphFont"/>
    <w:link w:val="CommentText"/>
    <w:uiPriority w:val="99"/>
    <w:rsid w:val="00E85DC8"/>
    <w:rPr>
      <w:rFonts w:ascii="Calibri" w:hAnsi="Calibri" w:cs="Times New Roman"/>
      <w:snapToGrid w:val="0"/>
      <w:sz w:val="22"/>
      <w:szCs w:val="20"/>
    </w:rPr>
  </w:style>
  <w:style w:type="paragraph" w:styleId="Caption">
    <w:name w:val="caption"/>
    <w:basedOn w:val="Normal"/>
    <w:next w:val="Normal"/>
    <w:uiPriority w:val="35"/>
    <w:qFormat/>
    <w:rsid w:val="008F6970"/>
    <w:pPr>
      <w:spacing w:before="120"/>
    </w:pPr>
    <w:rPr>
      <w:b/>
      <w:bCs/>
    </w:rPr>
  </w:style>
  <w:style w:type="paragraph" w:styleId="FootnoteText">
    <w:name w:val="footnote text"/>
    <w:basedOn w:val="Normal"/>
    <w:link w:val="FootnoteTextChar"/>
    <w:uiPriority w:val="99"/>
    <w:unhideWhenUsed/>
    <w:rsid w:val="00E85DC8"/>
    <w:rPr>
      <w:sz w:val="24"/>
    </w:rPr>
  </w:style>
  <w:style w:type="character" w:customStyle="1" w:styleId="FootnoteTextChar">
    <w:name w:val="Footnote Text Char"/>
    <w:basedOn w:val="DefaultParagraphFont"/>
    <w:link w:val="FootnoteText"/>
    <w:uiPriority w:val="99"/>
    <w:rsid w:val="00E85DC8"/>
    <w:rPr>
      <w:rFonts w:ascii="Calibri" w:hAnsi="Calibri" w:cs="Times New Roman"/>
      <w:snapToGrid w:val="0"/>
      <w:szCs w:val="20"/>
    </w:rPr>
  </w:style>
  <w:style w:type="character" w:styleId="FootnoteReference">
    <w:name w:val="footnote reference"/>
    <w:basedOn w:val="DefaultParagraphFont"/>
    <w:uiPriority w:val="99"/>
    <w:unhideWhenUsed/>
    <w:rsid w:val="00E85DC8"/>
    <w:rPr>
      <w:vertAlign w:val="superscript"/>
    </w:rPr>
  </w:style>
  <w:style w:type="paragraph" w:styleId="Title">
    <w:name w:val="Title"/>
    <w:basedOn w:val="Normal"/>
    <w:link w:val="TitleChar"/>
    <w:qFormat/>
    <w:rsid w:val="008F6970"/>
    <w:pPr>
      <w:suppressAutoHyphens/>
      <w:jc w:val="center"/>
    </w:pPr>
    <w:rPr>
      <w:b/>
      <w:caps/>
    </w:rPr>
  </w:style>
  <w:style w:type="character" w:customStyle="1" w:styleId="TitleChar">
    <w:name w:val="Title Char"/>
    <w:basedOn w:val="DefaultParagraphFont"/>
    <w:link w:val="Title"/>
    <w:rsid w:val="00E85DC8"/>
    <w:rPr>
      <w:b/>
      <w:caps/>
      <w:snapToGrid w:val="0"/>
      <w:sz w:val="22"/>
    </w:rPr>
  </w:style>
  <w:style w:type="character" w:styleId="Strong">
    <w:name w:val="Strong"/>
    <w:basedOn w:val="DefaultParagraphFont"/>
    <w:qFormat/>
    <w:rsid w:val="00E85DC8"/>
    <w:rPr>
      <w:b/>
      <w:bCs/>
    </w:rPr>
  </w:style>
  <w:style w:type="character" w:styleId="IntenseEmphasis">
    <w:name w:val="Intense Emphasis"/>
    <w:basedOn w:val="DefaultParagraphFont"/>
    <w:uiPriority w:val="21"/>
    <w:qFormat/>
    <w:rsid w:val="00E85DC8"/>
    <w:rPr>
      <w:b/>
      <w:bCs/>
      <w:i/>
      <w:iCs/>
      <w:color w:val="4F81BD" w:themeColor="accent1"/>
    </w:rPr>
  </w:style>
  <w:style w:type="paragraph" w:customStyle="1" w:styleId="MediumGrid21">
    <w:name w:val="Medium Grid 21"/>
    <w:uiPriority w:val="1"/>
    <w:qFormat/>
    <w:rsid w:val="008F6970"/>
    <w:pPr>
      <w:tabs>
        <w:tab w:val="left" w:pos="360"/>
        <w:tab w:val="left" w:pos="720"/>
        <w:tab w:val="left" w:pos="1080"/>
      </w:tabs>
      <w:jc w:val="both"/>
    </w:pPr>
    <w:rPr>
      <w:snapToGrid w:val="0"/>
      <w:sz w:val="22"/>
    </w:rPr>
  </w:style>
  <w:style w:type="paragraph" w:styleId="Subtitle">
    <w:name w:val="Subtitle"/>
    <w:basedOn w:val="Normal"/>
    <w:link w:val="SubtitleChar"/>
    <w:qFormat/>
    <w:rsid w:val="008F6970"/>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8F6970"/>
    <w:rPr>
      <w:rFonts w:ascii="Arial" w:hAnsi="Arial" w:cs="Arial"/>
      <w:snapToGrid w:val="0"/>
      <w:sz w:val="24"/>
      <w:szCs w:val="24"/>
    </w:rPr>
  </w:style>
  <w:style w:type="paragraph" w:styleId="CommentSubject">
    <w:name w:val="annotation subject"/>
    <w:basedOn w:val="CommentText"/>
    <w:next w:val="CommentText"/>
    <w:link w:val="CommentSubjectChar"/>
    <w:uiPriority w:val="99"/>
    <w:semiHidden/>
    <w:unhideWhenUsed/>
    <w:rsid w:val="00D56DB2"/>
    <w:rPr>
      <w:b/>
      <w:bCs/>
      <w:sz w:val="20"/>
    </w:rPr>
  </w:style>
  <w:style w:type="character" w:customStyle="1" w:styleId="CommentSubjectChar">
    <w:name w:val="Comment Subject Char"/>
    <w:basedOn w:val="CommentTextChar"/>
    <w:link w:val="CommentSubject"/>
    <w:uiPriority w:val="99"/>
    <w:semiHidden/>
    <w:rsid w:val="00D56DB2"/>
    <w:rPr>
      <w:rFonts w:ascii="Calibri" w:hAnsi="Calibri" w:cs="Times New Roman"/>
      <w:b/>
      <w:bCs/>
      <w:snapToGrid w:val="0"/>
      <w:sz w:val="22"/>
      <w:szCs w:val="20"/>
    </w:rPr>
  </w:style>
  <w:style w:type="character" w:styleId="PlaceholderText">
    <w:name w:val="Placeholder Text"/>
    <w:basedOn w:val="DefaultParagraphFont"/>
    <w:uiPriority w:val="99"/>
    <w:semiHidden/>
    <w:rsid w:val="00A25AEE"/>
    <w:rPr>
      <w:color w:val="808080"/>
    </w:rPr>
  </w:style>
  <w:style w:type="character" w:styleId="Emphasis">
    <w:name w:val="Emphasis"/>
    <w:basedOn w:val="DefaultParagraphFont"/>
    <w:qFormat/>
    <w:rsid w:val="005C6D3C"/>
    <w:rPr>
      <w:i/>
      <w:iCs/>
    </w:rPr>
  </w:style>
  <w:style w:type="paragraph" w:styleId="ListParagraph">
    <w:name w:val="List Paragraph"/>
    <w:basedOn w:val="Normal"/>
    <w:uiPriority w:val="34"/>
    <w:qFormat/>
    <w:rsid w:val="00AB1AD4"/>
    <w:pPr>
      <w:ind w:left="720"/>
      <w:contextualSpacing/>
    </w:pPr>
  </w:style>
  <w:style w:type="paragraph" w:styleId="DocumentMap">
    <w:name w:val="Document Map"/>
    <w:basedOn w:val="Normal"/>
    <w:link w:val="DocumentMapChar"/>
    <w:uiPriority w:val="99"/>
    <w:semiHidden/>
    <w:unhideWhenUsed/>
    <w:rsid w:val="00AB1AD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B1AD4"/>
    <w:rPr>
      <w:rFonts w:ascii="Lucida Grande" w:hAnsi="Lucida Grande" w:cs="Lucida Grande"/>
      <w:snapToGrid w:val="0"/>
      <w:sz w:val="24"/>
      <w:szCs w:val="24"/>
    </w:rPr>
  </w:style>
  <w:style w:type="paragraph" w:styleId="Revision">
    <w:name w:val="Revision"/>
    <w:hidden/>
    <w:uiPriority w:val="99"/>
    <w:semiHidden/>
    <w:rsid w:val="00923A2A"/>
    <w:rPr>
      <w:rFonts w:ascii="Calibri" w:hAnsi="Calibri"/>
      <w:snapToGrid w:val="0"/>
      <w:sz w:val="22"/>
    </w:rPr>
  </w:style>
  <w:style w:type="character" w:styleId="EndnoteReference">
    <w:name w:val="endnote reference"/>
    <w:basedOn w:val="DefaultParagraphFont"/>
    <w:uiPriority w:val="99"/>
    <w:semiHidden/>
    <w:unhideWhenUsed/>
    <w:rsid w:val="00FD743D"/>
    <w:rPr>
      <w:vertAlign w:val="superscript"/>
    </w:rPr>
  </w:style>
  <w:style w:type="table" w:styleId="TableGrid">
    <w:name w:val="Table Grid"/>
    <w:basedOn w:val="TableNormal"/>
    <w:uiPriority w:val="59"/>
    <w:rsid w:val="00CE02A7"/>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E02A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Indent"/>
    <w:qFormat/>
    <w:rsid w:val="009562F8"/>
    <w:pPr>
      <w:tabs>
        <w:tab w:val="left" w:pos="360"/>
        <w:tab w:val="left" w:pos="720"/>
        <w:tab w:val="left" w:pos="1080"/>
      </w:tabs>
      <w:spacing w:after="120"/>
      <w:jc w:val="both"/>
    </w:pPr>
    <w:rPr>
      <w:rFonts w:ascii="Calibri" w:hAnsi="Calibri"/>
      <w:snapToGrid w:val="0"/>
      <w:sz w:val="22"/>
    </w:rPr>
  </w:style>
  <w:style w:type="paragraph" w:styleId="Heading1">
    <w:name w:val="heading 1"/>
    <w:basedOn w:val="Normal"/>
    <w:next w:val="Normal"/>
    <w:link w:val="Heading1Char"/>
    <w:qFormat/>
    <w:rsid w:val="008F6970"/>
    <w:pPr>
      <w:keepNext/>
      <w:numPr>
        <w:numId w:val="18"/>
      </w:numPr>
      <w:tabs>
        <w:tab w:val="clear" w:pos="360"/>
      </w:tabs>
      <w:suppressAutoHyphens/>
      <w:spacing w:before="240"/>
      <w:jc w:val="left"/>
      <w:outlineLvl w:val="0"/>
    </w:pPr>
    <w:rPr>
      <w:rFonts w:cstheme="majorBidi"/>
      <w:b/>
      <w:caps/>
    </w:rPr>
  </w:style>
  <w:style w:type="paragraph" w:styleId="Heading2">
    <w:name w:val="heading 2"/>
    <w:basedOn w:val="Normal"/>
    <w:next w:val="Normal"/>
    <w:link w:val="Heading2Char"/>
    <w:qFormat/>
    <w:rsid w:val="008F6970"/>
    <w:pPr>
      <w:keepNext/>
      <w:numPr>
        <w:ilvl w:val="1"/>
        <w:numId w:val="18"/>
      </w:numPr>
      <w:tabs>
        <w:tab w:val="clear" w:pos="360"/>
      </w:tabs>
      <w:suppressAutoHyphens/>
      <w:spacing w:before="240"/>
      <w:jc w:val="left"/>
      <w:outlineLvl w:val="1"/>
    </w:pPr>
    <w:rPr>
      <w:rFonts w:cstheme="majorBidi"/>
      <w:b/>
    </w:rPr>
  </w:style>
  <w:style w:type="paragraph" w:styleId="Heading3">
    <w:name w:val="heading 3"/>
    <w:basedOn w:val="Normal"/>
    <w:next w:val="Normal"/>
    <w:link w:val="Heading3Char"/>
    <w:qFormat/>
    <w:rsid w:val="008F6970"/>
    <w:pPr>
      <w:keepNext/>
      <w:numPr>
        <w:ilvl w:val="2"/>
        <w:numId w:val="18"/>
      </w:numPr>
      <w:tabs>
        <w:tab w:val="clear" w:pos="360"/>
        <w:tab w:val="clear" w:pos="720"/>
        <w:tab w:val="clear" w:pos="1080"/>
        <w:tab w:val="num" w:pos="810"/>
      </w:tabs>
      <w:suppressAutoHyphens/>
      <w:spacing w:before="240" w:after="240"/>
      <w:ind w:left="810"/>
      <w:jc w:val="left"/>
      <w:outlineLvl w:val="2"/>
    </w:pPr>
    <w:rPr>
      <w:b/>
    </w:rPr>
  </w:style>
  <w:style w:type="paragraph" w:styleId="Heading4">
    <w:name w:val="heading 4"/>
    <w:basedOn w:val="Normal"/>
    <w:next w:val="Normal"/>
    <w:link w:val="Heading4Char"/>
    <w:qFormat/>
    <w:rsid w:val="008F6970"/>
    <w:pPr>
      <w:keepNext/>
      <w:numPr>
        <w:ilvl w:val="3"/>
        <w:numId w:val="18"/>
      </w:numPr>
      <w:tabs>
        <w:tab w:val="clear" w:pos="360"/>
        <w:tab w:val="clear" w:pos="1080"/>
      </w:tabs>
      <w:suppressAutoHyphens/>
      <w:spacing w:before="240" w:after="240"/>
      <w:jc w:val="left"/>
      <w:outlineLvl w:val="3"/>
    </w:pPr>
    <w:rPr>
      <w:b/>
    </w:rPr>
  </w:style>
  <w:style w:type="paragraph" w:styleId="Heading5">
    <w:name w:val="heading 5"/>
    <w:basedOn w:val="Normal"/>
    <w:next w:val="Normal"/>
    <w:link w:val="Heading5Char"/>
    <w:qFormat/>
    <w:rsid w:val="008F6970"/>
    <w:pPr>
      <w:keepNext/>
      <w:numPr>
        <w:ilvl w:val="4"/>
        <w:numId w:val="18"/>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link w:val="Heading6Char"/>
    <w:qFormat/>
    <w:rsid w:val="008F6970"/>
    <w:pPr>
      <w:keepNext/>
      <w:numPr>
        <w:ilvl w:val="5"/>
        <w:numId w:val="18"/>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link w:val="Heading7Char"/>
    <w:qFormat/>
    <w:rsid w:val="008F6970"/>
    <w:pPr>
      <w:keepNext/>
      <w:numPr>
        <w:ilvl w:val="6"/>
        <w:numId w:val="18"/>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8F6970"/>
    <w:pPr>
      <w:keepNext/>
      <w:numPr>
        <w:ilvl w:val="7"/>
        <w:numId w:val="18"/>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link w:val="Heading9Char"/>
    <w:qFormat/>
    <w:rsid w:val="008F6970"/>
    <w:pPr>
      <w:keepNext/>
      <w:numPr>
        <w:ilvl w:val="8"/>
        <w:numId w:val="18"/>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26D54"/>
    <w:rPr>
      <w:rFonts w:cstheme="majorBidi"/>
      <w:b/>
      <w:snapToGrid w:val="0"/>
      <w:sz w:val="22"/>
    </w:rPr>
  </w:style>
  <w:style w:type="paragraph" w:styleId="NormalIndent">
    <w:name w:val="Normal Indent"/>
    <w:basedOn w:val="Normal"/>
    <w:uiPriority w:val="99"/>
    <w:unhideWhenUsed/>
    <w:rsid w:val="00A32828"/>
    <w:pPr>
      <w:ind w:left="720"/>
    </w:pPr>
  </w:style>
  <w:style w:type="paragraph" w:styleId="BalloonText">
    <w:name w:val="Balloon Text"/>
    <w:basedOn w:val="Normal"/>
    <w:link w:val="BalloonTextChar"/>
    <w:uiPriority w:val="99"/>
    <w:semiHidden/>
    <w:unhideWhenUsed/>
    <w:rsid w:val="00794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224"/>
    <w:rPr>
      <w:rFonts w:ascii="Lucida Grande" w:hAnsi="Lucida Grande" w:cs="Lucida Grande"/>
      <w:snapToGrid w:val="0"/>
      <w:sz w:val="18"/>
      <w:szCs w:val="18"/>
    </w:rPr>
  </w:style>
  <w:style w:type="character" w:customStyle="1" w:styleId="Heading1Char">
    <w:name w:val="Heading 1 Char"/>
    <w:basedOn w:val="DefaultParagraphFont"/>
    <w:link w:val="Heading1"/>
    <w:rsid w:val="007C0F91"/>
    <w:rPr>
      <w:rFonts w:cstheme="majorBidi"/>
      <w:b/>
      <w:caps/>
      <w:snapToGrid w:val="0"/>
      <w:sz w:val="22"/>
    </w:rPr>
  </w:style>
  <w:style w:type="character" w:customStyle="1" w:styleId="Heading3Char">
    <w:name w:val="Heading 3 Char"/>
    <w:basedOn w:val="DefaultParagraphFont"/>
    <w:link w:val="Heading3"/>
    <w:rsid w:val="00E85DC8"/>
    <w:rPr>
      <w:b/>
      <w:snapToGrid w:val="0"/>
      <w:sz w:val="22"/>
    </w:rPr>
  </w:style>
  <w:style w:type="character" w:customStyle="1" w:styleId="Heading4Char">
    <w:name w:val="Heading 4 Char"/>
    <w:basedOn w:val="DefaultParagraphFont"/>
    <w:link w:val="Heading4"/>
    <w:rsid w:val="00E85DC8"/>
    <w:rPr>
      <w:b/>
      <w:snapToGrid w:val="0"/>
      <w:sz w:val="22"/>
    </w:rPr>
  </w:style>
  <w:style w:type="character" w:customStyle="1" w:styleId="Heading5Char">
    <w:name w:val="Heading 5 Char"/>
    <w:basedOn w:val="DefaultParagraphFont"/>
    <w:link w:val="Heading5"/>
    <w:rsid w:val="00E85DC8"/>
    <w:rPr>
      <w:b/>
      <w:snapToGrid w:val="0"/>
      <w:sz w:val="22"/>
    </w:rPr>
  </w:style>
  <w:style w:type="character" w:customStyle="1" w:styleId="Heading6Char">
    <w:name w:val="Heading 6 Char"/>
    <w:basedOn w:val="DefaultParagraphFont"/>
    <w:link w:val="Heading6"/>
    <w:rsid w:val="00E85DC8"/>
    <w:rPr>
      <w:b/>
      <w:snapToGrid w:val="0"/>
      <w:sz w:val="22"/>
    </w:rPr>
  </w:style>
  <w:style w:type="character" w:customStyle="1" w:styleId="Heading7Char">
    <w:name w:val="Heading 7 Char"/>
    <w:basedOn w:val="DefaultParagraphFont"/>
    <w:link w:val="Heading7"/>
    <w:rsid w:val="00E85DC8"/>
    <w:rPr>
      <w:b/>
      <w:snapToGrid w:val="0"/>
      <w:sz w:val="22"/>
    </w:rPr>
  </w:style>
  <w:style w:type="character" w:customStyle="1" w:styleId="Heading8Char">
    <w:name w:val="Heading 8 Char"/>
    <w:basedOn w:val="DefaultParagraphFont"/>
    <w:link w:val="Heading8"/>
    <w:rsid w:val="00E85DC8"/>
    <w:rPr>
      <w:b/>
      <w:snapToGrid w:val="0"/>
      <w:sz w:val="22"/>
    </w:rPr>
  </w:style>
  <w:style w:type="character" w:customStyle="1" w:styleId="Heading9Char">
    <w:name w:val="Heading 9 Char"/>
    <w:basedOn w:val="DefaultParagraphFont"/>
    <w:link w:val="Heading9"/>
    <w:rsid w:val="00E85DC8"/>
    <w:rPr>
      <w:b/>
      <w:snapToGrid w:val="0"/>
      <w:sz w:val="22"/>
    </w:rPr>
  </w:style>
  <w:style w:type="paragraph" w:styleId="NoSpacing">
    <w:name w:val="No Spacing"/>
    <w:uiPriority w:val="1"/>
    <w:qFormat/>
    <w:rsid w:val="00E85DC8"/>
    <w:pPr>
      <w:tabs>
        <w:tab w:val="left" w:pos="360"/>
        <w:tab w:val="left" w:pos="720"/>
        <w:tab w:val="left" w:pos="1080"/>
      </w:tabs>
      <w:jc w:val="both"/>
    </w:pPr>
    <w:rPr>
      <w:rFonts w:asciiTheme="majorHAnsi" w:hAnsiTheme="majorHAnsi"/>
      <w:snapToGrid w:val="0"/>
      <w:sz w:val="18"/>
    </w:rPr>
  </w:style>
  <w:style w:type="table" w:styleId="LightList">
    <w:name w:val="Light List"/>
    <w:basedOn w:val="TableNormal"/>
    <w:uiPriority w:val="61"/>
    <w:rsid w:val="00E85DC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E85DC8"/>
    <w:rPr>
      <w:sz w:val="18"/>
      <w:szCs w:val="18"/>
    </w:rPr>
  </w:style>
  <w:style w:type="paragraph" w:styleId="CommentText">
    <w:name w:val="annotation text"/>
    <w:basedOn w:val="Normal"/>
    <w:link w:val="CommentTextChar"/>
    <w:uiPriority w:val="99"/>
    <w:unhideWhenUsed/>
    <w:rsid w:val="00E85DC8"/>
  </w:style>
  <w:style w:type="character" w:customStyle="1" w:styleId="CommentTextChar">
    <w:name w:val="Comment Text Char"/>
    <w:basedOn w:val="DefaultParagraphFont"/>
    <w:link w:val="CommentText"/>
    <w:uiPriority w:val="99"/>
    <w:rsid w:val="00E85DC8"/>
    <w:rPr>
      <w:rFonts w:ascii="Calibri" w:hAnsi="Calibri" w:cs="Times New Roman"/>
      <w:snapToGrid w:val="0"/>
      <w:sz w:val="22"/>
      <w:szCs w:val="20"/>
    </w:rPr>
  </w:style>
  <w:style w:type="paragraph" w:styleId="Caption">
    <w:name w:val="caption"/>
    <w:basedOn w:val="Normal"/>
    <w:next w:val="Normal"/>
    <w:uiPriority w:val="35"/>
    <w:qFormat/>
    <w:rsid w:val="008F6970"/>
    <w:pPr>
      <w:spacing w:before="120"/>
    </w:pPr>
    <w:rPr>
      <w:b/>
      <w:bCs/>
    </w:rPr>
  </w:style>
  <w:style w:type="paragraph" w:styleId="FootnoteText">
    <w:name w:val="footnote text"/>
    <w:basedOn w:val="Normal"/>
    <w:link w:val="FootnoteTextChar"/>
    <w:uiPriority w:val="99"/>
    <w:unhideWhenUsed/>
    <w:rsid w:val="00E85DC8"/>
    <w:rPr>
      <w:sz w:val="24"/>
    </w:rPr>
  </w:style>
  <w:style w:type="character" w:customStyle="1" w:styleId="FootnoteTextChar">
    <w:name w:val="Footnote Text Char"/>
    <w:basedOn w:val="DefaultParagraphFont"/>
    <w:link w:val="FootnoteText"/>
    <w:uiPriority w:val="99"/>
    <w:rsid w:val="00E85DC8"/>
    <w:rPr>
      <w:rFonts w:ascii="Calibri" w:hAnsi="Calibri" w:cs="Times New Roman"/>
      <w:snapToGrid w:val="0"/>
      <w:szCs w:val="20"/>
    </w:rPr>
  </w:style>
  <w:style w:type="character" w:styleId="FootnoteReference">
    <w:name w:val="footnote reference"/>
    <w:basedOn w:val="DefaultParagraphFont"/>
    <w:uiPriority w:val="99"/>
    <w:unhideWhenUsed/>
    <w:rsid w:val="00E85DC8"/>
    <w:rPr>
      <w:vertAlign w:val="superscript"/>
    </w:rPr>
  </w:style>
  <w:style w:type="paragraph" w:styleId="Title">
    <w:name w:val="Title"/>
    <w:basedOn w:val="Normal"/>
    <w:link w:val="TitleChar"/>
    <w:qFormat/>
    <w:rsid w:val="008F6970"/>
    <w:pPr>
      <w:suppressAutoHyphens/>
      <w:jc w:val="center"/>
    </w:pPr>
    <w:rPr>
      <w:b/>
      <w:caps/>
    </w:rPr>
  </w:style>
  <w:style w:type="character" w:customStyle="1" w:styleId="TitleChar">
    <w:name w:val="Title Char"/>
    <w:basedOn w:val="DefaultParagraphFont"/>
    <w:link w:val="Title"/>
    <w:rsid w:val="00E85DC8"/>
    <w:rPr>
      <w:b/>
      <w:caps/>
      <w:snapToGrid w:val="0"/>
      <w:sz w:val="22"/>
    </w:rPr>
  </w:style>
  <w:style w:type="character" w:styleId="Strong">
    <w:name w:val="Strong"/>
    <w:basedOn w:val="DefaultParagraphFont"/>
    <w:qFormat/>
    <w:rsid w:val="00E85DC8"/>
    <w:rPr>
      <w:b/>
      <w:bCs/>
    </w:rPr>
  </w:style>
  <w:style w:type="character" w:styleId="IntenseEmphasis">
    <w:name w:val="Intense Emphasis"/>
    <w:basedOn w:val="DefaultParagraphFont"/>
    <w:uiPriority w:val="21"/>
    <w:qFormat/>
    <w:rsid w:val="00E85DC8"/>
    <w:rPr>
      <w:b/>
      <w:bCs/>
      <w:i/>
      <w:iCs/>
      <w:color w:val="4F81BD" w:themeColor="accent1"/>
    </w:rPr>
  </w:style>
  <w:style w:type="paragraph" w:customStyle="1" w:styleId="MediumGrid21">
    <w:name w:val="Medium Grid 21"/>
    <w:uiPriority w:val="1"/>
    <w:qFormat/>
    <w:rsid w:val="008F6970"/>
    <w:pPr>
      <w:tabs>
        <w:tab w:val="left" w:pos="360"/>
        <w:tab w:val="left" w:pos="720"/>
        <w:tab w:val="left" w:pos="1080"/>
      </w:tabs>
      <w:jc w:val="both"/>
    </w:pPr>
    <w:rPr>
      <w:snapToGrid w:val="0"/>
      <w:sz w:val="22"/>
    </w:rPr>
  </w:style>
  <w:style w:type="paragraph" w:styleId="Subtitle">
    <w:name w:val="Subtitle"/>
    <w:basedOn w:val="Normal"/>
    <w:link w:val="SubtitleChar"/>
    <w:qFormat/>
    <w:rsid w:val="008F6970"/>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8F6970"/>
    <w:rPr>
      <w:rFonts w:ascii="Arial" w:hAnsi="Arial" w:cs="Arial"/>
      <w:snapToGrid w:val="0"/>
      <w:sz w:val="24"/>
      <w:szCs w:val="24"/>
    </w:rPr>
  </w:style>
  <w:style w:type="paragraph" w:styleId="CommentSubject">
    <w:name w:val="annotation subject"/>
    <w:basedOn w:val="CommentText"/>
    <w:next w:val="CommentText"/>
    <w:link w:val="CommentSubjectChar"/>
    <w:uiPriority w:val="99"/>
    <w:semiHidden/>
    <w:unhideWhenUsed/>
    <w:rsid w:val="00D56DB2"/>
    <w:rPr>
      <w:b/>
      <w:bCs/>
      <w:sz w:val="20"/>
    </w:rPr>
  </w:style>
  <w:style w:type="character" w:customStyle="1" w:styleId="CommentSubjectChar">
    <w:name w:val="Comment Subject Char"/>
    <w:basedOn w:val="CommentTextChar"/>
    <w:link w:val="CommentSubject"/>
    <w:uiPriority w:val="99"/>
    <w:semiHidden/>
    <w:rsid w:val="00D56DB2"/>
    <w:rPr>
      <w:rFonts w:ascii="Calibri" w:hAnsi="Calibri" w:cs="Times New Roman"/>
      <w:b/>
      <w:bCs/>
      <w:snapToGrid w:val="0"/>
      <w:sz w:val="22"/>
      <w:szCs w:val="20"/>
    </w:rPr>
  </w:style>
  <w:style w:type="character" w:styleId="PlaceholderText">
    <w:name w:val="Placeholder Text"/>
    <w:basedOn w:val="DefaultParagraphFont"/>
    <w:uiPriority w:val="99"/>
    <w:semiHidden/>
    <w:rsid w:val="00A25AEE"/>
    <w:rPr>
      <w:color w:val="808080"/>
    </w:rPr>
  </w:style>
  <w:style w:type="character" w:styleId="Emphasis">
    <w:name w:val="Emphasis"/>
    <w:basedOn w:val="DefaultParagraphFont"/>
    <w:qFormat/>
    <w:rsid w:val="005C6D3C"/>
    <w:rPr>
      <w:i/>
      <w:iCs/>
    </w:rPr>
  </w:style>
  <w:style w:type="paragraph" w:styleId="ListParagraph">
    <w:name w:val="List Paragraph"/>
    <w:basedOn w:val="Normal"/>
    <w:uiPriority w:val="34"/>
    <w:qFormat/>
    <w:rsid w:val="00AB1AD4"/>
    <w:pPr>
      <w:ind w:left="720"/>
      <w:contextualSpacing/>
    </w:pPr>
  </w:style>
  <w:style w:type="paragraph" w:styleId="DocumentMap">
    <w:name w:val="Document Map"/>
    <w:basedOn w:val="Normal"/>
    <w:link w:val="DocumentMapChar"/>
    <w:uiPriority w:val="99"/>
    <w:semiHidden/>
    <w:unhideWhenUsed/>
    <w:rsid w:val="00AB1AD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B1AD4"/>
    <w:rPr>
      <w:rFonts w:ascii="Lucida Grande" w:hAnsi="Lucida Grande" w:cs="Lucida Grande"/>
      <w:snapToGrid w:val="0"/>
      <w:sz w:val="24"/>
      <w:szCs w:val="24"/>
    </w:rPr>
  </w:style>
  <w:style w:type="paragraph" w:styleId="Revision">
    <w:name w:val="Revision"/>
    <w:hidden/>
    <w:uiPriority w:val="99"/>
    <w:semiHidden/>
    <w:rsid w:val="00923A2A"/>
    <w:rPr>
      <w:rFonts w:ascii="Calibri" w:hAnsi="Calibri"/>
      <w:snapToGrid w:val="0"/>
      <w:sz w:val="22"/>
    </w:rPr>
  </w:style>
  <w:style w:type="character" w:styleId="EndnoteReference">
    <w:name w:val="endnote reference"/>
    <w:basedOn w:val="DefaultParagraphFont"/>
    <w:uiPriority w:val="99"/>
    <w:semiHidden/>
    <w:unhideWhenUsed/>
    <w:rsid w:val="00FD743D"/>
    <w:rPr>
      <w:vertAlign w:val="superscript"/>
    </w:rPr>
  </w:style>
  <w:style w:type="table" w:styleId="TableGrid">
    <w:name w:val="Table Grid"/>
    <w:basedOn w:val="TableNormal"/>
    <w:uiPriority w:val="59"/>
    <w:rsid w:val="00CE02A7"/>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E02A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9599">
      <w:bodyDiv w:val="1"/>
      <w:marLeft w:val="0"/>
      <w:marRight w:val="0"/>
      <w:marTop w:val="0"/>
      <w:marBottom w:val="0"/>
      <w:divBdr>
        <w:top w:val="none" w:sz="0" w:space="0" w:color="auto"/>
        <w:left w:val="none" w:sz="0" w:space="0" w:color="auto"/>
        <w:bottom w:val="none" w:sz="0" w:space="0" w:color="auto"/>
        <w:right w:val="none" w:sz="0" w:space="0" w:color="auto"/>
      </w:divBdr>
    </w:div>
    <w:div w:id="423964853">
      <w:bodyDiv w:val="1"/>
      <w:marLeft w:val="0"/>
      <w:marRight w:val="0"/>
      <w:marTop w:val="0"/>
      <w:marBottom w:val="0"/>
      <w:divBdr>
        <w:top w:val="none" w:sz="0" w:space="0" w:color="auto"/>
        <w:left w:val="none" w:sz="0" w:space="0" w:color="auto"/>
        <w:bottom w:val="none" w:sz="0" w:space="0" w:color="auto"/>
        <w:right w:val="none" w:sz="0" w:space="0" w:color="auto"/>
      </w:divBdr>
    </w:div>
    <w:div w:id="481966233">
      <w:bodyDiv w:val="1"/>
      <w:marLeft w:val="0"/>
      <w:marRight w:val="0"/>
      <w:marTop w:val="0"/>
      <w:marBottom w:val="0"/>
      <w:divBdr>
        <w:top w:val="none" w:sz="0" w:space="0" w:color="auto"/>
        <w:left w:val="none" w:sz="0" w:space="0" w:color="auto"/>
        <w:bottom w:val="none" w:sz="0" w:space="0" w:color="auto"/>
        <w:right w:val="none" w:sz="0" w:space="0" w:color="auto"/>
      </w:divBdr>
    </w:div>
    <w:div w:id="828248460">
      <w:bodyDiv w:val="1"/>
      <w:marLeft w:val="0"/>
      <w:marRight w:val="0"/>
      <w:marTop w:val="0"/>
      <w:marBottom w:val="0"/>
      <w:divBdr>
        <w:top w:val="none" w:sz="0" w:space="0" w:color="auto"/>
        <w:left w:val="none" w:sz="0" w:space="0" w:color="auto"/>
        <w:bottom w:val="none" w:sz="0" w:space="0" w:color="auto"/>
        <w:right w:val="none" w:sz="0" w:space="0" w:color="auto"/>
      </w:divBdr>
    </w:div>
    <w:div w:id="1642416859">
      <w:bodyDiv w:val="1"/>
      <w:marLeft w:val="0"/>
      <w:marRight w:val="0"/>
      <w:marTop w:val="0"/>
      <w:marBottom w:val="0"/>
      <w:divBdr>
        <w:top w:val="none" w:sz="0" w:space="0" w:color="auto"/>
        <w:left w:val="none" w:sz="0" w:space="0" w:color="auto"/>
        <w:bottom w:val="none" w:sz="0" w:space="0" w:color="auto"/>
        <w:right w:val="none" w:sz="0" w:space="0" w:color="auto"/>
      </w:divBdr>
    </w:div>
    <w:div w:id="1739551099">
      <w:bodyDiv w:val="1"/>
      <w:marLeft w:val="0"/>
      <w:marRight w:val="0"/>
      <w:marTop w:val="0"/>
      <w:marBottom w:val="0"/>
      <w:divBdr>
        <w:top w:val="none" w:sz="0" w:space="0" w:color="auto"/>
        <w:left w:val="none" w:sz="0" w:space="0" w:color="auto"/>
        <w:bottom w:val="none" w:sz="0" w:space="0" w:color="auto"/>
        <w:right w:val="none" w:sz="0" w:space="0" w:color="auto"/>
      </w:divBdr>
    </w:div>
    <w:div w:id="1953703457">
      <w:bodyDiv w:val="1"/>
      <w:marLeft w:val="0"/>
      <w:marRight w:val="0"/>
      <w:marTop w:val="0"/>
      <w:marBottom w:val="0"/>
      <w:divBdr>
        <w:top w:val="none" w:sz="0" w:space="0" w:color="auto"/>
        <w:left w:val="none" w:sz="0" w:space="0" w:color="auto"/>
        <w:bottom w:val="none" w:sz="0" w:space="0" w:color="auto"/>
        <w:right w:val="none" w:sz="0" w:space="0" w:color="auto"/>
      </w:divBdr>
    </w:div>
    <w:div w:id="2044745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34A1B-B068-BC43-9762-F28293865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16973</Words>
  <Characters>96752</Characters>
  <Application>Microsoft Macintosh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Parasto Kasaie-Sharifi</dc:creator>
  <cp:keywords/>
  <dc:description/>
  <cp:lastModifiedBy>Parasto Kasaie-Sharifi</cp:lastModifiedBy>
  <cp:revision>7</cp:revision>
  <dcterms:created xsi:type="dcterms:W3CDTF">2017-02-10T16:46:00Z</dcterms:created>
  <dcterms:modified xsi:type="dcterms:W3CDTF">2017-02-10T21:33:00Z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http://www.zotero.org/styles/plos-one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http://www.zotero.org/styles/clinical-infectious-diseases</vt:lpwstr>
  </property>
  <property fmtid="{D5CDD505-2E9C-101B-9397-08002B2CF9AE}" pid="11" name="Mendeley Recent Style Name 3_1">
    <vt:lpwstr>Clinical Infectious Diseases</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http://www.zotero.org/styles/plos-one</vt:lpwstr>
  </property>
  <property fmtid="{D5CDD505-2E9C-101B-9397-08002B2CF9AE}" pid="15" name="Mendeley Recent Style Name 5_1">
    <vt:lpwstr>PLOS ONE</vt:lpwstr>
  </property>
  <property fmtid="{D5CDD505-2E9C-101B-9397-08002B2CF9AE}" pid="16" name="Mendeley Recent Style Id 6_1">
    <vt:lpwstr>http://www.zotero.org/styles/science-translational-medicine</vt:lpwstr>
  </property>
  <property fmtid="{D5CDD505-2E9C-101B-9397-08002B2CF9AE}" pid="17" name="Mendeley Recent Style Name 6_1">
    <vt:lpwstr>Science Translational Medicine</vt:lpwstr>
  </property>
  <property fmtid="{D5CDD505-2E9C-101B-9397-08002B2CF9AE}" pid="18" name="Mendeley Recent Style Id 7_1">
    <vt:lpwstr>http://www.zotero.org/styles/sexually-transmitted-infections</vt:lpwstr>
  </property>
  <property fmtid="{D5CDD505-2E9C-101B-9397-08002B2CF9AE}" pid="19" name="Mendeley Recent Style Name 7_1">
    <vt:lpwstr>Sexually Transmitted Infections</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http://www.zotero.org/styles/vancouver-superscript</vt:lpwstr>
  </property>
  <property fmtid="{D5CDD505-2E9C-101B-9397-08002B2CF9AE}" pid="23" name="Mendeley Recent Style Name 9_1">
    <vt:lpwstr>Vancouver (superscript)</vt:lpwstr>
  </property>
  <property fmtid="{D5CDD505-2E9C-101B-9397-08002B2CF9AE}" pid="24" name="Mendeley Unique User Id_1">
    <vt:lpwstr>cb6ef397-6839-3167-9385-e42f93f109bd</vt:lpwstr>
  </property>
</Properties>
</file>