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50" w:rsidRPr="00A87930" w:rsidRDefault="00407450" w:rsidP="00407450">
      <w:pPr>
        <w:spacing w:line="480" w:lineRule="auto"/>
        <w:jc w:val="both"/>
        <w:rPr>
          <w:rFonts w:ascii="Arial" w:hAnsi="Arial" w:cs="Arial"/>
          <w:b/>
          <w:color w:val="000000" w:themeColor="text1"/>
          <w:sz w:val="22"/>
          <w:szCs w:val="22"/>
          <w:u w:val="single"/>
        </w:rPr>
      </w:pPr>
      <w:bookmarkStart w:id="0" w:name="_GoBack"/>
      <w:r w:rsidRPr="00A87930">
        <w:rPr>
          <w:rFonts w:ascii="Arial" w:hAnsi="Arial" w:cs="Arial"/>
          <w:b/>
          <w:color w:val="000000" w:themeColor="text1"/>
          <w:sz w:val="22"/>
          <w:szCs w:val="22"/>
          <w:u w:val="single"/>
        </w:rPr>
        <w:t xml:space="preserve">Supplemental </w:t>
      </w:r>
      <w:r w:rsidR="00D908BF">
        <w:rPr>
          <w:rFonts w:ascii="Arial" w:hAnsi="Arial" w:cs="Arial"/>
          <w:b/>
          <w:color w:val="000000" w:themeColor="text1"/>
          <w:sz w:val="22"/>
          <w:szCs w:val="22"/>
          <w:u w:val="single"/>
        </w:rPr>
        <w:t xml:space="preserve">Digital Content </w:t>
      </w:r>
      <w:r w:rsidRPr="00A87930">
        <w:rPr>
          <w:rFonts w:ascii="Arial" w:hAnsi="Arial" w:cs="Arial"/>
          <w:b/>
          <w:color w:val="000000" w:themeColor="text1"/>
          <w:sz w:val="22"/>
          <w:szCs w:val="22"/>
          <w:u w:val="single"/>
        </w:rPr>
        <w:t>1. Methods used for next generation sequencing (NGS)</w:t>
      </w:r>
      <w:bookmarkEnd w:id="0"/>
      <w:r w:rsidRPr="00A87930">
        <w:rPr>
          <w:rFonts w:ascii="Arial" w:hAnsi="Arial" w:cs="Arial"/>
          <w:b/>
          <w:color w:val="000000" w:themeColor="text1"/>
          <w:sz w:val="22"/>
          <w:szCs w:val="22"/>
          <w:u w:val="single"/>
        </w:rPr>
        <w:t>.</w:t>
      </w:r>
    </w:p>
    <w:p w:rsidR="00407450" w:rsidRPr="00520996" w:rsidRDefault="00407450" w:rsidP="00407450">
      <w:pPr>
        <w:spacing w:line="480" w:lineRule="auto"/>
        <w:jc w:val="both"/>
        <w:rPr>
          <w:rFonts w:ascii="Arial" w:hAnsi="Arial" w:cs="Arial"/>
          <w:color w:val="000000" w:themeColor="text1"/>
          <w:sz w:val="22"/>
          <w:szCs w:val="22"/>
        </w:rPr>
      </w:pPr>
      <w:r w:rsidRPr="00520996">
        <w:rPr>
          <w:rFonts w:ascii="Arial" w:hAnsi="Arial" w:cs="Arial"/>
          <w:color w:val="000000" w:themeColor="text1"/>
          <w:sz w:val="22"/>
          <w:szCs w:val="22"/>
          <w:shd w:val="clear" w:color="auto" w:fill="FFFFFF"/>
        </w:rPr>
        <w:t xml:space="preserve">Next generation sequencing (NGS) was performed using the </w:t>
      </w:r>
      <w:proofErr w:type="spellStart"/>
      <w:r w:rsidRPr="00520996">
        <w:rPr>
          <w:rFonts w:ascii="Arial" w:hAnsi="Arial" w:cs="Arial"/>
          <w:color w:val="000000" w:themeColor="text1"/>
          <w:sz w:val="22"/>
          <w:szCs w:val="22"/>
          <w:shd w:val="clear" w:color="auto" w:fill="FFFFFF"/>
        </w:rPr>
        <w:t>MiSeq</w:t>
      </w:r>
      <w:proofErr w:type="spellEnd"/>
      <w:r w:rsidRPr="00520996">
        <w:rPr>
          <w:rFonts w:ascii="Arial" w:hAnsi="Arial" w:cs="Arial"/>
          <w:color w:val="000000" w:themeColor="text1"/>
          <w:sz w:val="22"/>
          <w:szCs w:val="22"/>
          <w:shd w:val="clear" w:color="auto" w:fill="FFFFFF"/>
        </w:rPr>
        <w:t xml:space="preserve"> System (Illumina, Inc., San Diego, CA, USA) using methods adapted from a previous study</w:t>
      </w:r>
      <w:r w:rsidR="00D03083">
        <w:rPr>
          <w:rFonts w:ascii="Arial" w:hAnsi="Arial" w:cs="Arial"/>
          <w:color w:val="000000" w:themeColor="text1"/>
          <w:sz w:val="22"/>
          <w:szCs w:val="22"/>
          <w:shd w:val="clear" w:color="auto" w:fill="FFFFFF"/>
        </w:rPr>
        <w:t xml:space="preserve"> (</w:t>
      </w:r>
      <w:r w:rsidR="00D03083" w:rsidRPr="00520996">
        <w:rPr>
          <w:rFonts w:ascii="Arial" w:hAnsi="Arial" w:cs="Arial"/>
          <w:noProof/>
          <w:color w:val="000000" w:themeColor="text1"/>
          <w:sz w:val="22"/>
          <w:szCs w:val="22"/>
        </w:rPr>
        <w:t xml:space="preserve">Dudley DM, Bailey AL, Mehta SH, et al. Cross-clade simultaneous HIV drug resistance genotyping for reverse transcriptase, protease, and integrase inhibitor mutations by Illumina MiSeq. </w:t>
      </w:r>
      <w:r w:rsidR="00D03083" w:rsidRPr="00520996">
        <w:rPr>
          <w:rFonts w:ascii="Arial" w:hAnsi="Arial" w:cs="Arial"/>
          <w:i/>
          <w:noProof/>
          <w:color w:val="000000" w:themeColor="text1"/>
          <w:sz w:val="22"/>
          <w:szCs w:val="22"/>
        </w:rPr>
        <w:t xml:space="preserve">Retrovirology. </w:t>
      </w:r>
      <w:r w:rsidR="00D03083">
        <w:rPr>
          <w:rFonts w:ascii="Arial" w:hAnsi="Arial" w:cs="Arial"/>
          <w:noProof/>
          <w:color w:val="000000" w:themeColor="text1"/>
          <w:sz w:val="22"/>
          <w:szCs w:val="22"/>
        </w:rPr>
        <w:t>2014;11:122</w:t>
      </w:r>
      <w:r w:rsidR="00D03083">
        <w:rPr>
          <w:rFonts w:ascii="Arial" w:hAnsi="Arial" w:cs="Arial"/>
          <w:color w:val="000000" w:themeColor="text1"/>
          <w:sz w:val="22"/>
          <w:szCs w:val="22"/>
          <w:shd w:val="clear" w:color="auto" w:fill="FFFFFF"/>
        </w:rPr>
        <w:t>)</w:t>
      </w:r>
      <w:r w:rsidRPr="00520996">
        <w:rPr>
          <w:rFonts w:ascii="Arial" w:hAnsi="Arial" w:cs="Arial"/>
          <w:color w:val="000000" w:themeColor="text1"/>
          <w:sz w:val="22"/>
          <w:szCs w:val="22"/>
          <w:shd w:val="clear" w:color="auto" w:fill="FFFFFF"/>
        </w:rPr>
        <w:t xml:space="preserve">. Five percent (5%) denatured </w:t>
      </w:r>
      <w:proofErr w:type="spellStart"/>
      <w:r w:rsidRPr="00520996">
        <w:rPr>
          <w:rFonts w:ascii="Arial" w:hAnsi="Arial" w:cs="Arial"/>
          <w:color w:val="000000" w:themeColor="text1"/>
          <w:sz w:val="22"/>
          <w:szCs w:val="22"/>
          <w:shd w:val="clear" w:color="auto" w:fill="FFFFFF"/>
        </w:rPr>
        <w:t>PhiX</w:t>
      </w:r>
      <w:proofErr w:type="spellEnd"/>
      <w:r w:rsidRPr="00520996">
        <w:rPr>
          <w:rFonts w:ascii="Arial" w:hAnsi="Arial" w:cs="Arial"/>
          <w:color w:val="000000" w:themeColor="text1"/>
          <w:sz w:val="22"/>
          <w:szCs w:val="22"/>
          <w:shd w:val="clear" w:color="auto" w:fill="FFFFFF"/>
        </w:rPr>
        <w:t xml:space="preserve"> beads were used as a sequencing control; samples were loaded into 600-cycle </w:t>
      </w:r>
      <w:proofErr w:type="spellStart"/>
      <w:r w:rsidRPr="00520996">
        <w:rPr>
          <w:rFonts w:ascii="Arial" w:hAnsi="Arial" w:cs="Arial"/>
          <w:color w:val="000000" w:themeColor="text1"/>
          <w:sz w:val="22"/>
          <w:szCs w:val="22"/>
          <w:shd w:val="clear" w:color="auto" w:fill="FFFFFF"/>
        </w:rPr>
        <w:t>MiSeq</w:t>
      </w:r>
      <w:proofErr w:type="spellEnd"/>
      <w:r w:rsidRPr="00520996">
        <w:rPr>
          <w:rFonts w:ascii="Arial" w:hAnsi="Arial" w:cs="Arial"/>
          <w:color w:val="000000" w:themeColor="text1"/>
          <w:sz w:val="22"/>
          <w:szCs w:val="22"/>
          <w:shd w:val="clear" w:color="auto" w:fill="FFFFFF"/>
        </w:rPr>
        <w:t xml:space="preserve"> cartridges and sequenced. Data was analyzed by CLC Genomics Workbench v9.0 software (</w:t>
      </w:r>
      <w:proofErr w:type="spellStart"/>
      <w:r w:rsidRPr="00520996">
        <w:rPr>
          <w:rFonts w:ascii="Arial" w:hAnsi="Arial" w:cs="Arial"/>
          <w:color w:val="000000" w:themeColor="text1"/>
          <w:sz w:val="22"/>
          <w:szCs w:val="22"/>
          <w:shd w:val="clear" w:color="auto" w:fill="FFFFFF"/>
        </w:rPr>
        <w:t>Qiagen</w:t>
      </w:r>
      <w:proofErr w:type="spellEnd"/>
      <w:r w:rsidRPr="00520996">
        <w:rPr>
          <w:rFonts w:ascii="Arial" w:hAnsi="Arial" w:cs="Arial"/>
          <w:color w:val="000000" w:themeColor="text1"/>
          <w:sz w:val="22"/>
          <w:szCs w:val="22"/>
          <w:shd w:val="clear" w:color="auto" w:fill="FFFFFF"/>
        </w:rPr>
        <w:t xml:space="preserve">, </w:t>
      </w:r>
      <w:proofErr w:type="spellStart"/>
      <w:r w:rsidRPr="00520996">
        <w:rPr>
          <w:rFonts w:ascii="Arial" w:hAnsi="Arial" w:cs="Arial"/>
          <w:color w:val="000000" w:themeColor="text1"/>
          <w:sz w:val="22"/>
          <w:szCs w:val="22"/>
          <w:shd w:val="clear" w:color="auto" w:fill="FFFFFF"/>
        </w:rPr>
        <w:t>Asrhus</w:t>
      </w:r>
      <w:proofErr w:type="spellEnd"/>
      <w:r w:rsidRPr="00520996">
        <w:rPr>
          <w:rFonts w:ascii="Arial" w:hAnsi="Arial" w:cs="Arial"/>
          <w:color w:val="000000" w:themeColor="text1"/>
          <w:sz w:val="22"/>
          <w:szCs w:val="22"/>
          <w:shd w:val="clear" w:color="auto" w:fill="FFFFFF"/>
        </w:rPr>
        <w:t xml:space="preserve">, Denmark). Paired end reads were trimmed for quality (limit=0.05) and ambiguity (2-nt maximum). PCR primer sequences were removed. </w:t>
      </w:r>
      <w:r w:rsidRPr="00520996">
        <w:rPr>
          <w:rStyle w:val="Emphasis"/>
          <w:rFonts w:ascii="Arial" w:hAnsi="Arial" w:cs="Arial"/>
          <w:color w:val="000000" w:themeColor="text1"/>
          <w:sz w:val="22"/>
          <w:szCs w:val="22"/>
          <w:shd w:val="clear" w:color="auto" w:fill="FFFFFF"/>
        </w:rPr>
        <w:t>Reads</w:t>
      </w:r>
      <w:r w:rsidRPr="00520996">
        <w:rPr>
          <w:rStyle w:val="apple-converted-space"/>
          <w:rFonts w:ascii="Arial" w:hAnsi="Arial" w:cs="Arial"/>
          <w:color w:val="000000" w:themeColor="text1"/>
          <w:sz w:val="22"/>
          <w:szCs w:val="22"/>
          <w:shd w:val="clear" w:color="auto" w:fill="FFFFFF"/>
        </w:rPr>
        <w:t xml:space="preserve"> </w:t>
      </w:r>
      <w:r w:rsidRPr="00520996">
        <w:rPr>
          <w:rFonts w:ascii="Arial" w:hAnsi="Arial" w:cs="Arial"/>
          <w:color w:val="000000" w:themeColor="text1"/>
          <w:sz w:val="22"/>
          <w:szCs w:val="22"/>
          <w:shd w:val="clear" w:color="auto" w:fill="FFFFFF"/>
        </w:rPr>
        <w:t>&lt;</w:t>
      </w:r>
      <w:r w:rsidRPr="00520996">
        <w:rPr>
          <w:rStyle w:val="Emphasis"/>
          <w:rFonts w:ascii="Arial" w:hAnsi="Arial" w:cs="Arial"/>
          <w:color w:val="000000" w:themeColor="text1"/>
          <w:sz w:val="22"/>
          <w:szCs w:val="22"/>
          <w:shd w:val="clear" w:color="auto" w:fill="FFFFFF"/>
        </w:rPr>
        <w:t>50</w:t>
      </w:r>
      <w:r w:rsidRPr="00520996">
        <w:rPr>
          <w:rStyle w:val="apple-converted-space"/>
          <w:rFonts w:ascii="Arial" w:hAnsi="Arial" w:cs="Arial"/>
          <w:color w:val="000000" w:themeColor="text1"/>
          <w:sz w:val="22"/>
          <w:szCs w:val="22"/>
          <w:shd w:val="clear" w:color="auto" w:fill="FFFFFF"/>
        </w:rPr>
        <w:t xml:space="preserve"> </w:t>
      </w:r>
      <w:r w:rsidRPr="00520996">
        <w:rPr>
          <w:rFonts w:ascii="Arial" w:hAnsi="Arial" w:cs="Arial"/>
          <w:color w:val="000000" w:themeColor="text1"/>
          <w:sz w:val="22"/>
          <w:szCs w:val="22"/>
          <w:shd w:val="clear" w:color="auto" w:fill="FFFFFF"/>
        </w:rPr>
        <w:t>bases in length</w:t>
      </w:r>
      <w:r w:rsidRPr="00520996">
        <w:rPr>
          <w:rStyle w:val="apple-converted-space"/>
          <w:rFonts w:ascii="Arial" w:hAnsi="Arial" w:cs="Arial"/>
          <w:color w:val="000000" w:themeColor="text1"/>
          <w:sz w:val="22"/>
          <w:szCs w:val="22"/>
          <w:shd w:val="clear" w:color="auto" w:fill="FFFFFF"/>
        </w:rPr>
        <w:t xml:space="preserve"> </w:t>
      </w:r>
      <w:r w:rsidRPr="00520996">
        <w:rPr>
          <w:rStyle w:val="Emphasis"/>
          <w:rFonts w:ascii="Arial" w:hAnsi="Arial" w:cs="Arial"/>
          <w:color w:val="000000" w:themeColor="text1"/>
          <w:sz w:val="22"/>
          <w:szCs w:val="22"/>
          <w:shd w:val="clear" w:color="auto" w:fill="FFFFFF"/>
        </w:rPr>
        <w:t xml:space="preserve">were discarded. </w:t>
      </w:r>
      <w:r w:rsidRPr="00520996">
        <w:rPr>
          <w:rFonts w:ascii="Arial" w:hAnsi="Arial" w:cs="Arial"/>
          <w:color w:val="000000" w:themeColor="text1"/>
          <w:sz w:val="22"/>
          <w:szCs w:val="22"/>
          <w:shd w:val="clear" w:color="auto" w:fill="FFFFFF"/>
        </w:rPr>
        <w:t>Trimmed reads were aligned to a reference sequence (HXB2 #NC_001802). The following alignment settings were applied: mismatch 2, insertion 3, deletion 3, length fraction 0.7, and similarity fraction 0.8. The frequency of drug resistance mutations was determined using the Low Frequency Variant Detection Tool from the CLC Bio software (cut-off for significance: 2%; minimum frequency for variants: 1000 reads). Default settings were used for error rate calculations.</w:t>
      </w:r>
    </w:p>
    <w:p w:rsidR="00A272CE" w:rsidRDefault="007D5087"/>
    <w:sectPr w:rsidR="00A272CE" w:rsidSect="00E6485D">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87" w:rsidRDefault="007D5087">
      <w:r>
        <w:separator/>
      </w:r>
    </w:p>
  </w:endnote>
  <w:endnote w:type="continuationSeparator" w:id="0">
    <w:p w:rsidR="007D5087" w:rsidRDefault="007D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19" w:rsidRDefault="00407450" w:rsidP="003128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919" w:rsidRDefault="007D5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19" w:rsidRDefault="00407450" w:rsidP="003128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08BF">
      <w:rPr>
        <w:rStyle w:val="PageNumber"/>
        <w:noProof/>
      </w:rPr>
      <w:t>1</w:t>
    </w:r>
    <w:r>
      <w:rPr>
        <w:rStyle w:val="PageNumber"/>
      </w:rPr>
      <w:fldChar w:fldCharType="end"/>
    </w:r>
  </w:p>
  <w:p w:rsidR="00220919" w:rsidRDefault="007D5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87" w:rsidRDefault="007D5087">
      <w:r>
        <w:separator/>
      </w:r>
    </w:p>
  </w:footnote>
  <w:footnote w:type="continuationSeparator" w:id="0">
    <w:p w:rsidR="007D5087" w:rsidRDefault="007D5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19" w:rsidRDefault="007D5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50"/>
    <w:rsid w:val="001B47E4"/>
    <w:rsid w:val="00407450"/>
    <w:rsid w:val="007B1F1D"/>
    <w:rsid w:val="007D5087"/>
    <w:rsid w:val="009B0857"/>
    <w:rsid w:val="00D03083"/>
    <w:rsid w:val="00D9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99DA-800B-4D3F-90BB-2B9F605D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7450"/>
    <w:pPr>
      <w:tabs>
        <w:tab w:val="center" w:pos="4680"/>
        <w:tab w:val="right" w:pos="9360"/>
      </w:tabs>
    </w:pPr>
  </w:style>
  <w:style w:type="character" w:customStyle="1" w:styleId="FooterChar">
    <w:name w:val="Footer Char"/>
    <w:basedOn w:val="DefaultParagraphFont"/>
    <w:link w:val="Footer"/>
    <w:uiPriority w:val="99"/>
    <w:rsid w:val="00407450"/>
    <w:rPr>
      <w:rFonts w:ascii="Times New Roman" w:hAnsi="Times New Roman" w:cs="Times New Roman"/>
      <w:sz w:val="24"/>
      <w:szCs w:val="24"/>
    </w:rPr>
  </w:style>
  <w:style w:type="character" w:styleId="PageNumber">
    <w:name w:val="page number"/>
    <w:basedOn w:val="DefaultParagraphFont"/>
    <w:uiPriority w:val="99"/>
    <w:semiHidden/>
    <w:unhideWhenUsed/>
    <w:rsid w:val="00407450"/>
  </w:style>
  <w:style w:type="character" w:customStyle="1" w:styleId="apple-converted-space">
    <w:name w:val="apple-converted-space"/>
    <w:basedOn w:val="DefaultParagraphFont"/>
    <w:rsid w:val="00407450"/>
  </w:style>
  <w:style w:type="character" w:styleId="Emphasis">
    <w:name w:val="Emphasis"/>
    <w:basedOn w:val="DefaultParagraphFont"/>
    <w:uiPriority w:val="20"/>
    <w:qFormat/>
    <w:rsid w:val="00407450"/>
    <w:rPr>
      <w:i/>
      <w:iCs/>
    </w:rPr>
  </w:style>
  <w:style w:type="paragraph" w:styleId="Header">
    <w:name w:val="header"/>
    <w:basedOn w:val="Normal"/>
    <w:link w:val="HeaderChar"/>
    <w:uiPriority w:val="99"/>
    <w:unhideWhenUsed/>
    <w:rsid w:val="00407450"/>
    <w:pPr>
      <w:tabs>
        <w:tab w:val="center" w:pos="4680"/>
        <w:tab w:val="right" w:pos="9360"/>
      </w:tabs>
    </w:pPr>
  </w:style>
  <w:style w:type="character" w:customStyle="1" w:styleId="HeaderChar">
    <w:name w:val="Header Char"/>
    <w:basedOn w:val="DefaultParagraphFont"/>
    <w:link w:val="Header"/>
    <w:uiPriority w:val="99"/>
    <w:rsid w:val="004074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Sivay</dc:creator>
  <cp:keywords/>
  <dc:description/>
  <cp:lastModifiedBy>Mariya Sivay</cp:lastModifiedBy>
  <cp:revision>3</cp:revision>
  <dcterms:created xsi:type="dcterms:W3CDTF">2017-02-27T16:22:00Z</dcterms:created>
  <dcterms:modified xsi:type="dcterms:W3CDTF">2017-02-27T18:26:00Z</dcterms:modified>
</cp:coreProperties>
</file>