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E42" w:rsidRPr="009841E0" w:rsidRDefault="00EC3E42" w:rsidP="00EC3E42">
      <w:pPr>
        <w:spacing w:line="240" w:lineRule="auto"/>
        <w:rPr>
          <w:b/>
          <w:u w:val="single"/>
        </w:rPr>
      </w:pPr>
      <w:r w:rsidRPr="009841E0">
        <w:rPr>
          <w:b/>
          <w:u w:val="single"/>
        </w:rPr>
        <w:t>Supplemental Digital Content 1</w:t>
      </w:r>
    </w:p>
    <w:p w:rsidR="003A43B9" w:rsidRDefault="00EC3E42" w:rsidP="00EC3E42">
      <w:pPr>
        <w:spacing w:line="240" w:lineRule="auto"/>
        <w:rPr>
          <w:b/>
        </w:rPr>
      </w:pPr>
      <w:r w:rsidRPr="00EC3E42">
        <w:rPr>
          <w:b/>
        </w:rPr>
        <w:t>Factors associated with baseline HIV drug resistance among HPTN 052 participants with virologic failure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51"/>
        <w:gridCol w:w="1733"/>
        <w:gridCol w:w="2025"/>
        <w:gridCol w:w="1541"/>
      </w:tblGrid>
      <w:tr w:rsidR="00EC3E42" w:rsidRPr="00EC3E42" w:rsidTr="00C0197C">
        <w:trPr>
          <w:cantSplit/>
          <w:jc w:val="center"/>
        </w:trPr>
        <w:tc>
          <w:tcPr>
            <w:tcW w:w="2166" w:type="pct"/>
            <w:shd w:val="clear" w:color="auto" w:fill="FFFFFF"/>
            <w:tcMar>
              <w:left w:w="60" w:type="dxa"/>
              <w:right w:w="60" w:type="dxa"/>
            </w:tcMar>
            <w:vAlign w:val="bottom"/>
          </w:tcPr>
          <w:p w:rsidR="00EC3E42" w:rsidRPr="00EC3E42" w:rsidRDefault="00EC3E42" w:rsidP="00EC3E42">
            <w:pPr>
              <w:keepNext/>
              <w:adjustRightInd w:val="0"/>
              <w:spacing w:after="0" w:line="240" w:lineRule="auto"/>
              <w:jc w:val="center"/>
              <w:rPr>
                <w:rFonts w:eastAsia="Calibri"/>
                <w:b/>
                <w:bCs/>
                <w:color w:val="000000"/>
              </w:rPr>
            </w:pPr>
          </w:p>
        </w:tc>
        <w:tc>
          <w:tcPr>
            <w:tcW w:w="2834" w:type="pct"/>
            <w:gridSpan w:val="3"/>
            <w:shd w:val="clear" w:color="auto" w:fill="FFFFFF"/>
            <w:tcMar>
              <w:left w:w="60" w:type="dxa"/>
              <w:right w:w="60" w:type="dxa"/>
            </w:tcMar>
            <w:vAlign w:val="bottom"/>
          </w:tcPr>
          <w:p w:rsidR="00EC3E42" w:rsidRPr="00EC3E42" w:rsidRDefault="00EC3E42" w:rsidP="00EC3E42">
            <w:pPr>
              <w:keepNext/>
              <w:adjustRightInd w:val="0"/>
              <w:spacing w:after="0" w:line="240" w:lineRule="auto"/>
              <w:jc w:val="center"/>
              <w:rPr>
                <w:rFonts w:eastAsia="Calibri"/>
                <w:b/>
                <w:bCs/>
                <w:color w:val="000000"/>
              </w:rPr>
            </w:pPr>
            <w:r w:rsidRPr="00EC3E42">
              <w:rPr>
                <w:rFonts w:eastAsia="Calibri"/>
                <w:b/>
                <w:bCs/>
                <w:color w:val="000000"/>
              </w:rPr>
              <w:t>Baseline resistance</w:t>
            </w:r>
          </w:p>
          <w:p w:rsidR="00EC3E42" w:rsidRPr="00EC3E42" w:rsidRDefault="00EC3E42" w:rsidP="00EC3E42">
            <w:pPr>
              <w:keepNext/>
              <w:adjustRightInd w:val="0"/>
              <w:spacing w:after="0" w:line="240" w:lineRule="auto"/>
              <w:jc w:val="center"/>
              <w:rPr>
                <w:rFonts w:eastAsia="Calibri"/>
                <w:b/>
                <w:bCs/>
                <w:i/>
                <w:color w:val="000000"/>
              </w:rPr>
            </w:pPr>
            <w:r w:rsidRPr="00EC3E42">
              <w:rPr>
                <w:rFonts w:eastAsia="Calibri"/>
                <w:b/>
                <w:bCs/>
                <w:i/>
                <w:color w:val="000000"/>
              </w:rPr>
              <w:t>Univariate</w:t>
            </w:r>
          </w:p>
        </w:tc>
      </w:tr>
      <w:tr w:rsidR="00EC3E42" w:rsidRPr="00EC3E42" w:rsidTr="00C0197C">
        <w:trPr>
          <w:cantSplit/>
          <w:jc w:val="center"/>
        </w:trPr>
        <w:tc>
          <w:tcPr>
            <w:tcW w:w="2166" w:type="pct"/>
            <w:shd w:val="clear" w:color="auto" w:fill="FFFFFF"/>
            <w:tcMar>
              <w:left w:w="60" w:type="dxa"/>
              <w:right w:w="60" w:type="dxa"/>
            </w:tcMar>
            <w:vAlign w:val="bottom"/>
          </w:tcPr>
          <w:p w:rsidR="00EC3E42" w:rsidRPr="00EC3E42" w:rsidRDefault="00EC3E42" w:rsidP="00EC3E42">
            <w:pPr>
              <w:keepNext/>
              <w:adjustRightInd w:val="0"/>
              <w:spacing w:after="0" w:line="240" w:lineRule="auto"/>
              <w:jc w:val="left"/>
              <w:rPr>
                <w:rFonts w:eastAsia="Calibri"/>
                <w:b/>
                <w:bCs/>
                <w:color w:val="000000"/>
              </w:rPr>
            </w:pPr>
          </w:p>
        </w:tc>
        <w:tc>
          <w:tcPr>
            <w:tcW w:w="927" w:type="pct"/>
            <w:shd w:val="clear" w:color="auto" w:fill="FFFFFF"/>
            <w:tcMar>
              <w:left w:w="60" w:type="dxa"/>
              <w:right w:w="60" w:type="dxa"/>
            </w:tcMar>
            <w:vAlign w:val="bottom"/>
          </w:tcPr>
          <w:p w:rsidR="00EC3E42" w:rsidRPr="00EC3E42" w:rsidRDefault="00EC3E42" w:rsidP="00EC3E42">
            <w:pPr>
              <w:keepNext/>
              <w:adjustRightInd w:val="0"/>
              <w:spacing w:after="0" w:line="240" w:lineRule="auto"/>
              <w:jc w:val="center"/>
              <w:rPr>
                <w:rFonts w:eastAsia="Calibri"/>
                <w:b/>
                <w:bCs/>
                <w:color w:val="000000"/>
              </w:rPr>
            </w:pPr>
            <w:r w:rsidRPr="00EC3E42">
              <w:rPr>
                <w:rFonts w:eastAsia="Calibri"/>
                <w:b/>
                <w:bCs/>
                <w:color w:val="000000"/>
              </w:rPr>
              <w:t>n/N (%)</w:t>
            </w:r>
          </w:p>
        </w:tc>
        <w:tc>
          <w:tcPr>
            <w:tcW w:w="1083" w:type="pct"/>
            <w:shd w:val="clear" w:color="auto" w:fill="FFFFFF"/>
            <w:tcMar>
              <w:left w:w="60" w:type="dxa"/>
              <w:right w:w="60" w:type="dxa"/>
            </w:tcMar>
            <w:vAlign w:val="bottom"/>
          </w:tcPr>
          <w:p w:rsidR="00EC3E42" w:rsidRPr="00EC3E42" w:rsidRDefault="00EC3E42" w:rsidP="00EC3E42">
            <w:pPr>
              <w:keepNext/>
              <w:adjustRightInd w:val="0"/>
              <w:spacing w:after="0" w:line="240" w:lineRule="auto"/>
              <w:jc w:val="center"/>
              <w:rPr>
                <w:rFonts w:eastAsia="Calibri"/>
                <w:b/>
                <w:bCs/>
                <w:color w:val="000000"/>
              </w:rPr>
            </w:pPr>
            <w:r w:rsidRPr="00EC3E42">
              <w:rPr>
                <w:rFonts w:eastAsia="Calibri"/>
                <w:b/>
                <w:bCs/>
                <w:color w:val="000000"/>
              </w:rPr>
              <w:t>OR (95% CI)</w:t>
            </w:r>
          </w:p>
        </w:tc>
        <w:tc>
          <w:tcPr>
            <w:tcW w:w="825" w:type="pct"/>
            <w:shd w:val="clear" w:color="auto" w:fill="FFFFFF"/>
            <w:tcMar>
              <w:left w:w="60" w:type="dxa"/>
              <w:right w:w="60" w:type="dxa"/>
            </w:tcMar>
            <w:vAlign w:val="bottom"/>
          </w:tcPr>
          <w:p w:rsidR="00EC3E42" w:rsidRPr="00EC3E42" w:rsidRDefault="00EC3E42" w:rsidP="00EC3E42">
            <w:pPr>
              <w:keepNext/>
              <w:adjustRightInd w:val="0"/>
              <w:spacing w:after="0" w:line="240" w:lineRule="auto"/>
              <w:jc w:val="center"/>
              <w:rPr>
                <w:rFonts w:eastAsia="Calibri"/>
                <w:b/>
                <w:bCs/>
                <w:color w:val="000000"/>
              </w:rPr>
            </w:pPr>
            <w:r w:rsidRPr="00EC3E42">
              <w:rPr>
                <w:rFonts w:eastAsia="Calibri"/>
                <w:b/>
                <w:bCs/>
                <w:color w:val="000000"/>
              </w:rPr>
              <w:t xml:space="preserve">P </w:t>
            </w:r>
          </w:p>
        </w:tc>
      </w:tr>
      <w:tr w:rsidR="00EC3E42" w:rsidRPr="00EC3E42" w:rsidTr="00C0197C">
        <w:trPr>
          <w:cantSplit/>
          <w:jc w:val="center"/>
        </w:trPr>
        <w:tc>
          <w:tcPr>
            <w:tcW w:w="2166" w:type="pct"/>
            <w:shd w:val="clear" w:color="auto" w:fill="FFFFFF"/>
            <w:tcMar>
              <w:left w:w="115" w:type="dxa"/>
              <w:right w:w="60" w:type="dxa"/>
            </w:tcMar>
          </w:tcPr>
          <w:p w:rsidR="00EC3E42" w:rsidRPr="00EC3E42" w:rsidRDefault="00EC3E42" w:rsidP="00EC3E42">
            <w:pPr>
              <w:adjustRightInd w:val="0"/>
              <w:spacing w:after="0" w:line="240" w:lineRule="auto"/>
              <w:jc w:val="left"/>
              <w:rPr>
                <w:rFonts w:eastAsia="Calibri"/>
                <w:color w:val="000000"/>
              </w:rPr>
            </w:pPr>
            <w:r w:rsidRPr="00EC3E42">
              <w:rPr>
                <w:rFonts w:eastAsia="Calibri"/>
                <w:color w:val="000000"/>
              </w:rPr>
              <w:t>Study arm</w:t>
            </w:r>
          </w:p>
        </w:tc>
        <w:tc>
          <w:tcPr>
            <w:tcW w:w="927"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p>
        </w:tc>
        <w:tc>
          <w:tcPr>
            <w:tcW w:w="1083"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p>
        </w:tc>
        <w:tc>
          <w:tcPr>
            <w:tcW w:w="825"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0.96</w:t>
            </w:r>
          </w:p>
        </w:tc>
      </w:tr>
      <w:tr w:rsidR="00EC3E42" w:rsidRPr="00EC3E42" w:rsidTr="00C0197C">
        <w:trPr>
          <w:cantSplit/>
          <w:jc w:val="center"/>
        </w:trPr>
        <w:tc>
          <w:tcPr>
            <w:tcW w:w="2166" w:type="pct"/>
            <w:shd w:val="clear" w:color="auto" w:fill="FFFFFF"/>
            <w:tcMar>
              <w:left w:w="115" w:type="dxa"/>
              <w:right w:w="60" w:type="dxa"/>
            </w:tcMar>
          </w:tcPr>
          <w:p w:rsidR="00EC3E42" w:rsidRPr="00EC3E42" w:rsidRDefault="00EC3E42" w:rsidP="00EC3E42">
            <w:pPr>
              <w:adjustRightInd w:val="0"/>
              <w:spacing w:after="0" w:line="240" w:lineRule="auto"/>
              <w:ind w:left="270"/>
              <w:jc w:val="left"/>
              <w:rPr>
                <w:rFonts w:eastAsia="Calibri"/>
                <w:color w:val="000000"/>
              </w:rPr>
            </w:pPr>
            <w:r w:rsidRPr="00EC3E42">
              <w:rPr>
                <w:rFonts w:eastAsia="Calibri"/>
                <w:color w:val="000000"/>
              </w:rPr>
              <w:t>Early ART arm</w:t>
            </w:r>
          </w:p>
        </w:tc>
        <w:tc>
          <w:tcPr>
            <w:tcW w:w="927"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6/128 (4.7%)</w:t>
            </w:r>
          </w:p>
        </w:tc>
        <w:tc>
          <w:tcPr>
            <w:tcW w:w="1083"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ref</w:t>
            </w:r>
          </w:p>
        </w:tc>
        <w:tc>
          <w:tcPr>
            <w:tcW w:w="825"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p>
        </w:tc>
      </w:tr>
      <w:tr w:rsidR="00EC3E42" w:rsidRPr="00EC3E42" w:rsidTr="00C0197C">
        <w:trPr>
          <w:cantSplit/>
          <w:jc w:val="center"/>
        </w:trPr>
        <w:tc>
          <w:tcPr>
            <w:tcW w:w="2166" w:type="pct"/>
            <w:shd w:val="clear" w:color="auto" w:fill="FFFFFF"/>
            <w:tcMar>
              <w:left w:w="115" w:type="dxa"/>
              <w:right w:w="60" w:type="dxa"/>
            </w:tcMar>
          </w:tcPr>
          <w:p w:rsidR="00EC3E42" w:rsidRPr="00EC3E42" w:rsidRDefault="00EC3E42" w:rsidP="00EC3E42">
            <w:pPr>
              <w:adjustRightInd w:val="0"/>
              <w:spacing w:after="0" w:line="240" w:lineRule="auto"/>
              <w:ind w:left="270"/>
              <w:jc w:val="left"/>
              <w:rPr>
                <w:rFonts w:eastAsia="Calibri"/>
                <w:color w:val="000000"/>
              </w:rPr>
            </w:pPr>
            <w:r w:rsidRPr="00EC3E42">
              <w:rPr>
                <w:rFonts w:eastAsia="Calibri"/>
                <w:color w:val="000000"/>
              </w:rPr>
              <w:t>Delayed ART arm</w:t>
            </w:r>
          </w:p>
        </w:tc>
        <w:tc>
          <w:tcPr>
            <w:tcW w:w="927"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4/83 (4.8%)</w:t>
            </w:r>
          </w:p>
        </w:tc>
        <w:tc>
          <w:tcPr>
            <w:tcW w:w="1083"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1.03 (0.28-3.76)</w:t>
            </w:r>
          </w:p>
        </w:tc>
        <w:tc>
          <w:tcPr>
            <w:tcW w:w="825"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p>
        </w:tc>
      </w:tr>
      <w:tr w:rsidR="00EC3E42" w:rsidRPr="00EC3E42" w:rsidTr="00C0197C">
        <w:trPr>
          <w:cantSplit/>
          <w:jc w:val="center"/>
        </w:trPr>
        <w:tc>
          <w:tcPr>
            <w:tcW w:w="2166" w:type="pct"/>
            <w:shd w:val="clear" w:color="auto" w:fill="FFFFFF"/>
            <w:tcMar>
              <w:left w:w="115" w:type="dxa"/>
              <w:right w:w="60" w:type="dxa"/>
            </w:tcMar>
          </w:tcPr>
          <w:p w:rsidR="00EC3E42" w:rsidRPr="00EC3E42" w:rsidRDefault="00EC3E42" w:rsidP="00EC3E42">
            <w:pPr>
              <w:adjustRightInd w:val="0"/>
              <w:spacing w:after="0" w:line="240" w:lineRule="auto"/>
              <w:jc w:val="left"/>
              <w:rPr>
                <w:rFonts w:eastAsia="Calibri"/>
                <w:color w:val="000000"/>
              </w:rPr>
            </w:pPr>
            <w:r w:rsidRPr="00EC3E42">
              <w:rPr>
                <w:rFonts w:eastAsia="Calibri"/>
                <w:color w:val="000000"/>
              </w:rPr>
              <w:t>Study group</w:t>
            </w:r>
            <w:r w:rsidRPr="00EC3E42">
              <w:rPr>
                <w:rFonts w:eastAsia="Calibri"/>
                <w:color w:val="000000"/>
                <w:vertAlign w:val="superscript"/>
              </w:rPr>
              <w:t>a</w:t>
            </w:r>
          </w:p>
        </w:tc>
        <w:tc>
          <w:tcPr>
            <w:tcW w:w="927"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p>
        </w:tc>
        <w:tc>
          <w:tcPr>
            <w:tcW w:w="1083"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p>
        </w:tc>
        <w:tc>
          <w:tcPr>
            <w:tcW w:w="825"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0.59</w:t>
            </w:r>
          </w:p>
        </w:tc>
      </w:tr>
      <w:tr w:rsidR="00EC3E42" w:rsidRPr="00EC3E42" w:rsidTr="00C0197C">
        <w:trPr>
          <w:cantSplit/>
          <w:jc w:val="center"/>
        </w:trPr>
        <w:tc>
          <w:tcPr>
            <w:tcW w:w="2166" w:type="pct"/>
            <w:shd w:val="clear" w:color="auto" w:fill="FFFFFF"/>
            <w:tcMar>
              <w:left w:w="115" w:type="dxa"/>
              <w:right w:w="60" w:type="dxa"/>
            </w:tcMar>
          </w:tcPr>
          <w:p w:rsidR="00EC3E42" w:rsidRPr="00EC3E42" w:rsidRDefault="00EC3E42" w:rsidP="00EC3E42">
            <w:pPr>
              <w:adjustRightInd w:val="0"/>
              <w:spacing w:after="0" w:line="240" w:lineRule="auto"/>
              <w:ind w:left="270"/>
              <w:jc w:val="left"/>
              <w:rPr>
                <w:rFonts w:eastAsia="Calibri"/>
                <w:color w:val="000000"/>
              </w:rPr>
            </w:pPr>
            <w:r w:rsidRPr="00EC3E42">
              <w:rPr>
                <w:rFonts w:eastAsia="Calibri"/>
                <w:color w:val="000000"/>
              </w:rPr>
              <w:t>Early ART arm</w:t>
            </w:r>
          </w:p>
        </w:tc>
        <w:tc>
          <w:tcPr>
            <w:tcW w:w="927"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6/128 (4.7%)</w:t>
            </w:r>
          </w:p>
        </w:tc>
        <w:tc>
          <w:tcPr>
            <w:tcW w:w="1083"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ref</w:t>
            </w:r>
          </w:p>
        </w:tc>
        <w:tc>
          <w:tcPr>
            <w:tcW w:w="825"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p>
        </w:tc>
      </w:tr>
      <w:tr w:rsidR="00EC3E42" w:rsidRPr="00EC3E42" w:rsidTr="00C0197C">
        <w:trPr>
          <w:cantSplit/>
          <w:jc w:val="center"/>
        </w:trPr>
        <w:tc>
          <w:tcPr>
            <w:tcW w:w="2166" w:type="pct"/>
            <w:shd w:val="clear" w:color="auto" w:fill="FFFFFF"/>
            <w:tcMar>
              <w:left w:w="115" w:type="dxa"/>
              <w:right w:w="60" w:type="dxa"/>
            </w:tcMar>
          </w:tcPr>
          <w:p w:rsidR="00EC3E42" w:rsidRPr="00EC3E42" w:rsidRDefault="00EC3E42" w:rsidP="00EC3E42">
            <w:pPr>
              <w:adjustRightInd w:val="0"/>
              <w:spacing w:after="0" w:line="240" w:lineRule="auto"/>
              <w:ind w:left="270"/>
              <w:jc w:val="left"/>
              <w:rPr>
                <w:rFonts w:eastAsia="Calibri"/>
                <w:color w:val="000000"/>
              </w:rPr>
            </w:pPr>
            <w:r w:rsidRPr="00EC3E42">
              <w:rPr>
                <w:rFonts w:eastAsia="Calibri"/>
                <w:color w:val="000000"/>
              </w:rPr>
              <w:t>Delayed ART arm (before 5/2011)</w:t>
            </w:r>
          </w:p>
        </w:tc>
        <w:tc>
          <w:tcPr>
            <w:tcW w:w="927"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2/22 (9.1%)</w:t>
            </w:r>
          </w:p>
        </w:tc>
        <w:tc>
          <w:tcPr>
            <w:tcW w:w="1083"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2.03 (0.38-10.79)</w:t>
            </w:r>
          </w:p>
        </w:tc>
        <w:tc>
          <w:tcPr>
            <w:tcW w:w="825"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0.40</w:t>
            </w:r>
          </w:p>
        </w:tc>
      </w:tr>
      <w:tr w:rsidR="00EC3E42" w:rsidRPr="00EC3E42" w:rsidTr="00C0197C">
        <w:trPr>
          <w:cantSplit/>
          <w:jc w:val="center"/>
        </w:trPr>
        <w:tc>
          <w:tcPr>
            <w:tcW w:w="2166" w:type="pct"/>
            <w:shd w:val="clear" w:color="auto" w:fill="FFFFFF"/>
            <w:tcMar>
              <w:left w:w="115" w:type="dxa"/>
              <w:right w:w="60" w:type="dxa"/>
            </w:tcMar>
          </w:tcPr>
          <w:p w:rsidR="00EC3E42" w:rsidRPr="00EC3E42" w:rsidRDefault="00EC3E42" w:rsidP="00EC3E42">
            <w:pPr>
              <w:adjustRightInd w:val="0"/>
              <w:spacing w:after="0" w:line="240" w:lineRule="auto"/>
              <w:ind w:left="270"/>
              <w:jc w:val="left"/>
              <w:rPr>
                <w:rFonts w:eastAsia="Calibri"/>
                <w:color w:val="000000"/>
              </w:rPr>
            </w:pPr>
            <w:r w:rsidRPr="00EC3E42">
              <w:rPr>
                <w:rFonts w:eastAsia="Calibri"/>
                <w:color w:val="000000"/>
              </w:rPr>
              <w:t>Delayed ART arm (after 5/2011)</w:t>
            </w:r>
          </w:p>
        </w:tc>
        <w:tc>
          <w:tcPr>
            <w:tcW w:w="927"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2/61 (3.3%)</w:t>
            </w:r>
          </w:p>
        </w:tc>
        <w:tc>
          <w:tcPr>
            <w:tcW w:w="1083"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0.69 (0.14-3.52)</w:t>
            </w:r>
          </w:p>
        </w:tc>
        <w:tc>
          <w:tcPr>
            <w:tcW w:w="825"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0.65</w:t>
            </w:r>
          </w:p>
        </w:tc>
      </w:tr>
      <w:tr w:rsidR="00EC3E42" w:rsidRPr="00EC3E42" w:rsidTr="00C0197C">
        <w:trPr>
          <w:cantSplit/>
          <w:jc w:val="center"/>
        </w:trPr>
        <w:tc>
          <w:tcPr>
            <w:tcW w:w="2166" w:type="pct"/>
            <w:shd w:val="clear" w:color="auto" w:fill="FFFFFF"/>
            <w:tcMar>
              <w:left w:w="115" w:type="dxa"/>
              <w:right w:w="60" w:type="dxa"/>
            </w:tcMar>
          </w:tcPr>
          <w:p w:rsidR="00EC3E42" w:rsidRPr="00EC3E42" w:rsidRDefault="00EC3E42" w:rsidP="00EC3E42">
            <w:pPr>
              <w:adjustRightInd w:val="0"/>
              <w:spacing w:after="0" w:line="240" w:lineRule="auto"/>
              <w:jc w:val="left"/>
              <w:rPr>
                <w:rFonts w:eastAsia="Calibri"/>
                <w:color w:val="000000"/>
              </w:rPr>
            </w:pPr>
            <w:r w:rsidRPr="00EC3E42">
              <w:rPr>
                <w:rFonts w:eastAsia="Calibri"/>
                <w:color w:val="000000"/>
              </w:rPr>
              <w:t>Age at ART initiation</w:t>
            </w:r>
          </w:p>
        </w:tc>
        <w:tc>
          <w:tcPr>
            <w:tcW w:w="927"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p>
        </w:tc>
        <w:tc>
          <w:tcPr>
            <w:tcW w:w="1083"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p>
        </w:tc>
        <w:tc>
          <w:tcPr>
            <w:tcW w:w="825"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0.13</w:t>
            </w:r>
          </w:p>
        </w:tc>
      </w:tr>
      <w:tr w:rsidR="00EC3E42" w:rsidRPr="00EC3E42" w:rsidTr="00C0197C">
        <w:trPr>
          <w:cantSplit/>
          <w:jc w:val="center"/>
        </w:trPr>
        <w:tc>
          <w:tcPr>
            <w:tcW w:w="2166" w:type="pct"/>
            <w:shd w:val="clear" w:color="auto" w:fill="FFFFFF"/>
            <w:tcMar>
              <w:left w:w="115" w:type="dxa"/>
              <w:right w:w="60" w:type="dxa"/>
            </w:tcMar>
          </w:tcPr>
          <w:p w:rsidR="00EC3E42" w:rsidRPr="00EC3E42" w:rsidRDefault="00EC3E42" w:rsidP="00EC3E42">
            <w:pPr>
              <w:adjustRightInd w:val="0"/>
              <w:spacing w:after="0" w:line="240" w:lineRule="auto"/>
              <w:ind w:left="270"/>
              <w:jc w:val="left"/>
              <w:rPr>
                <w:rFonts w:eastAsia="Calibri"/>
                <w:color w:val="000000"/>
              </w:rPr>
            </w:pPr>
            <w:r w:rsidRPr="00EC3E42">
              <w:rPr>
                <w:rFonts w:eastAsia="Calibri"/>
                <w:color w:val="000000"/>
              </w:rPr>
              <w:t>&lt;25 years</w:t>
            </w:r>
          </w:p>
        </w:tc>
        <w:tc>
          <w:tcPr>
            <w:tcW w:w="927"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2/37 (5.4%)</w:t>
            </w:r>
          </w:p>
        </w:tc>
        <w:tc>
          <w:tcPr>
            <w:tcW w:w="1083"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ref</w:t>
            </w:r>
          </w:p>
        </w:tc>
        <w:tc>
          <w:tcPr>
            <w:tcW w:w="825"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p>
        </w:tc>
      </w:tr>
      <w:tr w:rsidR="00EC3E42" w:rsidRPr="00EC3E42" w:rsidTr="00C0197C">
        <w:trPr>
          <w:cantSplit/>
          <w:jc w:val="center"/>
        </w:trPr>
        <w:tc>
          <w:tcPr>
            <w:tcW w:w="2166" w:type="pct"/>
            <w:shd w:val="clear" w:color="auto" w:fill="FFFFFF"/>
            <w:tcMar>
              <w:left w:w="115" w:type="dxa"/>
              <w:right w:w="60" w:type="dxa"/>
            </w:tcMar>
          </w:tcPr>
          <w:p w:rsidR="00EC3E42" w:rsidRPr="00EC3E42" w:rsidRDefault="00EC3E42" w:rsidP="00EC3E42">
            <w:pPr>
              <w:adjustRightInd w:val="0"/>
              <w:spacing w:after="0" w:line="240" w:lineRule="auto"/>
              <w:ind w:left="270"/>
              <w:jc w:val="left"/>
              <w:rPr>
                <w:rFonts w:eastAsia="Calibri"/>
                <w:color w:val="000000"/>
              </w:rPr>
            </w:pPr>
            <w:r w:rsidRPr="00EC3E42">
              <w:rPr>
                <w:rFonts w:eastAsia="Calibri"/>
                <w:color w:val="000000"/>
              </w:rPr>
              <w:t>25-39 years</w:t>
            </w:r>
          </w:p>
        </w:tc>
        <w:tc>
          <w:tcPr>
            <w:tcW w:w="927"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8/136 (5.9%)</w:t>
            </w:r>
          </w:p>
        </w:tc>
        <w:tc>
          <w:tcPr>
            <w:tcW w:w="1083"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1.09 (0.22-5.38)</w:t>
            </w:r>
          </w:p>
        </w:tc>
        <w:tc>
          <w:tcPr>
            <w:tcW w:w="825"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0.91</w:t>
            </w:r>
          </w:p>
        </w:tc>
      </w:tr>
      <w:tr w:rsidR="00EC3E42" w:rsidRPr="00EC3E42" w:rsidTr="00C0197C">
        <w:trPr>
          <w:cantSplit/>
          <w:jc w:val="center"/>
        </w:trPr>
        <w:tc>
          <w:tcPr>
            <w:tcW w:w="2166" w:type="pct"/>
            <w:shd w:val="clear" w:color="auto" w:fill="FFFFFF"/>
            <w:tcMar>
              <w:left w:w="115" w:type="dxa"/>
              <w:right w:w="60" w:type="dxa"/>
            </w:tcMar>
          </w:tcPr>
          <w:p w:rsidR="00EC3E42" w:rsidRPr="00EC3E42" w:rsidRDefault="00EC3E42" w:rsidP="00EC3E42">
            <w:pPr>
              <w:adjustRightInd w:val="0"/>
              <w:spacing w:after="0" w:line="240" w:lineRule="auto"/>
              <w:ind w:left="270"/>
              <w:jc w:val="left"/>
              <w:rPr>
                <w:rFonts w:eastAsia="Calibri"/>
                <w:color w:val="000000"/>
              </w:rPr>
            </w:pPr>
            <w:r w:rsidRPr="00EC3E42">
              <w:rPr>
                <w:rFonts w:eastAsia="Calibri"/>
                <w:color w:val="000000"/>
              </w:rPr>
              <w:t>≥40 years</w:t>
            </w:r>
          </w:p>
        </w:tc>
        <w:tc>
          <w:tcPr>
            <w:tcW w:w="927"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0/38 (0.0%)</w:t>
            </w:r>
          </w:p>
        </w:tc>
        <w:tc>
          <w:tcPr>
            <w:tcW w:w="1083"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w:t>
            </w:r>
          </w:p>
        </w:tc>
        <w:tc>
          <w:tcPr>
            <w:tcW w:w="825"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1.0</w:t>
            </w:r>
          </w:p>
        </w:tc>
      </w:tr>
      <w:tr w:rsidR="00EC3E42" w:rsidRPr="00EC3E42" w:rsidTr="00C0197C">
        <w:trPr>
          <w:cantSplit/>
          <w:jc w:val="center"/>
        </w:trPr>
        <w:tc>
          <w:tcPr>
            <w:tcW w:w="2166" w:type="pct"/>
            <w:shd w:val="clear" w:color="auto" w:fill="FFFFFF"/>
            <w:tcMar>
              <w:left w:w="115" w:type="dxa"/>
              <w:right w:w="60" w:type="dxa"/>
            </w:tcMar>
          </w:tcPr>
          <w:p w:rsidR="00EC3E42" w:rsidRPr="00EC3E42" w:rsidRDefault="00EC3E42" w:rsidP="00EC3E42">
            <w:pPr>
              <w:adjustRightInd w:val="0"/>
              <w:spacing w:after="0" w:line="240" w:lineRule="auto"/>
              <w:jc w:val="left"/>
              <w:rPr>
                <w:rFonts w:eastAsia="Calibri"/>
                <w:color w:val="000000"/>
              </w:rPr>
            </w:pPr>
            <w:r w:rsidRPr="00EC3E42">
              <w:rPr>
                <w:rFonts w:eastAsia="Calibri"/>
                <w:color w:val="000000"/>
              </w:rPr>
              <w:t>Gender</w:t>
            </w:r>
          </w:p>
        </w:tc>
        <w:tc>
          <w:tcPr>
            <w:tcW w:w="927"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p>
        </w:tc>
        <w:tc>
          <w:tcPr>
            <w:tcW w:w="1083"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p>
        </w:tc>
        <w:tc>
          <w:tcPr>
            <w:tcW w:w="825"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0.30</w:t>
            </w:r>
          </w:p>
        </w:tc>
      </w:tr>
      <w:tr w:rsidR="00EC3E42" w:rsidRPr="00EC3E42" w:rsidTr="00C0197C">
        <w:trPr>
          <w:cantSplit/>
          <w:jc w:val="center"/>
        </w:trPr>
        <w:tc>
          <w:tcPr>
            <w:tcW w:w="2166" w:type="pct"/>
            <w:shd w:val="clear" w:color="auto" w:fill="FFFFFF"/>
            <w:tcMar>
              <w:left w:w="115" w:type="dxa"/>
              <w:right w:w="60" w:type="dxa"/>
            </w:tcMar>
          </w:tcPr>
          <w:p w:rsidR="00EC3E42" w:rsidRPr="00EC3E42" w:rsidRDefault="00EC3E42" w:rsidP="00EC3E42">
            <w:pPr>
              <w:adjustRightInd w:val="0"/>
              <w:spacing w:after="0" w:line="240" w:lineRule="auto"/>
              <w:ind w:left="270"/>
              <w:jc w:val="left"/>
              <w:rPr>
                <w:rFonts w:eastAsia="Calibri"/>
                <w:color w:val="000000"/>
              </w:rPr>
            </w:pPr>
            <w:r w:rsidRPr="00EC3E42">
              <w:rPr>
                <w:rFonts w:eastAsia="Calibri"/>
                <w:color w:val="000000"/>
              </w:rPr>
              <w:t>Male</w:t>
            </w:r>
          </w:p>
        </w:tc>
        <w:tc>
          <w:tcPr>
            <w:tcW w:w="927"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3/96 (3.1%)</w:t>
            </w:r>
          </w:p>
        </w:tc>
        <w:tc>
          <w:tcPr>
            <w:tcW w:w="1083"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ref</w:t>
            </w:r>
          </w:p>
        </w:tc>
        <w:tc>
          <w:tcPr>
            <w:tcW w:w="825"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p>
        </w:tc>
      </w:tr>
      <w:tr w:rsidR="00EC3E42" w:rsidRPr="00EC3E42" w:rsidTr="00C0197C">
        <w:trPr>
          <w:cantSplit/>
          <w:jc w:val="center"/>
        </w:trPr>
        <w:tc>
          <w:tcPr>
            <w:tcW w:w="2166" w:type="pct"/>
            <w:shd w:val="clear" w:color="auto" w:fill="FFFFFF"/>
            <w:tcMar>
              <w:left w:w="115" w:type="dxa"/>
              <w:right w:w="60" w:type="dxa"/>
            </w:tcMar>
          </w:tcPr>
          <w:p w:rsidR="00EC3E42" w:rsidRPr="00EC3E42" w:rsidRDefault="00EC3E42" w:rsidP="00EC3E42">
            <w:pPr>
              <w:adjustRightInd w:val="0"/>
              <w:spacing w:after="0" w:line="240" w:lineRule="auto"/>
              <w:ind w:left="270"/>
              <w:jc w:val="left"/>
              <w:rPr>
                <w:rFonts w:eastAsia="Calibri"/>
                <w:color w:val="000000"/>
              </w:rPr>
            </w:pPr>
            <w:r w:rsidRPr="00EC3E42">
              <w:rPr>
                <w:rFonts w:eastAsia="Calibri"/>
                <w:color w:val="000000"/>
              </w:rPr>
              <w:t>Female</w:t>
            </w:r>
          </w:p>
        </w:tc>
        <w:tc>
          <w:tcPr>
            <w:tcW w:w="927"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7/115 (6.1%)</w:t>
            </w:r>
          </w:p>
        </w:tc>
        <w:tc>
          <w:tcPr>
            <w:tcW w:w="1083"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2.01 (0.51-7.99)</w:t>
            </w:r>
          </w:p>
        </w:tc>
        <w:tc>
          <w:tcPr>
            <w:tcW w:w="825"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p>
        </w:tc>
      </w:tr>
      <w:tr w:rsidR="00EC3E42" w:rsidRPr="00EC3E42" w:rsidTr="00C0197C">
        <w:trPr>
          <w:cantSplit/>
          <w:jc w:val="center"/>
        </w:trPr>
        <w:tc>
          <w:tcPr>
            <w:tcW w:w="2166" w:type="pct"/>
            <w:shd w:val="clear" w:color="auto" w:fill="FFFFFF"/>
            <w:tcMar>
              <w:left w:w="115" w:type="dxa"/>
              <w:right w:w="60" w:type="dxa"/>
            </w:tcMar>
          </w:tcPr>
          <w:p w:rsidR="00EC3E42" w:rsidRPr="00EC3E42" w:rsidRDefault="00EC3E42" w:rsidP="00EC3E42">
            <w:pPr>
              <w:adjustRightInd w:val="0"/>
              <w:spacing w:after="0" w:line="240" w:lineRule="auto"/>
              <w:jc w:val="left"/>
              <w:rPr>
                <w:rFonts w:eastAsia="Calibri"/>
                <w:color w:val="000000"/>
              </w:rPr>
            </w:pPr>
            <w:r w:rsidRPr="00EC3E42">
              <w:rPr>
                <w:rFonts w:eastAsia="Calibri"/>
                <w:color w:val="000000"/>
              </w:rPr>
              <w:t>CD4 at ART initiation</w:t>
            </w:r>
            <w:r w:rsidRPr="00EC3E42">
              <w:rPr>
                <w:rFonts w:eastAsia="Calibri"/>
                <w:color w:val="000000"/>
                <w:vertAlign w:val="superscript"/>
              </w:rPr>
              <w:t>b</w:t>
            </w:r>
            <w:r w:rsidRPr="00EC3E42">
              <w:rPr>
                <w:rFonts w:eastAsia="Calibri"/>
                <w:color w:val="000000"/>
              </w:rPr>
              <w:t xml:space="preserve"> </w:t>
            </w:r>
          </w:p>
        </w:tc>
        <w:tc>
          <w:tcPr>
            <w:tcW w:w="927"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p>
        </w:tc>
        <w:tc>
          <w:tcPr>
            <w:tcW w:w="1083"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0.83 (0.51-1.34)</w:t>
            </w:r>
          </w:p>
        </w:tc>
        <w:tc>
          <w:tcPr>
            <w:tcW w:w="825"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0.44</w:t>
            </w:r>
          </w:p>
        </w:tc>
      </w:tr>
      <w:tr w:rsidR="00EC3E42" w:rsidRPr="00EC3E42" w:rsidTr="00C0197C">
        <w:trPr>
          <w:cantSplit/>
          <w:jc w:val="center"/>
        </w:trPr>
        <w:tc>
          <w:tcPr>
            <w:tcW w:w="2166" w:type="pct"/>
            <w:shd w:val="clear" w:color="auto" w:fill="FFFFFF"/>
            <w:tcMar>
              <w:left w:w="115" w:type="dxa"/>
              <w:right w:w="60" w:type="dxa"/>
            </w:tcMar>
          </w:tcPr>
          <w:p w:rsidR="00EC3E42" w:rsidRPr="00EC3E42" w:rsidRDefault="00EC3E42" w:rsidP="00EC3E42">
            <w:pPr>
              <w:adjustRightInd w:val="0"/>
              <w:spacing w:after="0" w:line="240" w:lineRule="auto"/>
              <w:jc w:val="left"/>
              <w:rPr>
                <w:rFonts w:eastAsia="Calibri"/>
                <w:color w:val="000000"/>
              </w:rPr>
            </w:pPr>
            <w:r w:rsidRPr="00EC3E42">
              <w:rPr>
                <w:rFonts w:eastAsia="Calibri"/>
                <w:color w:val="000000"/>
              </w:rPr>
              <w:t>VL at ART initiation</w:t>
            </w:r>
            <w:r w:rsidRPr="00EC3E42">
              <w:rPr>
                <w:rFonts w:eastAsia="Calibri"/>
                <w:color w:val="000000"/>
                <w:vertAlign w:val="superscript"/>
              </w:rPr>
              <w:t>c</w:t>
            </w:r>
            <w:r w:rsidRPr="00EC3E42">
              <w:rPr>
                <w:rFonts w:eastAsia="Calibri"/>
                <w:color w:val="000000"/>
              </w:rPr>
              <w:t xml:space="preserve"> </w:t>
            </w:r>
          </w:p>
        </w:tc>
        <w:tc>
          <w:tcPr>
            <w:tcW w:w="927"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p>
        </w:tc>
        <w:tc>
          <w:tcPr>
            <w:tcW w:w="1083"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0.47 (0.19-1.17)</w:t>
            </w:r>
          </w:p>
        </w:tc>
        <w:tc>
          <w:tcPr>
            <w:tcW w:w="825"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0.10</w:t>
            </w:r>
          </w:p>
        </w:tc>
      </w:tr>
      <w:tr w:rsidR="00EC3E42" w:rsidRPr="00EC3E42" w:rsidTr="00C0197C">
        <w:trPr>
          <w:cantSplit/>
          <w:jc w:val="center"/>
        </w:trPr>
        <w:tc>
          <w:tcPr>
            <w:tcW w:w="2166" w:type="pct"/>
            <w:shd w:val="clear" w:color="auto" w:fill="FFFFFF"/>
            <w:tcMar>
              <w:left w:w="115" w:type="dxa"/>
              <w:right w:w="60" w:type="dxa"/>
            </w:tcMar>
          </w:tcPr>
          <w:p w:rsidR="00EC3E42" w:rsidRPr="00EC3E42" w:rsidRDefault="00EC3E42" w:rsidP="00EC3E42">
            <w:pPr>
              <w:adjustRightInd w:val="0"/>
              <w:spacing w:after="0" w:line="240" w:lineRule="auto"/>
              <w:jc w:val="left"/>
              <w:rPr>
                <w:rFonts w:eastAsia="Calibri"/>
                <w:color w:val="000000"/>
              </w:rPr>
            </w:pPr>
            <w:r w:rsidRPr="00EC3E42">
              <w:rPr>
                <w:rFonts w:eastAsia="Calibri"/>
                <w:color w:val="000000"/>
              </w:rPr>
              <w:t>Time to ART initiation</w:t>
            </w:r>
            <w:r w:rsidRPr="00EC3E42">
              <w:rPr>
                <w:rFonts w:eastAsia="Calibri"/>
                <w:color w:val="000000"/>
                <w:vertAlign w:val="superscript"/>
              </w:rPr>
              <w:t>d</w:t>
            </w:r>
            <w:r w:rsidRPr="00EC3E42">
              <w:rPr>
                <w:rFonts w:eastAsia="Calibri"/>
                <w:color w:val="000000"/>
              </w:rPr>
              <w:t xml:space="preserve"> </w:t>
            </w:r>
          </w:p>
        </w:tc>
        <w:tc>
          <w:tcPr>
            <w:tcW w:w="927"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p>
        </w:tc>
        <w:tc>
          <w:tcPr>
            <w:tcW w:w="1083"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0.67 (0.35-1.30)</w:t>
            </w:r>
          </w:p>
        </w:tc>
        <w:tc>
          <w:tcPr>
            <w:tcW w:w="825"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0.17</w:t>
            </w:r>
          </w:p>
        </w:tc>
      </w:tr>
      <w:tr w:rsidR="00EC3E42" w:rsidRPr="00EC3E42" w:rsidTr="00C0197C">
        <w:trPr>
          <w:cantSplit/>
          <w:jc w:val="center"/>
        </w:trPr>
        <w:tc>
          <w:tcPr>
            <w:tcW w:w="2166" w:type="pct"/>
            <w:shd w:val="clear" w:color="auto" w:fill="FFFFFF"/>
            <w:tcMar>
              <w:left w:w="115" w:type="dxa"/>
              <w:right w:w="60" w:type="dxa"/>
            </w:tcMar>
          </w:tcPr>
          <w:p w:rsidR="00EC3E42" w:rsidRPr="00EC3E42" w:rsidRDefault="00EC3E42" w:rsidP="00EC3E42">
            <w:pPr>
              <w:adjustRightInd w:val="0"/>
              <w:spacing w:after="0" w:line="240" w:lineRule="auto"/>
              <w:jc w:val="left"/>
              <w:rPr>
                <w:rFonts w:eastAsia="Calibri"/>
                <w:color w:val="000000"/>
              </w:rPr>
            </w:pPr>
            <w:r w:rsidRPr="00EC3E42">
              <w:rPr>
                <w:rFonts w:eastAsia="Calibri"/>
                <w:color w:val="000000"/>
              </w:rPr>
              <w:t>HIV Subtype</w:t>
            </w:r>
          </w:p>
        </w:tc>
        <w:tc>
          <w:tcPr>
            <w:tcW w:w="927"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p>
        </w:tc>
        <w:tc>
          <w:tcPr>
            <w:tcW w:w="1083"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p>
        </w:tc>
        <w:tc>
          <w:tcPr>
            <w:tcW w:w="825"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0.80</w:t>
            </w:r>
          </w:p>
        </w:tc>
      </w:tr>
      <w:tr w:rsidR="00EC3E42" w:rsidRPr="00EC3E42" w:rsidTr="00C0197C">
        <w:trPr>
          <w:cantSplit/>
          <w:jc w:val="center"/>
        </w:trPr>
        <w:tc>
          <w:tcPr>
            <w:tcW w:w="2166" w:type="pct"/>
            <w:shd w:val="clear" w:color="auto" w:fill="FFFFFF"/>
            <w:tcMar>
              <w:left w:w="115" w:type="dxa"/>
              <w:right w:w="60" w:type="dxa"/>
            </w:tcMar>
          </w:tcPr>
          <w:p w:rsidR="00EC3E42" w:rsidRPr="00EC3E42" w:rsidRDefault="00EC3E42" w:rsidP="00EC3E42">
            <w:pPr>
              <w:adjustRightInd w:val="0"/>
              <w:spacing w:after="0" w:line="240" w:lineRule="auto"/>
              <w:ind w:left="270"/>
              <w:jc w:val="left"/>
              <w:rPr>
                <w:rFonts w:eastAsia="Calibri"/>
                <w:color w:val="000000"/>
              </w:rPr>
            </w:pPr>
            <w:r w:rsidRPr="00EC3E42">
              <w:rPr>
                <w:rFonts w:eastAsia="Calibri"/>
                <w:color w:val="000000"/>
              </w:rPr>
              <w:t>C</w:t>
            </w:r>
          </w:p>
        </w:tc>
        <w:tc>
          <w:tcPr>
            <w:tcW w:w="927"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8/162 (4.9%)</w:t>
            </w:r>
          </w:p>
        </w:tc>
        <w:tc>
          <w:tcPr>
            <w:tcW w:w="1083"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ref</w:t>
            </w:r>
          </w:p>
        </w:tc>
        <w:tc>
          <w:tcPr>
            <w:tcW w:w="825"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p>
        </w:tc>
      </w:tr>
      <w:tr w:rsidR="00EC3E42" w:rsidRPr="00EC3E42" w:rsidTr="00C0197C">
        <w:trPr>
          <w:cantSplit/>
          <w:jc w:val="center"/>
        </w:trPr>
        <w:tc>
          <w:tcPr>
            <w:tcW w:w="2166" w:type="pct"/>
            <w:shd w:val="clear" w:color="auto" w:fill="FFFFFF"/>
            <w:tcMar>
              <w:left w:w="115" w:type="dxa"/>
              <w:right w:w="60" w:type="dxa"/>
            </w:tcMar>
          </w:tcPr>
          <w:p w:rsidR="00EC3E42" w:rsidRPr="00EC3E42" w:rsidRDefault="00EC3E42" w:rsidP="00EC3E42">
            <w:pPr>
              <w:adjustRightInd w:val="0"/>
              <w:spacing w:after="0" w:line="240" w:lineRule="auto"/>
              <w:ind w:left="270"/>
              <w:jc w:val="left"/>
              <w:rPr>
                <w:rFonts w:eastAsia="Calibri"/>
                <w:color w:val="000000"/>
              </w:rPr>
            </w:pPr>
            <w:r w:rsidRPr="00EC3E42">
              <w:rPr>
                <w:rFonts w:eastAsia="Calibri"/>
                <w:color w:val="000000"/>
              </w:rPr>
              <w:t>Non-C</w:t>
            </w:r>
          </w:p>
        </w:tc>
        <w:tc>
          <w:tcPr>
            <w:tcW w:w="927"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2/49 (4.1%)</w:t>
            </w:r>
          </w:p>
        </w:tc>
        <w:tc>
          <w:tcPr>
            <w:tcW w:w="1083"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0.82 (0.17-3.99)</w:t>
            </w:r>
          </w:p>
        </w:tc>
        <w:tc>
          <w:tcPr>
            <w:tcW w:w="825"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p>
        </w:tc>
      </w:tr>
      <w:tr w:rsidR="00EC3E42" w:rsidRPr="00EC3E42" w:rsidTr="00C0197C">
        <w:trPr>
          <w:cantSplit/>
          <w:jc w:val="center"/>
        </w:trPr>
        <w:tc>
          <w:tcPr>
            <w:tcW w:w="2166" w:type="pct"/>
            <w:shd w:val="clear" w:color="auto" w:fill="FFFFFF"/>
            <w:tcMar>
              <w:left w:w="115" w:type="dxa"/>
              <w:right w:w="60" w:type="dxa"/>
            </w:tcMar>
          </w:tcPr>
          <w:p w:rsidR="00EC3E42" w:rsidRPr="00EC3E42" w:rsidRDefault="00EC3E42" w:rsidP="00EC3E42">
            <w:pPr>
              <w:adjustRightInd w:val="0"/>
              <w:spacing w:after="0" w:line="240" w:lineRule="auto"/>
              <w:jc w:val="left"/>
              <w:rPr>
                <w:rFonts w:eastAsia="Calibri"/>
                <w:color w:val="000000"/>
              </w:rPr>
            </w:pPr>
            <w:r w:rsidRPr="00EC3E42">
              <w:rPr>
                <w:rFonts w:eastAsia="Calibri"/>
                <w:color w:val="000000"/>
              </w:rPr>
              <w:t>Region</w:t>
            </w:r>
          </w:p>
        </w:tc>
        <w:tc>
          <w:tcPr>
            <w:tcW w:w="927"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p>
        </w:tc>
        <w:tc>
          <w:tcPr>
            <w:tcW w:w="1083"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p>
        </w:tc>
        <w:tc>
          <w:tcPr>
            <w:tcW w:w="825"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0.99</w:t>
            </w:r>
          </w:p>
        </w:tc>
      </w:tr>
      <w:tr w:rsidR="00EC3E42" w:rsidRPr="00EC3E42" w:rsidTr="00C0197C">
        <w:trPr>
          <w:cantSplit/>
          <w:jc w:val="center"/>
        </w:trPr>
        <w:tc>
          <w:tcPr>
            <w:tcW w:w="2166" w:type="pct"/>
            <w:shd w:val="clear" w:color="auto" w:fill="FFFFFF"/>
            <w:tcMar>
              <w:left w:w="115" w:type="dxa"/>
              <w:right w:w="60" w:type="dxa"/>
            </w:tcMar>
          </w:tcPr>
          <w:p w:rsidR="00EC3E42" w:rsidRPr="00EC3E42" w:rsidRDefault="00EC3E42" w:rsidP="00EC3E42">
            <w:pPr>
              <w:adjustRightInd w:val="0"/>
              <w:spacing w:after="0" w:line="240" w:lineRule="auto"/>
              <w:ind w:left="270"/>
              <w:jc w:val="left"/>
              <w:rPr>
                <w:rFonts w:eastAsia="Calibri"/>
                <w:color w:val="000000"/>
              </w:rPr>
            </w:pPr>
            <w:r w:rsidRPr="00EC3E42">
              <w:rPr>
                <w:rFonts w:eastAsia="Calibri"/>
                <w:color w:val="000000"/>
              </w:rPr>
              <w:t>Americas</w:t>
            </w:r>
          </w:p>
        </w:tc>
        <w:tc>
          <w:tcPr>
            <w:tcW w:w="927"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2/42 (4.8%)</w:t>
            </w:r>
          </w:p>
        </w:tc>
        <w:tc>
          <w:tcPr>
            <w:tcW w:w="1083"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ref</w:t>
            </w:r>
          </w:p>
        </w:tc>
        <w:tc>
          <w:tcPr>
            <w:tcW w:w="825"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p>
        </w:tc>
      </w:tr>
      <w:tr w:rsidR="00EC3E42" w:rsidRPr="00EC3E42" w:rsidTr="00C0197C">
        <w:trPr>
          <w:cantSplit/>
          <w:jc w:val="center"/>
        </w:trPr>
        <w:tc>
          <w:tcPr>
            <w:tcW w:w="2166" w:type="pct"/>
            <w:shd w:val="clear" w:color="auto" w:fill="FFFFFF"/>
            <w:tcMar>
              <w:left w:w="115" w:type="dxa"/>
              <w:right w:w="60" w:type="dxa"/>
            </w:tcMar>
          </w:tcPr>
          <w:p w:rsidR="00EC3E42" w:rsidRPr="00EC3E42" w:rsidRDefault="00EC3E42" w:rsidP="00EC3E42">
            <w:pPr>
              <w:adjustRightInd w:val="0"/>
              <w:spacing w:after="0" w:line="240" w:lineRule="auto"/>
              <w:ind w:left="270"/>
              <w:jc w:val="left"/>
              <w:rPr>
                <w:rFonts w:eastAsia="Calibri"/>
                <w:color w:val="000000"/>
              </w:rPr>
            </w:pPr>
            <w:r w:rsidRPr="00EC3E42">
              <w:rPr>
                <w:rFonts w:eastAsia="Calibri"/>
                <w:color w:val="000000"/>
              </w:rPr>
              <w:t>Asia</w:t>
            </w:r>
          </w:p>
        </w:tc>
        <w:tc>
          <w:tcPr>
            <w:tcW w:w="927"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3/59 (5.1%)</w:t>
            </w:r>
          </w:p>
        </w:tc>
        <w:tc>
          <w:tcPr>
            <w:tcW w:w="1083"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1.07 (0.17-6.71)</w:t>
            </w:r>
          </w:p>
        </w:tc>
        <w:tc>
          <w:tcPr>
            <w:tcW w:w="825"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0.94</w:t>
            </w:r>
          </w:p>
        </w:tc>
      </w:tr>
      <w:tr w:rsidR="00EC3E42" w:rsidRPr="00EC3E42" w:rsidTr="00C0197C">
        <w:trPr>
          <w:cantSplit/>
          <w:jc w:val="center"/>
        </w:trPr>
        <w:tc>
          <w:tcPr>
            <w:tcW w:w="2166" w:type="pct"/>
            <w:shd w:val="clear" w:color="auto" w:fill="FFFFFF"/>
            <w:tcMar>
              <w:left w:w="115" w:type="dxa"/>
              <w:right w:w="60" w:type="dxa"/>
            </w:tcMar>
          </w:tcPr>
          <w:p w:rsidR="00EC3E42" w:rsidRPr="00EC3E42" w:rsidRDefault="00EC3E42" w:rsidP="00EC3E42">
            <w:pPr>
              <w:adjustRightInd w:val="0"/>
              <w:spacing w:after="0" w:line="240" w:lineRule="auto"/>
              <w:ind w:left="270"/>
              <w:jc w:val="left"/>
              <w:rPr>
                <w:rFonts w:eastAsia="Calibri"/>
                <w:color w:val="000000"/>
              </w:rPr>
            </w:pPr>
            <w:r w:rsidRPr="00EC3E42">
              <w:rPr>
                <w:rFonts w:eastAsia="Calibri"/>
                <w:color w:val="000000"/>
              </w:rPr>
              <w:t>Africa</w:t>
            </w:r>
          </w:p>
        </w:tc>
        <w:tc>
          <w:tcPr>
            <w:tcW w:w="927"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5/110 (4.5%)</w:t>
            </w:r>
          </w:p>
        </w:tc>
        <w:tc>
          <w:tcPr>
            <w:tcW w:w="1083"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0.95 (0.18-5.11)</w:t>
            </w:r>
          </w:p>
        </w:tc>
        <w:tc>
          <w:tcPr>
            <w:tcW w:w="825"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0.95</w:t>
            </w:r>
          </w:p>
        </w:tc>
      </w:tr>
      <w:tr w:rsidR="00EC3E42" w:rsidRPr="00EC3E42" w:rsidTr="00C0197C">
        <w:trPr>
          <w:cantSplit/>
          <w:jc w:val="center"/>
        </w:trPr>
        <w:tc>
          <w:tcPr>
            <w:tcW w:w="2166" w:type="pct"/>
            <w:shd w:val="clear" w:color="auto" w:fill="FFFFFF"/>
            <w:tcMar>
              <w:left w:w="115" w:type="dxa"/>
              <w:right w:w="60" w:type="dxa"/>
            </w:tcMar>
          </w:tcPr>
          <w:p w:rsidR="00EC3E42" w:rsidRPr="00EC3E42" w:rsidRDefault="00EC3E42" w:rsidP="00EC3E42">
            <w:pPr>
              <w:adjustRightInd w:val="0"/>
              <w:spacing w:after="0" w:line="240" w:lineRule="auto"/>
              <w:jc w:val="left"/>
              <w:rPr>
                <w:rFonts w:eastAsia="Calibri"/>
                <w:color w:val="000000"/>
              </w:rPr>
            </w:pPr>
            <w:r w:rsidRPr="00EC3E42">
              <w:rPr>
                <w:rFonts w:eastAsia="Calibri"/>
                <w:color w:val="000000"/>
              </w:rPr>
              <w:t>Regimen</w:t>
            </w:r>
            <w:r w:rsidRPr="00EC3E42">
              <w:rPr>
                <w:rFonts w:eastAsia="Calibri"/>
                <w:color w:val="000000"/>
                <w:vertAlign w:val="superscript"/>
              </w:rPr>
              <w:t>e</w:t>
            </w:r>
          </w:p>
        </w:tc>
        <w:tc>
          <w:tcPr>
            <w:tcW w:w="927"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p>
        </w:tc>
        <w:tc>
          <w:tcPr>
            <w:tcW w:w="1083"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p>
        </w:tc>
        <w:tc>
          <w:tcPr>
            <w:tcW w:w="825"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0.70</w:t>
            </w:r>
          </w:p>
        </w:tc>
      </w:tr>
      <w:tr w:rsidR="00EC3E42" w:rsidRPr="00EC3E42" w:rsidTr="00C0197C">
        <w:trPr>
          <w:cantSplit/>
          <w:jc w:val="center"/>
        </w:trPr>
        <w:tc>
          <w:tcPr>
            <w:tcW w:w="2166" w:type="pct"/>
            <w:shd w:val="clear" w:color="auto" w:fill="FFFFFF"/>
            <w:tcMar>
              <w:left w:w="115" w:type="dxa"/>
              <w:right w:w="60" w:type="dxa"/>
            </w:tcMar>
          </w:tcPr>
          <w:p w:rsidR="00EC3E42" w:rsidRPr="00EC3E42" w:rsidRDefault="00EC3E42" w:rsidP="00EC3E42">
            <w:pPr>
              <w:adjustRightInd w:val="0"/>
              <w:spacing w:after="0" w:line="240" w:lineRule="auto"/>
              <w:ind w:left="270"/>
              <w:jc w:val="left"/>
              <w:rPr>
                <w:rFonts w:eastAsia="Calibri"/>
                <w:color w:val="000000"/>
              </w:rPr>
            </w:pPr>
            <w:r w:rsidRPr="00EC3E42">
              <w:rPr>
                <w:rFonts w:eastAsia="Calibri"/>
                <w:color w:val="000000"/>
              </w:rPr>
              <w:t>EFV/3TC/ZDV</w:t>
            </w:r>
          </w:p>
        </w:tc>
        <w:tc>
          <w:tcPr>
            <w:tcW w:w="927"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8/158 (5.1%)</w:t>
            </w:r>
          </w:p>
        </w:tc>
        <w:tc>
          <w:tcPr>
            <w:tcW w:w="1083"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1.36 (0.28-6.61)</w:t>
            </w:r>
          </w:p>
        </w:tc>
        <w:tc>
          <w:tcPr>
            <w:tcW w:w="825"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p>
        </w:tc>
      </w:tr>
      <w:tr w:rsidR="00EC3E42" w:rsidRPr="00EC3E42" w:rsidTr="00C0197C">
        <w:trPr>
          <w:cantSplit/>
          <w:jc w:val="center"/>
        </w:trPr>
        <w:tc>
          <w:tcPr>
            <w:tcW w:w="2166" w:type="pct"/>
            <w:shd w:val="clear" w:color="auto" w:fill="FFFFFF"/>
            <w:tcMar>
              <w:left w:w="115" w:type="dxa"/>
              <w:right w:w="60" w:type="dxa"/>
            </w:tcMar>
          </w:tcPr>
          <w:p w:rsidR="00EC3E42" w:rsidRPr="00EC3E42" w:rsidRDefault="00EC3E42" w:rsidP="00EC3E42">
            <w:pPr>
              <w:adjustRightInd w:val="0"/>
              <w:spacing w:after="0" w:line="240" w:lineRule="auto"/>
              <w:ind w:left="270"/>
              <w:jc w:val="left"/>
              <w:rPr>
                <w:rFonts w:eastAsia="Calibri"/>
                <w:color w:val="000000"/>
              </w:rPr>
            </w:pPr>
            <w:r w:rsidRPr="00EC3E42">
              <w:rPr>
                <w:rFonts w:eastAsia="Calibri"/>
                <w:color w:val="000000"/>
              </w:rPr>
              <w:t>Other</w:t>
            </w:r>
          </w:p>
        </w:tc>
        <w:tc>
          <w:tcPr>
            <w:tcW w:w="927"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2/53 (3.8%)</w:t>
            </w:r>
          </w:p>
        </w:tc>
        <w:tc>
          <w:tcPr>
            <w:tcW w:w="1083"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ref</w:t>
            </w:r>
          </w:p>
        </w:tc>
        <w:tc>
          <w:tcPr>
            <w:tcW w:w="825"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p>
        </w:tc>
      </w:tr>
      <w:tr w:rsidR="00EC3E42" w:rsidRPr="00EC3E42" w:rsidTr="00C0197C">
        <w:trPr>
          <w:cantSplit/>
          <w:jc w:val="center"/>
        </w:trPr>
        <w:tc>
          <w:tcPr>
            <w:tcW w:w="2166" w:type="pct"/>
            <w:shd w:val="clear" w:color="auto" w:fill="FFFFFF"/>
            <w:tcMar>
              <w:left w:w="115" w:type="dxa"/>
              <w:right w:w="60" w:type="dxa"/>
            </w:tcMar>
          </w:tcPr>
          <w:p w:rsidR="00EC3E42" w:rsidRPr="00EC3E42" w:rsidRDefault="00EC3E42" w:rsidP="00EC3E42">
            <w:pPr>
              <w:adjustRightInd w:val="0"/>
              <w:spacing w:after="0" w:line="240" w:lineRule="auto"/>
              <w:jc w:val="left"/>
              <w:rPr>
                <w:rFonts w:eastAsia="Calibri"/>
                <w:color w:val="000000"/>
              </w:rPr>
            </w:pPr>
            <w:r w:rsidRPr="00EC3E42">
              <w:rPr>
                <w:rFonts w:eastAsia="Calibri"/>
                <w:color w:val="000000"/>
              </w:rPr>
              <w:t>Education</w:t>
            </w:r>
          </w:p>
        </w:tc>
        <w:tc>
          <w:tcPr>
            <w:tcW w:w="927"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p>
        </w:tc>
        <w:tc>
          <w:tcPr>
            <w:tcW w:w="1083"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p>
        </w:tc>
        <w:tc>
          <w:tcPr>
            <w:tcW w:w="825"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0.34</w:t>
            </w:r>
          </w:p>
        </w:tc>
      </w:tr>
      <w:tr w:rsidR="00EC3E42" w:rsidRPr="00EC3E42" w:rsidTr="00C0197C">
        <w:trPr>
          <w:cantSplit/>
          <w:jc w:val="center"/>
        </w:trPr>
        <w:tc>
          <w:tcPr>
            <w:tcW w:w="2166" w:type="pct"/>
            <w:shd w:val="clear" w:color="auto" w:fill="FFFFFF"/>
            <w:tcMar>
              <w:left w:w="115" w:type="dxa"/>
              <w:right w:w="14" w:type="dxa"/>
            </w:tcMar>
          </w:tcPr>
          <w:p w:rsidR="00EC3E42" w:rsidRPr="00EC3E42" w:rsidRDefault="00EC3E42" w:rsidP="00EC3E42">
            <w:pPr>
              <w:adjustRightInd w:val="0"/>
              <w:spacing w:after="0" w:line="240" w:lineRule="auto"/>
              <w:ind w:left="270"/>
              <w:jc w:val="left"/>
              <w:rPr>
                <w:rFonts w:eastAsia="Calibri"/>
                <w:color w:val="000000"/>
              </w:rPr>
            </w:pPr>
            <w:r w:rsidRPr="00EC3E42">
              <w:rPr>
                <w:rFonts w:eastAsia="Calibri"/>
                <w:color w:val="000000"/>
              </w:rPr>
              <w:t>None</w:t>
            </w:r>
          </w:p>
        </w:tc>
        <w:tc>
          <w:tcPr>
            <w:tcW w:w="927"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3/32 (9.4%)</w:t>
            </w:r>
          </w:p>
        </w:tc>
        <w:tc>
          <w:tcPr>
            <w:tcW w:w="1083"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ref</w:t>
            </w:r>
          </w:p>
        </w:tc>
        <w:tc>
          <w:tcPr>
            <w:tcW w:w="825"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p>
        </w:tc>
      </w:tr>
      <w:tr w:rsidR="00EC3E42" w:rsidRPr="00EC3E42" w:rsidTr="00C0197C">
        <w:trPr>
          <w:cantSplit/>
          <w:jc w:val="center"/>
        </w:trPr>
        <w:tc>
          <w:tcPr>
            <w:tcW w:w="2166" w:type="pct"/>
            <w:shd w:val="clear" w:color="auto" w:fill="FFFFFF"/>
            <w:tcMar>
              <w:left w:w="115" w:type="dxa"/>
              <w:right w:w="14" w:type="dxa"/>
            </w:tcMar>
          </w:tcPr>
          <w:p w:rsidR="00EC3E42" w:rsidRPr="00EC3E42" w:rsidRDefault="00EC3E42" w:rsidP="00EC3E42">
            <w:pPr>
              <w:adjustRightInd w:val="0"/>
              <w:spacing w:after="0" w:line="240" w:lineRule="auto"/>
              <w:ind w:left="270"/>
              <w:jc w:val="left"/>
              <w:rPr>
                <w:rFonts w:eastAsia="Calibri"/>
                <w:color w:val="000000"/>
              </w:rPr>
            </w:pPr>
            <w:r w:rsidRPr="00EC3E42">
              <w:rPr>
                <w:rFonts w:eastAsia="Calibri"/>
                <w:color w:val="000000"/>
              </w:rPr>
              <w:t>Primary or secondary schooling</w:t>
            </w:r>
          </w:p>
        </w:tc>
        <w:tc>
          <w:tcPr>
            <w:tcW w:w="927"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7/171 (4.1%)</w:t>
            </w:r>
          </w:p>
        </w:tc>
        <w:tc>
          <w:tcPr>
            <w:tcW w:w="1083"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0.41 (0.10-1.69)</w:t>
            </w:r>
          </w:p>
        </w:tc>
        <w:tc>
          <w:tcPr>
            <w:tcW w:w="825"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0.22</w:t>
            </w:r>
          </w:p>
        </w:tc>
      </w:tr>
      <w:tr w:rsidR="00EC3E42" w:rsidRPr="00EC3E42" w:rsidTr="00C0197C">
        <w:trPr>
          <w:cantSplit/>
          <w:jc w:val="center"/>
        </w:trPr>
        <w:tc>
          <w:tcPr>
            <w:tcW w:w="2166" w:type="pct"/>
            <w:shd w:val="clear" w:color="auto" w:fill="FFFFFF"/>
            <w:tcMar>
              <w:left w:w="115" w:type="dxa"/>
              <w:right w:w="60" w:type="dxa"/>
            </w:tcMar>
          </w:tcPr>
          <w:p w:rsidR="00EC3E42" w:rsidRPr="00EC3E42" w:rsidRDefault="00EC3E42" w:rsidP="00EC3E42">
            <w:pPr>
              <w:adjustRightInd w:val="0"/>
              <w:spacing w:after="0" w:line="240" w:lineRule="auto"/>
              <w:ind w:left="270"/>
              <w:jc w:val="left"/>
              <w:rPr>
                <w:rFonts w:eastAsia="Calibri"/>
                <w:color w:val="000000"/>
              </w:rPr>
            </w:pPr>
            <w:r w:rsidRPr="00EC3E42">
              <w:rPr>
                <w:rFonts w:eastAsia="Calibri"/>
                <w:color w:val="000000"/>
              </w:rPr>
              <w:t>Post-secondary schooling</w:t>
            </w:r>
          </w:p>
        </w:tc>
        <w:tc>
          <w:tcPr>
            <w:tcW w:w="927"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0/8 (0.0%)</w:t>
            </w:r>
          </w:p>
        </w:tc>
        <w:tc>
          <w:tcPr>
            <w:tcW w:w="1083"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w:t>
            </w:r>
          </w:p>
        </w:tc>
        <w:tc>
          <w:tcPr>
            <w:tcW w:w="825"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1.00</w:t>
            </w:r>
          </w:p>
        </w:tc>
      </w:tr>
      <w:tr w:rsidR="00EC3E42" w:rsidRPr="00EC3E42" w:rsidTr="00C0197C">
        <w:trPr>
          <w:cantSplit/>
          <w:jc w:val="center"/>
        </w:trPr>
        <w:tc>
          <w:tcPr>
            <w:tcW w:w="2166" w:type="pct"/>
            <w:shd w:val="clear" w:color="auto" w:fill="FFFFFF"/>
            <w:tcMar>
              <w:left w:w="115" w:type="dxa"/>
              <w:right w:w="60" w:type="dxa"/>
            </w:tcMar>
          </w:tcPr>
          <w:p w:rsidR="00EC3E42" w:rsidRPr="00EC3E42" w:rsidRDefault="00EC3E42" w:rsidP="00EC3E42">
            <w:pPr>
              <w:adjustRightInd w:val="0"/>
              <w:spacing w:after="0" w:line="240" w:lineRule="auto"/>
              <w:jc w:val="left"/>
              <w:rPr>
                <w:rFonts w:eastAsia="Calibri"/>
                <w:color w:val="000000"/>
              </w:rPr>
            </w:pPr>
            <w:r w:rsidRPr="00EC3E42">
              <w:rPr>
                <w:rFonts w:eastAsia="Calibri"/>
                <w:color w:val="000000"/>
              </w:rPr>
              <w:t>Marital status</w:t>
            </w:r>
          </w:p>
        </w:tc>
        <w:tc>
          <w:tcPr>
            <w:tcW w:w="927"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p>
        </w:tc>
        <w:tc>
          <w:tcPr>
            <w:tcW w:w="1083"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p>
        </w:tc>
        <w:tc>
          <w:tcPr>
            <w:tcW w:w="825"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0.32</w:t>
            </w:r>
          </w:p>
        </w:tc>
      </w:tr>
      <w:tr w:rsidR="00EC3E42" w:rsidRPr="00EC3E42" w:rsidTr="00C0197C">
        <w:trPr>
          <w:cantSplit/>
          <w:jc w:val="center"/>
        </w:trPr>
        <w:tc>
          <w:tcPr>
            <w:tcW w:w="2166" w:type="pct"/>
            <w:shd w:val="clear" w:color="auto" w:fill="FFFFFF"/>
            <w:tcMar>
              <w:left w:w="115" w:type="dxa"/>
              <w:right w:w="60" w:type="dxa"/>
            </w:tcMar>
          </w:tcPr>
          <w:p w:rsidR="00EC3E42" w:rsidRPr="00EC3E42" w:rsidRDefault="00EC3E42" w:rsidP="00EC3E42">
            <w:pPr>
              <w:adjustRightInd w:val="0"/>
              <w:spacing w:after="0" w:line="240" w:lineRule="auto"/>
              <w:ind w:left="270"/>
              <w:jc w:val="left"/>
              <w:rPr>
                <w:rFonts w:eastAsia="Calibri"/>
                <w:color w:val="000000"/>
              </w:rPr>
            </w:pPr>
            <w:r w:rsidRPr="00EC3E42">
              <w:rPr>
                <w:rFonts w:eastAsia="Calibri"/>
                <w:color w:val="000000"/>
              </w:rPr>
              <w:t>Married</w:t>
            </w:r>
          </w:p>
        </w:tc>
        <w:tc>
          <w:tcPr>
            <w:tcW w:w="927"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9/204 (4.4%)</w:t>
            </w:r>
          </w:p>
        </w:tc>
        <w:tc>
          <w:tcPr>
            <w:tcW w:w="1083"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ref</w:t>
            </w:r>
          </w:p>
        </w:tc>
        <w:tc>
          <w:tcPr>
            <w:tcW w:w="825"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p>
        </w:tc>
      </w:tr>
      <w:tr w:rsidR="00EC3E42" w:rsidRPr="00EC3E42" w:rsidTr="00C0197C">
        <w:trPr>
          <w:cantSplit/>
          <w:jc w:val="center"/>
        </w:trPr>
        <w:tc>
          <w:tcPr>
            <w:tcW w:w="2166" w:type="pct"/>
            <w:shd w:val="clear" w:color="auto" w:fill="FFFFFF"/>
            <w:tcMar>
              <w:left w:w="115" w:type="dxa"/>
              <w:right w:w="60" w:type="dxa"/>
            </w:tcMar>
          </w:tcPr>
          <w:p w:rsidR="00EC3E42" w:rsidRPr="00EC3E42" w:rsidRDefault="00EC3E42" w:rsidP="00EC3E42">
            <w:pPr>
              <w:adjustRightInd w:val="0"/>
              <w:spacing w:after="0" w:line="240" w:lineRule="auto"/>
              <w:ind w:left="270"/>
              <w:jc w:val="left"/>
              <w:rPr>
                <w:rFonts w:eastAsia="Calibri"/>
                <w:color w:val="000000"/>
              </w:rPr>
            </w:pPr>
            <w:r w:rsidRPr="00EC3E42">
              <w:rPr>
                <w:rFonts w:eastAsia="Calibri"/>
                <w:color w:val="000000"/>
              </w:rPr>
              <w:t>Not married</w:t>
            </w:r>
          </w:p>
        </w:tc>
        <w:tc>
          <w:tcPr>
            <w:tcW w:w="927"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1/7 (14.3%)</w:t>
            </w:r>
          </w:p>
        </w:tc>
        <w:tc>
          <w:tcPr>
            <w:tcW w:w="1083"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3.61 (0.39-33.25)</w:t>
            </w:r>
          </w:p>
        </w:tc>
        <w:tc>
          <w:tcPr>
            <w:tcW w:w="825"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p>
        </w:tc>
      </w:tr>
      <w:tr w:rsidR="00EC3E42" w:rsidRPr="00EC3E42" w:rsidTr="00C0197C">
        <w:trPr>
          <w:cantSplit/>
          <w:jc w:val="center"/>
        </w:trPr>
        <w:tc>
          <w:tcPr>
            <w:tcW w:w="2166" w:type="pct"/>
            <w:shd w:val="clear" w:color="auto" w:fill="FFFFFF"/>
            <w:tcMar>
              <w:left w:w="115" w:type="dxa"/>
              <w:right w:w="60" w:type="dxa"/>
            </w:tcMar>
          </w:tcPr>
          <w:p w:rsidR="00EC3E42" w:rsidRPr="00EC3E42" w:rsidRDefault="00EC3E42" w:rsidP="00EC3E42">
            <w:pPr>
              <w:adjustRightInd w:val="0"/>
              <w:spacing w:after="0" w:line="240" w:lineRule="auto"/>
              <w:jc w:val="left"/>
              <w:rPr>
                <w:rFonts w:eastAsia="Calibri"/>
                <w:color w:val="000000"/>
              </w:rPr>
            </w:pPr>
            <w:r w:rsidRPr="00EC3E42">
              <w:rPr>
                <w:rFonts w:eastAsia="Calibri"/>
                <w:color w:val="000000"/>
              </w:rPr>
              <w:t>Number of sex partners</w:t>
            </w:r>
            <w:r w:rsidRPr="00EC3E42">
              <w:rPr>
                <w:rFonts w:eastAsia="Calibri"/>
                <w:color w:val="000000"/>
                <w:vertAlign w:val="superscript"/>
              </w:rPr>
              <w:t>f</w:t>
            </w:r>
          </w:p>
        </w:tc>
        <w:tc>
          <w:tcPr>
            <w:tcW w:w="927"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p>
        </w:tc>
        <w:tc>
          <w:tcPr>
            <w:tcW w:w="1083"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p>
        </w:tc>
        <w:tc>
          <w:tcPr>
            <w:tcW w:w="825"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0.41</w:t>
            </w:r>
          </w:p>
        </w:tc>
      </w:tr>
      <w:tr w:rsidR="00EC3E42" w:rsidRPr="00EC3E42" w:rsidTr="00C0197C">
        <w:trPr>
          <w:cantSplit/>
          <w:jc w:val="center"/>
        </w:trPr>
        <w:tc>
          <w:tcPr>
            <w:tcW w:w="2166" w:type="pct"/>
            <w:shd w:val="clear" w:color="auto" w:fill="FFFFFF"/>
            <w:tcMar>
              <w:left w:w="115" w:type="dxa"/>
              <w:right w:w="60" w:type="dxa"/>
            </w:tcMar>
          </w:tcPr>
          <w:p w:rsidR="00EC3E42" w:rsidRPr="00EC3E42" w:rsidRDefault="00EC3E42" w:rsidP="00EC3E42">
            <w:pPr>
              <w:adjustRightInd w:val="0"/>
              <w:spacing w:after="0" w:line="240" w:lineRule="auto"/>
              <w:ind w:left="270"/>
              <w:jc w:val="left"/>
              <w:rPr>
                <w:rFonts w:eastAsia="Calibri"/>
                <w:color w:val="000000"/>
              </w:rPr>
            </w:pPr>
            <w:r w:rsidRPr="00EC3E42">
              <w:rPr>
                <w:rFonts w:eastAsia="Calibri"/>
                <w:color w:val="000000"/>
              </w:rPr>
              <w:t>0-1</w:t>
            </w:r>
          </w:p>
        </w:tc>
        <w:tc>
          <w:tcPr>
            <w:tcW w:w="927"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10/204 (4.9%)</w:t>
            </w:r>
          </w:p>
        </w:tc>
        <w:tc>
          <w:tcPr>
            <w:tcW w:w="1083"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ref</w:t>
            </w:r>
          </w:p>
        </w:tc>
        <w:tc>
          <w:tcPr>
            <w:tcW w:w="825"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p>
        </w:tc>
      </w:tr>
      <w:tr w:rsidR="00EC3E42" w:rsidRPr="00EC3E42" w:rsidTr="00C0197C">
        <w:trPr>
          <w:cantSplit/>
          <w:jc w:val="center"/>
        </w:trPr>
        <w:tc>
          <w:tcPr>
            <w:tcW w:w="2166" w:type="pct"/>
            <w:shd w:val="clear" w:color="auto" w:fill="FFFFFF"/>
            <w:tcMar>
              <w:left w:w="115" w:type="dxa"/>
              <w:right w:w="60" w:type="dxa"/>
            </w:tcMar>
          </w:tcPr>
          <w:p w:rsidR="00EC3E42" w:rsidRPr="00EC3E42" w:rsidRDefault="00EC3E42" w:rsidP="00EC3E42">
            <w:pPr>
              <w:adjustRightInd w:val="0"/>
              <w:spacing w:after="0" w:line="240" w:lineRule="auto"/>
              <w:ind w:left="270"/>
              <w:jc w:val="left"/>
              <w:rPr>
                <w:rFonts w:eastAsia="Calibri"/>
                <w:color w:val="000000"/>
              </w:rPr>
            </w:pPr>
            <w:r w:rsidRPr="00EC3E42">
              <w:rPr>
                <w:rFonts w:eastAsia="Calibri"/>
                <w:color w:val="000000"/>
              </w:rPr>
              <w:t>&gt;1</w:t>
            </w:r>
          </w:p>
        </w:tc>
        <w:tc>
          <w:tcPr>
            <w:tcW w:w="927"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0/7 (0.0%)</w:t>
            </w:r>
          </w:p>
        </w:tc>
        <w:tc>
          <w:tcPr>
            <w:tcW w:w="1083"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r w:rsidRPr="00EC3E42">
              <w:rPr>
                <w:rFonts w:eastAsia="Calibri"/>
                <w:color w:val="000000"/>
              </w:rPr>
              <w:t>-</w:t>
            </w:r>
          </w:p>
        </w:tc>
        <w:tc>
          <w:tcPr>
            <w:tcW w:w="825" w:type="pct"/>
            <w:shd w:val="clear" w:color="auto" w:fill="FFFFFF"/>
            <w:tcMar>
              <w:left w:w="60" w:type="dxa"/>
              <w:right w:w="60" w:type="dxa"/>
            </w:tcMar>
          </w:tcPr>
          <w:p w:rsidR="00EC3E42" w:rsidRPr="00EC3E42" w:rsidRDefault="00EC3E42" w:rsidP="00EC3E42">
            <w:pPr>
              <w:adjustRightInd w:val="0"/>
              <w:spacing w:after="0" w:line="240" w:lineRule="auto"/>
              <w:jc w:val="center"/>
              <w:rPr>
                <w:rFonts w:eastAsia="Calibri"/>
                <w:color w:val="000000"/>
              </w:rPr>
            </w:pPr>
          </w:p>
        </w:tc>
      </w:tr>
    </w:tbl>
    <w:p w:rsidR="00EC3E42" w:rsidRDefault="00EC3E42" w:rsidP="00EC3E42">
      <w:pPr>
        <w:spacing w:line="240" w:lineRule="auto"/>
        <w:rPr>
          <w:b/>
        </w:rPr>
      </w:pPr>
    </w:p>
    <w:p w:rsidR="00EC3E42" w:rsidRDefault="00EC3E42">
      <w:pPr>
        <w:rPr>
          <w:rFonts w:eastAsia="Calibri"/>
          <w:b/>
        </w:rPr>
      </w:pPr>
      <w:r>
        <w:rPr>
          <w:rFonts w:eastAsia="Calibri"/>
          <w:b/>
        </w:rPr>
        <w:br w:type="page"/>
      </w:r>
    </w:p>
    <w:p w:rsidR="00EC3E42" w:rsidRPr="00EC3E42" w:rsidRDefault="00155666" w:rsidP="00EC3E42">
      <w:pPr>
        <w:spacing w:after="0" w:line="240" w:lineRule="auto"/>
        <w:jc w:val="left"/>
        <w:rPr>
          <w:rFonts w:eastAsia="Calibri"/>
          <w:b/>
        </w:rPr>
      </w:pPr>
      <w:r>
        <w:rPr>
          <w:rFonts w:eastAsia="Calibri"/>
          <w:b/>
        </w:rPr>
        <w:lastRenderedPageBreak/>
        <w:t>F</w:t>
      </w:r>
      <w:r w:rsidRPr="00EC3E42">
        <w:rPr>
          <w:rFonts w:eastAsia="Calibri"/>
          <w:b/>
        </w:rPr>
        <w:t>ootnotes</w:t>
      </w:r>
      <w:r>
        <w:rPr>
          <w:rFonts w:eastAsia="Calibri"/>
          <w:b/>
        </w:rPr>
        <w:t xml:space="preserve"> </w:t>
      </w:r>
    </w:p>
    <w:p w:rsidR="00EC3E42" w:rsidRPr="00EC3E42" w:rsidRDefault="00EC3E42" w:rsidP="00EC3E42">
      <w:pPr>
        <w:spacing w:after="0" w:line="240" w:lineRule="auto"/>
        <w:jc w:val="left"/>
        <w:rPr>
          <w:rFonts w:eastAsia="Calibri"/>
          <w:b/>
        </w:rPr>
      </w:pPr>
    </w:p>
    <w:p w:rsidR="00EC3E42" w:rsidRPr="00EC3E42" w:rsidRDefault="00EC3E42" w:rsidP="00EC3E42">
      <w:pPr>
        <w:spacing w:after="0" w:line="240" w:lineRule="auto"/>
        <w:rPr>
          <w:rFonts w:eastAsia="Calibri"/>
        </w:rPr>
      </w:pPr>
      <w:r w:rsidRPr="00EC3E42">
        <w:rPr>
          <w:rFonts w:eastAsia="Calibri"/>
          <w:u w:val="single"/>
        </w:rPr>
        <w:t>Abbreviations</w:t>
      </w:r>
      <w:r w:rsidRPr="00EC3E42">
        <w:rPr>
          <w:rFonts w:eastAsia="Calibri"/>
        </w:rPr>
        <w:t>: ART: antiretroviral therapy; N: number; OR: odds ratio; CI: confidence interval; ref: reference group; VL: viral load; EFV: efavirenz; 3TC: lamivudine; ZDV: zidovudine.</w:t>
      </w:r>
    </w:p>
    <w:p w:rsidR="00EC3E42" w:rsidRPr="00EC3E42" w:rsidRDefault="00EC3E42" w:rsidP="00EC3E42">
      <w:pPr>
        <w:spacing w:after="0" w:line="240" w:lineRule="auto"/>
        <w:jc w:val="left"/>
        <w:rPr>
          <w:rFonts w:eastAsia="Calibri"/>
        </w:rPr>
      </w:pPr>
    </w:p>
    <w:p w:rsidR="00EC3E42" w:rsidRPr="00EC3E42" w:rsidRDefault="00EC3E42" w:rsidP="00EC3E42">
      <w:pPr>
        <w:spacing w:after="0" w:line="240" w:lineRule="auto"/>
        <w:jc w:val="left"/>
        <w:rPr>
          <w:rFonts w:eastAsia="Calibri"/>
        </w:rPr>
      </w:pPr>
      <w:r w:rsidRPr="00EC3E42">
        <w:rPr>
          <w:rFonts w:eastAsia="Calibri"/>
        </w:rPr>
        <w:t xml:space="preserve">Odds ratios (OR) were calculated using logistic regression. An OR &gt;1 indicates a higher risk of resistance. The OR could not be estimated if any cell was 0 for the categorical variable. </w:t>
      </w:r>
    </w:p>
    <w:p w:rsidR="00EC3E42" w:rsidRPr="00EC3E42" w:rsidRDefault="00EC3E42" w:rsidP="00EC3E42">
      <w:pPr>
        <w:spacing w:after="0" w:line="240" w:lineRule="auto"/>
        <w:jc w:val="left"/>
        <w:rPr>
          <w:rFonts w:eastAsia="Calibri"/>
        </w:rPr>
      </w:pPr>
    </w:p>
    <w:p w:rsidR="00EC3E42" w:rsidRPr="00EC3E42" w:rsidRDefault="00EC3E42" w:rsidP="00EC3E42">
      <w:pPr>
        <w:autoSpaceDE w:val="0"/>
        <w:autoSpaceDN w:val="0"/>
        <w:adjustRightInd w:val="0"/>
        <w:spacing w:after="0" w:line="240" w:lineRule="auto"/>
        <w:ind w:left="360" w:hanging="360"/>
        <w:jc w:val="left"/>
        <w:rPr>
          <w:rFonts w:eastAsia="Calibri"/>
          <w:color w:val="000000"/>
        </w:rPr>
      </w:pPr>
      <w:r w:rsidRPr="00EC3E42">
        <w:rPr>
          <w:rFonts w:eastAsia="Calibri"/>
          <w:color w:val="000000"/>
          <w:vertAlign w:val="superscript"/>
        </w:rPr>
        <w:t xml:space="preserve">a  </w:t>
      </w:r>
      <w:r w:rsidRPr="00EC3E42">
        <w:rPr>
          <w:rFonts w:eastAsia="Calibri"/>
          <w:color w:val="000000"/>
        </w:rPr>
        <w:t>Study group include participants in the early ART arm (ART initiated at enrollment), delayed ART arm (ART initiated before May, 2011), and delayed ART arm (ART initiated after May, 2011).</w:t>
      </w:r>
    </w:p>
    <w:p w:rsidR="00EC3E42" w:rsidRPr="00EC3E42" w:rsidRDefault="00EC3E42" w:rsidP="00EC3E42">
      <w:pPr>
        <w:autoSpaceDE w:val="0"/>
        <w:autoSpaceDN w:val="0"/>
        <w:adjustRightInd w:val="0"/>
        <w:spacing w:after="0" w:line="240" w:lineRule="auto"/>
        <w:ind w:left="360" w:hanging="360"/>
        <w:jc w:val="left"/>
        <w:rPr>
          <w:rFonts w:eastAsia="Calibri"/>
          <w:color w:val="000000"/>
        </w:rPr>
      </w:pPr>
      <w:r w:rsidRPr="00EC3E42">
        <w:rPr>
          <w:rFonts w:eastAsia="Calibri"/>
          <w:color w:val="000000"/>
          <w:vertAlign w:val="superscript"/>
        </w:rPr>
        <w:t xml:space="preserve">b </w:t>
      </w:r>
      <w:r w:rsidRPr="00EC3E42">
        <w:rPr>
          <w:rFonts w:eastAsia="Calibri"/>
          <w:color w:val="000000"/>
        </w:rPr>
        <w:t>Per CD4 cell count increment of 100 cells/mm</w:t>
      </w:r>
      <w:r w:rsidRPr="00EC3E42">
        <w:rPr>
          <w:rFonts w:eastAsia="Calibri"/>
          <w:color w:val="000000"/>
          <w:vertAlign w:val="superscript"/>
        </w:rPr>
        <w:t>3</w:t>
      </w:r>
      <w:r w:rsidRPr="00EC3E42">
        <w:rPr>
          <w:rFonts w:eastAsia="Calibri"/>
          <w:color w:val="000000"/>
        </w:rPr>
        <w:t>.</w:t>
      </w:r>
    </w:p>
    <w:p w:rsidR="00EC3E42" w:rsidRPr="00EC3E42" w:rsidRDefault="00EC3E42" w:rsidP="00EC3E42">
      <w:pPr>
        <w:autoSpaceDE w:val="0"/>
        <w:autoSpaceDN w:val="0"/>
        <w:adjustRightInd w:val="0"/>
        <w:spacing w:after="0" w:line="240" w:lineRule="auto"/>
        <w:ind w:left="360" w:hanging="360"/>
        <w:jc w:val="left"/>
        <w:rPr>
          <w:rFonts w:eastAsia="Calibri"/>
          <w:color w:val="000000"/>
        </w:rPr>
      </w:pPr>
      <w:r w:rsidRPr="00EC3E42">
        <w:rPr>
          <w:rFonts w:eastAsia="Calibri"/>
          <w:color w:val="000000"/>
          <w:vertAlign w:val="superscript"/>
        </w:rPr>
        <w:t>c</w:t>
      </w:r>
      <w:r w:rsidRPr="00EC3E42">
        <w:rPr>
          <w:rFonts w:eastAsia="Calibri"/>
          <w:color w:val="000000"/>
        </w:rPr>
        <w:t xml:space="preserve"> Per viral load increment of 1 log</w:t>
      </w:r>
      <w:r w:rsidRPr="00EC3E42">
        <w:rPr>
          <w:rFonts w:eastAsia="Calibri"/>
          <w:color w:val="000000"/>
          <w:vertAlign w:val="subscript"/>
        </w:rPr>
        <w:t>10</w:t>
      </w:r>
      <w:r w:rsidRPr="00EC3E42">
        <w:rPr>
          <w:rFonts w:eastAsia="Calibri"/>
          <w:color w:val="000000"/>
        </w:rPr>
        <w:t xml:space="preserve"> HIV RNA copies/mL.</w:t>
      </w:r>
    </w:p>
    <w:p w:rsidR="00EC3E42" w:rsidRPr="00EC3E42" w:rsidRDefault="00EC3E42" w:rsidP="00EC3E42">
      <w:pPr>
        <w:autoSpaceDE w:val="0"/>
        <w:autoSpaceDN w:val="0"/>
        <w:adjustRightInd w:val="0"/>
        <w:spacing w:after="0" w:line="240" w:lineRule="auto"/>
        <w:ind w:left="360" w:hanging="360"/>
        <w:jc w:val="left"/>
        <w:rPr>
          <w:rFonts w:eastAsia="Calibri"/>
          <w:color w:val="000000"/>
        </w:rPr>
      </w:pPr>
      <w:r w:rsidRPr="00EC3E42">
        <w:rPr>
          <w:rFonts w:eastAsia="Calibri"/>
          <w:color w:val="000000"/>
          <w:vertAlign w:val="superscript"/>
        </w:rPr>
        <w:t xml:space="preserve">d </w:t>
      </w:r>
      <w:r w:rsidRPr="00EC3E42">
        <w:rPr>
          <w:rFonts w:eastAsia="Calibri"/>
          <w:color w:val="000000"/>
        </w:rPr>
        <w:t>Per 1 year increment.</w:t>
      </w:r>
    </w:p>
    <w:p w:rsidR="00EC3E42" w:rsidRPr="00EC3E42" w:rsidRDefault="00EC3E42" w:rsidP="00EC3E42">
      <w:pPr>
        <w:autoSpaceDE w:val="0"/>
        <w:autoSpaceDN w:val="0"/>
        <w:adjustRightInd w:val="0"/>
        <w:spacing w:after="0" w:line="240" w:lineRule="auto"/>
        <w:ind w:left="360" w:hanging="360"/>
        <w:jc w:val="left"/>
        <w:rPr>
          <w:rFonts w:eastAsia="Calibri"/>
          <w:color w:val="212121"/>
        </w:rPr>
      </w:pPr>
      <w:r w:rsidRPr="00EC3E42">
        <w:rPr>
          <w:rFonts w:eastAsia="Calibri"/>
          <w:color w:val="000000"/>
          <w:vertAlign w:val="superscript"/>
        </w:rPr>
        <w:t>e</w:t>
      </w:r>
      <w:r w:rsidRPr="00EC3E42">
        <w:rPr>
          <w:rFonts w:eastAsia="Calibri"/>
          <w:color w:val="212121"/>
        </w:rPr>
        <w:t xml:space="preserve"> Among the 211 participants who failed ART, 158 (74.9%) were taking EFV/3TC/ZDV</w:t>
      </w:r>
      <w:r w:rsidRPr="00EC3E42">
        <w:rPr>
          <w:rFonts w:eastAsia="Calibri"/>
        </w:rPr>
        <w:t xml:space="preserve">, 44 (20.9%) were taking protease inhibitor-based regimens and nine (4.3%) were taking a different EFV-based regimen. </w:t>
      </w:r>
    </w:p>
    <w:p w:rsidR="00EC3E42" w:rsidRPr="00EC3E42" w:rsidRDefault="00EC3E42" w:rsidP="00EC3E42">
      <w:pPr>
        <w:autoSpaceDE w:val="0"/>
        <w:autoSpaceDN w:val="0"/>
        <w:adjustRightInd w:val="0"/>
        <w:spacing w:after="0" w:line="240" w:lineRule="auto"/>
        <w:ind w:left="360" w:hanging="360"/>
        <w:jc w:val="left"/>
        <w:rPr>
          <w:rFonts w:eastAsia="Calibri"/>
          <w:b/>
        </w:rPr>
      </w:pPr>
      <w:r w:rsidRPr="00EC3E42">
        <w:rPr>
          <w:rFonts w:eastAsia="Calibri"/>
          <w:color w:val="000000"/>
          <w:vertAlign w:val="superscript"/>
        </w:rPr>
        <w:t xml:space="preserve">f </w:t>
      </w:r>
      <w:r w:rsidRPr="00EC3E42">
        <w:rPr>
          <w:rFonts w:eastAsia="Calibri"/>
        </w:rPr>
        <w:t>Number of sex partners in the 3 months prior to ART initiation.</w:t>
      </w:r>
    </w:p>
    <w:p w:rsidR="00EC3E42" w:rsidRDefault="00EC3E42" w:rsidP="00EC3E42">
      <w:pPr>
        <w:spacing w:line="240" w:lineRule="auto"/>
        <w:rPr>
          <w:b/>
        </w:rPr>
      </w:pPr>
    </w:p>
    <w:p w:rsidR="0037791E" w:rsidRDefault="0037791E" w:rsidP="00EC3E42">
      <w:pPr>
        <w:spacing w:line="240" w:lineRule="auto"/>
        <w:rPr>
          <w:b/>
        </w:rPr>
      </w:pPr>
    </w:p>
    <w:p w:rsidR="0037791E" w:rsidRDefault="0037791E">
      <w:pPr>
        <w:rPr>
          <w:b/>
        </w:rPr>
      </w:pPr>
      <w:r>
        <w:rPr>
          <w:b/>
        </w:rPr>
        <w:br w:type="page"/>
      </w:r>
    </w:p>
    <w:p w:rsidR="0037791E" w:rsidRPr="005A5FE7" w:rsidRDefault="0037791E" w:rsidP="0037791E">
      <w:pPr>
        <w:spacing w:line="240" w:lineRule="auto"/>
        <w:rPr>
          <w:b/>
          <w:u w:val="single"/>
        </w:rPr>
      </w:pPr>
      <w:r w:rsidRPr="00F53D9A">
        <w:rPr>
          <w:b/>
          <w:u w:val="single"/>
        </w:rPr>
        <w:lastRenderedPageBreak/>
        <w:t>Supplemental Digital Content 2</w:t>
      </w:r>
    </w:p>
    <w:p w:rsidR="0037791E" w:rsidRPr="007647F4" w:rsidRDefault="0037791E" w:rsidP="0037791E">
      <w:pPr>
        <w:spacing w:after="0" w:line="240" w:lineRule="auto"/>
        <w:ind w:firstLine="720"/>
        <w:rPr>
          <w:rFonts w:eastAsia="Calibri"/>
        </w:rPr>
      </w:pPr>
      <w:r w:rsidRPr="007647F4">
        <w:rPr>
          <w:rFonts w:eastAsia="Calibri"/>
        </w:rPr>
        <w:t xml:space="preserve">In HPTN 052, for participants with virologic failure, the follow-up period between ART initiation and ART failure was different in the two study arms (early ART arm: 177 person-years; delayed ART arm: 83 person-years). Additional analyses were performed to assess whether this biased the study findings. </w:t>
      </w:r>
    </w:p>
    <w:p w:rsidR="0037791E" w:rsidRPr="007647F4" w:rsidRDefault="0037791E" w:rsidP="0037791E">
      <w:pPr>
        <w:spacing w:after="0" w:line="240" w:lineRule="auto"/>
        <w:ind w:firstLine="720"/>
        <w:rPr>
          <w:rFonts w:eastAsia="Calibri"/>
        </w:rPr>
      </w:pPr>
      <w:r w:rsidRPr="007647F4">
        <w:rPr>
          <w:rFonts w:eastAsia="Calibri"/>
        </w:rPr>
        <w:t>First, data were stratified by study group (early ART arm; delayed ART arm with ART initiation before May 2011; delayed ART arm, with ART initiation after May 2011), recognizing that the two study arms had different sampling frames. An interaction term was included in the multivariate model, to explore potential interaction between study group and the following factors: CD4 cell count, HIV viral load, and ART regimen. As shown in the table below, none of the interaction terms was significant, indicating that there was no interaction between study group and any of the three variables associated wi</w:t>
      </w:r>
      <w:r>
        <w:rPr>
          <w:rFonts w:eastAsia="Calibri"/>
        </w:rPr>
        <w:t>th resistance at the time of</w:t>
      </w:r>
      <w:r w:rsidRPr="007647F4">
        <w:rPr>
          <w:rFonts w:eastAsia="Calibri"/>
        </w:rPr>
        <w:t xml:space="preserve"> failure. </w:t>
      </w:r>
    </w:p>
    <w:p w:rsidR="0037791E" w:rsidRPr="007647F4" w:rsidRDefault="0037791E" w:rsidP="0037791E">
      <w:pPr>
        <w:spacing w:after="0" w:line="276" w:lineRule="auto"/>
        <w:ind w:firstLine="720"/>
        <w:jc w:val="left"/>
        <w:rPr>
          <w:rFonts w:eastAsia="Calibri"/>
          <w:color w:val="000000"/>
        </w:rPr>
      </w:pPr>
    </w:p>
    <w:p w:rsidR="0037791E" w:rsidRPr="005C3893" w:rsidRDefault="0037791E" w:rsidP="0037791E">
      <w:pPr>
        <w:spacing w:after="0" w:line="240" w:lineRule="auto"/>
        <w:jc w:val="left"/>
        <w:rPr>
          <w:rFonts w:eastAsia="Calibri"/>
          <w:b/>
          <w:color w:val="000000"/>
        </w:rPr>
      </w:pPr>
      <w:r w:rsidRPr="005C3893">
        <w:rPr>
          <w:rFonts w:eastAsia="Calibri"/>
          <w:b/>
          <w:color w:val="000000"/>
        </w:rPr>
        <w:t>Results obtained with a multivariate model that included stratification by study group.</w:t>
      </w:r>
    </w:p>
    <w:tbl>
      <w:tblPr>
        <w:tblW w:w="9540" w:type="dxa"/>
        <w:tblInd w:w="-10" w:type="dxa"/>
        <w:tblCellMar>
          <w:left w:w="0" w:type="dxa"/>
          <w:right w:w="0" w:type="dxa"/>
        </w:tblCellMar>
        <w:tblLook w:val="04A0" w:firstRow="1" w:lastRow="0" w:firstColumn="1" w:lastColumn="0" w:noHBand="0" w:noVBand="1"/>
      </w:tblPr>
      <w:tblGrid>
        <w:gridCol w:w="2250"/>
        <w:gridCol w:w="5310"/>
        <w:gridCol w:w="1980"/>
      </w:tblGrid>
      <w:tr w:rsidR="0037791E" w:rsidRPr="007647F4" w:rsidTr="00893F53">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7791E" w:rsidRPr="007647F4" w:rsidRDefault="0037791E" w:rsidP="00893F53">
            <w:pPr>
              <w:spacing w:after="0" w:line="240" w:lineRule="auto"/>
              <w:jc w:val="center"/>
              <w:rPr>
                <w:rFonts w:eastAsia="Times New Roman"/>
                <w:color w:val="000000"/>
              </w:rPr>
            </w:pPr>
            <w:r w:rsidRPr="007647F4">
              <w:rPr>
                <w:rFonts w:eastAsia="Times New Roman"/>
                <w:color w:val="000000"/>
              </w:rPr>
              <w:t>Stratification Model</w:t>
            </w:r>
          </w:p>
        </w:tc>
        <w:tc>
          <w:tcPr>
            <w:tcW w:w="53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791E" w:rsidRPr="007647F4" w:rsidRDefault="0037791E" w:rsidP="00893F53">
            <w:pPr>
              <w:spacing w:after="0" w:line="240" w:lineRule="auto"/>
              <w:jc w:val="center"/>
              <w:rPr>
                <w:rFonts w:eastAsia="Times New Roman"/>
                <w:color w:val="000000"/>
              </w:rPr>
            </w:pPr>
            <w:r w:rsidRPr="007647F4">
              <w:rPr>
                <w:rFonts w:eastAsia="Times New Roman"/>
                <w:color w:val="000000"/>
              </w:rPr>
              <w:t>Variables analyzed</w:t>
            </w:r>
            <w:r w:rsidRPr="007647F4">
              <w:rPr>
                <w:rFonts w:eastAsia="Times New Roman"/>
                <w:color w:val="000000"/>
                <w:vertAlign w:val="superscript"/>
              </w:rPr>
              <w:t>a</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791E" w:rsidRPr="007647F4" w:rsidRDefault="0037791E" w:rsidP="00893F53">
            <w:pPr>
              <w:spacing w:after="0" w:line="240" w:lineRule="auto"/>
              <w:jc w:val="center"/>
              <w:rPr>
                <w:rFonts w:eastAsia="Times New Roman"/>
                <w:color w:val="000000"/>
              </w:rPr>
            </w:pPr>
            <w:r w:rsidRPr="007647F4">
              <w:rPr>
                <w:rFonts w:eastAsia="Times New Roman"/>
                <w:color w:val="000000"/>
              </w:rPr>
              <w:t>Global p value</w:t>
            </w:r>
          </w:p>
        </w:tc>
      </w:tr>
      <w:tr w:rsidR="0037791E" w:rsidRPr="007647F4" w:rsidTr="00893F53">
        <w:tc>
          <w:tcPr>
            <w:tcW w:w="2250" w:type="dxa"/>
            <w:tcBorders>
              <w:top w:val="single" w:sz="8" w:space="0" w:color="auto"/>
              <w:left w:val="single" w:sz="8" w:space="0" w:color="auto"/>
              <w:right w:val="single" w:sz="8" w:space="0" w:color="auto"/>
            </w:tcBorders>
            <w:tcMar>
              <w:top w:w="0" w:type="dxa"/>
              <w:left w:w="108" w:type="dxa"/>
              <w:bottom w:w="0" w:type="dxa"/>
              <w:right w:w="108" w:type="dxa"/>
            </w:tcMar>
            <w:hideMark/>
          </w:tcPr>
          <w:p w:rsidR="0037791E" w:rsidRPr="007647F4" w:rsidRDefault="0037791E" w:rsidP="00893F53">
            <w:pPr>
              <w:spacing w:after="0" w:line="240" w:lineRule="auto"/>
              <w:jc w:val="left"/>
              <w:rPr>
                <w:rFonts w:eastAsia="Times New Roman"/>
                <w:color w:val="000000"/>
              </w:rPr>
            </w:pPr>
            <w:r w:rsidRPr="007647F4">
              <w:rPr>
                <w:rFonts w:eastAsia="Times New Roman"/>
                <w:color w:val="000000"/>
              </w:rPr>
              <w:t> No interaction terms</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rsidR="0037791E" w:rsidRPr="007647F4" w:rsidRDefault="0037791E" w:rsidP="00893F53">
            <w:pPr>
              <w:spacing w:after="0" w:line="240" w:lineRule="auto"/>
              <w:jc w:val="left"/>
              <w:rPr>
                <w:rFonts w:eastAsia="Times New Roman"/>
                <w:color w:val="000000"/>
              </w:rPr>
            </w:pPr>
            <w:r w:rsidRPr="007647F4">
              <w:rPr>
                <w:rFonts w:eastAsia="Times New Roman"/>
                <w:color w:val="000000"/>
              </w:rPr>
              <w:t>CD4 cell count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37791E" w:rsidRPr="007647F4" w:rsidRDefault="0037791E" w:rsidP="00893F53">
            <w:pPr>
              <w:spacing w:after="0" w:line="240" w:lineRule="auto"/>
              <w:jc w:val="center"/>
              <w:rPr>
                <w:rFonts w:eastAsia="Times New Roman"/>
                <w:color w:val="000000"/>
              </w:rPr>
            </w:pPr>
            <w:r w:rsidRPr="007647F4">
              <w:rPr>
                <w:rFonts w:eastAsia="Times New Roman"/>
                <w:color w:val="000000"/>
              </w:rPr>
              <w:t>0.50</w:t>
            </w:r>
          </w:p>
        </w:tc>
      </w:tr>
      <w:tr w:rsidR="0037791E" w:rsidRPr="007647F4" w:rsidTr="00893F53">
        <w:tc>
          <w:tcPr>
            <w:tcW w:w="2250" w:type="dxa"/>
            <w:tcBorders>
              <w:left w:val="single" w:sz="8" w:space="0" w:color="auto"/>
              <w:right w:val="single" w:sz="8" w:space="0" w:color="auto"/>
            </w:tcBorders>
            <w:tcMar>
              <w:top w:w="0" w:type="dxa"/>
              <w:left w:w="108" w:type="dxa"/>
              <w:bottom w:w="0" w:type="dxa"/>
              <w:right w:w="108" w:type="dxa"/>
            </w:tcMar>
            <w:hideMark/>
          </w:tcPr>
          <w:p w:rsidR="0037791E" w:rsidRPr="007647F4" w:rsidRDefault="0037791E" w:rsidP="00893F53">
            <w:pPr>
              <w:spacing w:after="0" w:line="240" w:lineRule="auto"/>
              <w:jc w:val="left"/>
              <w:rPr>
                <w:rFonts w:eastAsia="Times New Roman"/>
                <w:color w:val="000000"/>
              </w:rPr>
            </w:pPr>
            <w:r w:rsidRPr="007647F4">
              <w:rPr>
                <w:rFonts w:eastAsia="Times New Roman"/>
                <w:color w:val="000000"/>
              </w:rPr>
              <w:t> </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rsidR="0037791E" w:rsidRPr="007647F4" w:rsidRDefault="0037791E" w:rsidP="00893F53">
            <w:pPr>
              <w:spacing w:after="0" w:line="240" w:lineRule="auto"/>
              <w:jc w:val="left"/>
              <w:rPr>
                <w:rFonts w:eastAsia="Times New Roman"/>
                <w:color w:val="000000"/>
              </w:rPr>
            </w:pPr>
            <w:r w:rsidRPr="007647F4">
              <w:rPr>
                <w:rFonts w:eastAsia="Times New Roman"/>
                <w:color w:val="000000"/>
              </w:rPr>
              <w:t>HIV viral load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37791E" w:rsidRPr="007647F4" w:rsidRDefault="0037791E" w:rsidP="00893F53">
            <w:pPr>
              <w:spacing w:after="0" w:line="240" w:lineRule="auto"/>
              <w:jc w:val="center"/>
              <w:rPr>
                <w:rFonts w:eastAsia="Times New Roman"/>
                <w:b/>
                <w:color w:val="000000"/>
              </w:rPr>
            </w:pPr>
            <w:r w:rsidRPr="007647F4">
              <w:rPr>
                <w:rFonts w:eastAsia="Times New Roman"/>
                <w:b/>
                <w:color w:val="000000"/>
              </w:rPr>
              <w:t>0.0003</w:t>
            </w:r>
          </w:p>
        </w:tc>
      </w:tr>
      <w:tr w:rsidR="0037791E" w:rsidRPr="007647F4" w:rsidTr="00893F53">
        <w:tc>
          <w:tcPr>
            <w:tcW w:w="2250"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7791E" w:rsidRPr="007647F4" w:rsidRDefault="0037791E" w:rsidP="00893F53">
            <w:pPr>
              <w:spacing w:after="0" w:line="240" w:lineRule="auto"/>
              <w:jc w:val="left"/>
              <w:rPr>
                <w:rFonts w:eastAsia="Times New Roman"/>
                <w:color w:val="000000"/>
              </w:rPr>
            </w:pP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rsidR="0037791E" w:rsidRPr="007647F4" w:rsidRDefault="0037791E" w:rsidP="00893F53">
            <w:pPr>
              <w:spacing w:after="0" w:line="240" w:lineRule="auto"/>
              <w:jc w:val="left"/>
              <w:rPr>
                <w:rFonts w:eastAsia="Times New Roman"/>
                <w:color w:val="000000"/>
              </w:rPr>
            </w:pPr>
            <w:r w:rsidRPr="007647F4">
              <w:rPr>
                <w:rFonts w:eastAsia="Times New Roman"/>
                <w:color w:val="000000"/>
              </w:rPr>
              <w:t>ART regimen</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37791E" w:rsidRPr="007647F4" w:rsidRDefault="0037791E" w:rsidP="00893F53">
            <w:pPr>
              <w:spacing w:after="0" w:line="240" w:lineRule="auto"/>
              <w:jc w:val="center"/>
              <w:rPr>
                <w:rFonts w:eastAsia="Times New Roman"/>
                <w:b/>
                <w:color w:val="000000"/>
              </w:rPr>
            </w:pPr>
            <w:r w:rsidRPr="007647F4">
              <w:rPr>
                <w:rFonts w:eastAsia="Times New Roman"/>
                <w:b/>
                <w:color w:val="000000"/>
              </w:rPr>
              <w:t>0.021</w:t>
            </w:r>
          </w:p>
        </w:tc>
      </w:tr>
      <w:tr w:rsidR="0037791E" w:rsidRPr="007647F4" w:rsidTr="00893F53">
        <w:tc>
          <w:tcPr>
            <w:tcW w:w="2250" w:type="dxa"/>
            <w:tcBorders>
              <w:top w:val="single" w:sz="8" w:space="0" w:color="auto"/>
              <w:left w:val="single" w:sz="8" w:space="0" w:color="auto"/>
              <w:right w:val="single" w:sz="8" w:space="0" w:color="auto"/>
            </w:tcBorders>
            <w:tcMar>
              <w:top w:w="0" w:type="dxa"/>
              <w:left w:w="108" w:type="dxa"/>
              <w:bottom w:w="0" w:type="dxa"/>
              <w:right w:w="108" w:type="dxa"/>
            </w:tcMar>
            <w:hideMark/>
          </w:tcPr>
          <w:p w:rsidR="0037791E" w:rsidRPr="007647F4" w:rsidRDefault="0037791E" w:rsidP="00893F53">
            <w:pPr>
              <w:spacing w:after="0" w:line="240" w:lineRule="auto"/>
              <w:jc w:val="left"/>
              <w:rPr>
                <w:rFonts w:eastAsia="Times New Roman"/>
                <w:color w:val="000000"/>
              </w:rPr>
            </w:pPr>
            <w:r w:rsidRPr="007647F4">
              <w:rPr>
                <w:rFonts w:eastAsia="Times New Roman"/>
                <w:color w:val="000000"/>
              </w:rPr>
              <w:t> Interaction terms</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rsidR="0037791E" w:rsidRPr="007647F4" w:rsidRDefault="0037791E" w:rsidP="00893F53">
            <w:pPr>
              <w:spacing w:after="0" w:line="240" w:lineRule="auto"/>
              <w:jc w:val="left"/>
              <w:rPr>
                <w:rFonts w:eastAsia="Times New Roman"/>
                <w:color w:val="000000"/>
              </w:rPr>
            </w:pPr>
            <w:r w:rsidRPr="007647F4">
              <w:rPr>
                <w:rFonts w:eastAsia="Times New Roman"/>
                <w:color w:val="000000"/>
              </w:rPr>
              <w:t>CD4 cell count * study group</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37791E" w:rsidRPr="007647F4" w:rsidRDefault="0037791E" w:rsidP="00893F53">
            <w:pPr>
              <w:spacing w:after="0" w:line="240" w:lineRule="auto"/>
              <w:jc w:val="center"/>
              <w:rPr>
                <w:rFonts w:eastAsia="Times New Roman"/>
                <w:color w:val="000000"/>
              </w:rPr>
            </w:pPr>
            <w:r w:rsidRPr="007647F4">
              <w:rPr>
                <w:rFonts w:eastAsia="Times New Roman"/>
                <w:color w:val="000000"/>
              </w:rPr>
              <w:t>1.00</w:t>
            </w:r>
          </w:p>
        </w:tc>
      </w:tr>
      <w:tr w:rsidR="0037791E" w:rsidRPr="007647F4" w:rsidTr="00893F53">
        <w:tc>
          <w:tcPr>
            <w:tcW w:w="2250" w:type="dxa"/>
            <w:tcBorders>
              <w:left w:val="single" w:sz="8" w:space="0" w:color="auto"/>
              <w:right w:val="single" w:sz="8" w:space="0" w:color="auto"/>
            </w:tcBorders>
            <w:tcMar>
              <w:top w:w="0" w:type="dxa"/>
              <w:left w:w="108" w:type="dxa"/>
              <w:bottom w:w="0" w:type="dxa"/>
              <w:right w:w="108" w:type="dxa"/>
            </w:tcMar>
            <w:hideMark/>
          </w:tcPr>
          <w:p w:rsidR="0037791E" w:rsidRPr="007647F4" w:rsidRDefault="0037791E" w:rsidP="00893F53">
            <w:pPr>
              <w:spacing w:after="0" w:line="240" w:lineRule="auto"/>
              <w:jc w:val="left"/>
              <w:rPr>
                <w:rFonts w:eastAsia="Times New Roman"/>
                <w:color w:val="000000"/>
              </w:rPr>
            </w:pP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rsidR="0037791E" w:rsidRPr="007647F4" w:rsidRDefault="0037791E" w:rsidP="00893F53">
            <w:pPr>
              <w:spacing w:after="0" w:line="240" w:lineRule="auto"/>
              <w:jc w:val="left"/>
              <w:rPr>
                <w:rFonts w:eastAsia="Times New Roman"/>
                <w:color w:val="000000"/>
              </w:rPr>
            </w:pPr>
            <w:r w:rsidRPr="007647F4">
              <w:rPr>
                <w:rFonts w:eastAsia="Times New Roman"/>
                <w:color w:val="000000"/>
              </w:rPr>
              <w:t>HIV viral load * study group</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37791E" w:rsidRPr="007647F4" w:rsidRDefault="0037791E" w:rsidP="00893F53">
            <w:pPr>
              <w:spacing w:after="0" w:line="240" w:lineRule="auto"/>
              <w:jc w:val="center"/>
              <w:rPr>
                <w:rFonts w:eastAsia="Times New Roman"/>
                <w:color w:val="000000"/>
              </w:rPr>
            </w:pPr>
            <w:r w:rsidRPr="007647F4">
              <w:rPr>
                <w:rFonts w:eastAsia="Times New Roman"/>
                <w:color w:val="000000"/>
              </w:rPr>
              <w:t>0.73</w:t>
            </w:r>
          </w:p>
        </w:tc>
      </w:tr>
      <w:tr w:rsidR="0037791E" w:rsidRPr="007647F4" w:rsidTr="00893F53">
        <w:tc>
          <w:tcPr>
            <w:tcW w:w="2250" w:type="dxa"/>
            <w:tcBorders>
              <w:left w:val="single" w:sz="8" w:space="0" w:color="auto"/>
              <w:bottom w:val="single" w:sz="4" w:space="0" w:color="auto"/>
              <w:right w:val="single" w:sz="8" w:space="0" w:color="auto"/>
            </w:tcBorders>
            <w:tcMar>
              <w:top w:w="0" w:type="dxa"/>
              <w:left w:w="108" w:type="dxa"/>
              <w:bottom w:w="0" w:type="dxa"/>
              <w:right w:w="108" w:type="dxa"/>
            </w:tcMar>
            <w:hideMark/>
          </w:tcPr>
          <w:p w:rsidR="0037791E" w:rsidRPr="007647F4" w:rsidRDefault="0037791E" w:rsidP="00893F53">
            <w:pPr>
              <w:spacing w:after="0" w:line="240" w:lineRule="auto"/>
              <w:jc w:val="left"/>
              <w:rPr>
                <w:rFonts w:eastAsia="Times New Roman"/>
                <w:color w:val="000000"/>
              </w:rPr>
            </w:pP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rsidR="0037791E" w:rsidRPr="007647F4" w:rsidRDefault="0037791E" w:rsidP="00893F53">
            <w:pPr>
              <w:spacing w:after="0" w:line="240" w:lineRule="auto"/>
              <w:jc w:val="left"/>
              <w:rPr>
                <w:rFonts w:eastAsia="Times New Roman"/>
                <w:color w:val="000000"/>
              </w:rPr>
            </w:pPr>
            <w:r w:rsidRPr="007647F4">
              <w:rPr>
                <w:rFonts w:eastAsia="Times New Roman"/>
                <w:color w:val="000000"/>
              </w:rPr>
              <w:t>ART regimen * study group</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37791E" w:rsidRPr="007647F4" w:rsidRDefault="0037791E" w:rsidP="00893F53">
            <w:pPr>
              <w:spacing w:after="0" w:line="240" w:lineRule="auto"/>
              <w:jc w:val="center"/>
              <w:rPr>
                <w:rFonts w:eastAsia="Times New Roman"/>
                <w:color w:val="000000"/>
              </w:rPr>
            </w:pPr>
            <w:r w:rsidRPr="007647F4">
              <w:rPr>
                <w:rFonts w:eastAsia="Times New Roman"/>
                <w:color w:val="000000"/>
              </w:rPr>
              <w:t>0.18</w:t>
            </w:r>
          </w:p>
        </w:tc>
      </w:tr>
    </w:tbl>
    <w:p w:rsidR="0037791E" w:rsidRPr="007647F4" w:rsidRDefault="0037791E" w:rsidP="0037791E">
      <w:pPr>
        <w:spacing w:after="0" w:line="240" w:lineRule="auto"/>
        <w:jc w:val="left"/>
        <w:rPr>
          <w:rFonts w:eastAsia="Calibri"/>
        </w:rPr>
      </w:pPr>
      <w:r w:rsidRPr="007647F4">
        <w:rPr>
          <w:rFonts w:eastAsia="Calibri"/>
          <w:vertAlign w:val="superscript"/>
        </w:rPr>
        <w:t xml:space="preserve">a </w:t>
      </w:r>
      <w:r w:rsidRPr="007647F4">
        <w:rPr>
          <w:rFonts w:eastAsia="Calibri"/>
        </w:rPr>
        <w:t>CD4 cell count and HIV viral load were measured at the time of ART initiation. EFV/3TC/ZDV was compared to other regimens.</w:t>
      </w:r>
    </w:p>
    <w:p w:rsidR="0037791E" w:rsidRPr="007647F4" w:rsidRDefault="0037791E" w:rsidP="0037791E">
      <w:pPr>
        <w:spacing w:after="0"/>
        <w:ind w:firstLine="720"/>
        <w:jc w:val="left"/>
        <w:rPr>
          <w:rFonts w:eastAsia="Calibri"/>
        </w:rPr>
      </w:pPr>
    </w:p>
    <w:p w:rsidR="0037791E" w:rsidRPr="007647F4" w:rsidRDefault="0037791E" w:rsidP="0037791E">
      <w:pPr>
        <w:spacing w:after="0" w:line="240" w:lineRule="auto"/>
        <w:ind w:firstLine="720"/>
        <w:rPr>
          <w:rFonts w:eastAsia="Calibri"/>
        </w:rPr>
      </w:pPr>
      <w:r w:rsidRPr="007647F4">
        <w:rPr>
          <w:rFonts w:eastAsia="Calibri"/>
        </w:rPr>
        <w:t xml:space="preserve">Second, the multivariate analyses were repeated after censoring data from participants in the early ART arm </w:t>
      </w:r>
      <w:r>
        <w:rPr>
          <w:rFonts w:eastAsia="Calibri"/>
        </w:rPr>
        <w:t>with virologic failure</w:t>
      </w:r>
      <w:r w:rsidRPr="007647F4">
        <w:rPr>
          <w:rFonts w:eastAsia="Calibri"/>
        </w:rPr>
        <w:t xml:space="preserve"> after the maximum time on ART in the delayed ART arm (2.7 years after ART initiation). The censored analysis included 102 participants with 106 person-years of follow-up in the early ART arm (reduced from 128 participants with 177 person-years of follow-up), and 83 participants with 83 person-years of follow-up in the delayed ART arm (no change). The original p values (from Table 2, without censoring) were similar to the p values obtained with censoring, as shown in the table below. These findings indicate that the difference in follow-up time after ART initiation in the two study arms did not significantly impact analysis of factors associated with resistance at the time of </w:t>
      </w:r>
      <w:r>
        <w:rPr>
          <w:rFonts w:eastAsia="Calibri"/>
        </w:rPr>
        <w:t>virologic failure</w:t>
      </w:r>
      <w:r w:rsidRPr="007647F4">
        <w:rPr>
          <w:rFonts w:eastAsia="Calibri"/>
        </w:rPr>
        <w:t>.</w:t>
      </w:r>
    </w:p>
    <w:p w:rsidR="0037791E" w:rsidRPr="007647F4" w:rsidRDefault="0037791E" w:rsidP="0037791E">
      <w:pPr>
        <w:spacing w:after="0"/>
        <w:ind w:firstLine="720"/>
        <w:jc w:val="left"/>
        <w:rPr>
          <w:rFonts w:eastAsia="Calibri"/>
        </w:rPr>
      </w:pPr>
    </w:p>
    <w:p w:rsidR="0037791E" w:rsidRPr="007647F4" w:rsidRDefault="0037791E" w:rsidP="0037791E">
      <w:pPr>
        <w:spacing w:after="0" w:line="276" w:lineRule="auto"/>
        <w:jc w:val="left"/>
        <w:rPr>
          <w:rFonts w:eastAsia="Calibri"/>
        </w:rPr>
      </w:pPr>
      <w:r w:rsidRPr="007647F4">
        <w:rPr>
          <w:rFonts w:eastAsia="Calibri"/>
          <w:u w:val="single"/>
        </w:rPr>
        <w:t xml:space="preserve">P values obtained for different multivariate models with the outcome of resistance at the time of </w:t>
      </w:r>
      <w:r>
        <w:rPr>
          <w:rFonts w:eastAsia="Calibri"/>
          <w:u w:val="single"/>
        </w:rPr>
        <w:t>virologic failure</w:t>
      </w:r>
      <w:r w:rsidRPr="007647F4">
        <w:rPr>
          <w:rFonts w:eastAsia="Calibri"/>
        </w:rPr>
        <w:t>.</w:t>
      </w:r>
    </w:p>
    <w:tbl>
      <w:tblPr>
        <w:tblStyle w:val="TableGrid"/>
        <w:tblW w:w="0" w:type="auto"/>
        <w:tblLook w:val="04A0" w:firstRow="1" w:lastRow="0" w:firstColumn="1" w:lastColumn="0" w:noHBand="0" w:noVBand="1"/>
      </w:tblPr>
      <w:tblGrid>
        <w:gridCol w:w="2407"/>
        <w:gridCol w:w="3371"/>
        <w:gridCol w:w="2520"/>
      </w:tblGrid>
      <w:tr w:rsidR="0037791E" w:rsidRPr="007647F4" w:rsidTr="00893F53">
        <w:tc>
          <w:tcPr>
            <w:tcW w:w="2407" w:type="dxa"/>
          </w:tcPr>
          <w:p w:rsidR="0037791E" w:rsidRPr="007647F4" w:rsidRDefault="0037791E" w:rsidP="00893F53">
            <w:pPr>
              <w:spacing w:after="0" w:line="276" w:lineRule="auto"/>
              <w:jc w:val="center"/>
              <w:rPr>
                <w:rFonts w:ascii="Arial" w:hAnsi="Arial" w:cs="Arial"/>
                <w:sz w:val="22"/>
                <w:szCs w:val="22"/>
              </w:rPr>
            </w:pPr>
            <w:r w:rsidRPr="007647F4">
              <w:rPr>
                <w:rFonts w:ascii="Arial" w:hAnsi="Arial" w:cs="Arial"/>
                <w:sz w:val="22"/>
                <w:szCs w:val="22"/>
              </w:rPr>
              <w:t>Variable</w:t>
            </w:r>
            <w:r w:rsidRPr="007647F4">
              <w:rPr>
                <w:rFonts w:ascii="Arial" w:hAnsi="Arial" w:cs="Arial"/>
                <w:sz w:val="22"/>
                <w:szCs w:val="22"/>
                <w:vertAlign w:val="superscript"/>
              </w:rPr>
              <w:t>a</w:t>
            </w:r>
          </w:p>
        </w:tc>
        <w:tc>
          <w:tcPr>
            <w:tcW w:w="3371" w:type="dxa"/>
          </w:tcPr>
          <w:p w:rsidR="0037791E" w:rsidRPr="007647F4" w:rsidRDefault="0037791E" w:rsidP="00893F53">
            <w:pPr>
              <w:spacing w:after="0" w:line="276" w:lineRule="auto"/>
              <w:jc w:val="center"/>
              <w:rPr>
                <w:rFonts w:ascii="Arial" w:hAnsi="Arial" w:cs="Arial"/>
                <w:sz w:val="22"/>
                <w:szCs w:val="22"/>
              </w:rPr>
            </w:pPr>
            <w:r w:rsidRPr="007647F4">
              <w:rPr>
                <w:rFonts w:ascii="Arial" w:hAnsi="Arial" w:cs="Arial"/>
                <w:sz w:val="22"/>
                <w:szCs w:val="22"/>
              </w:rPr>
              <w:t>Original P value (from Table 2)</w:t>
            </w:r>
          </w:p>
        </w:tc>
        <w:tc>
          <w:tcPr>
            <w:tcW w:w="2520" w:type="dxa"/>
          </w:tcPr>
          <w:p w:rsidR="0037791E" w:rsidRPr="007647F4" w:rsidRDefault="0037791E" w:rsidP="00893F53">
            <w:pPr>
              <w:spacing w:after="0" w:line="276" w:lineRule="auto"/>
              <w:jc w:val="center"/>
              <w:rPr>
                <w:rFonts w:ascii="Arial" w:hAnsi="Arial" w:cs="Arial"/>
                <w:sz w:val="22"/>
                <w:szCs w:val="22"/>
              </w:rPr>
            </w:pPr>
            <w:r w:rsidRPr="007647F4">
              <w:rPr>
                <w:rFonts w:ascii="Arial" w:hAnsi="Arial" w:cs="Arial"/>
                <w:sz w:val="22"/>
                <w:szCs w:val="22"/>
              </w:rPr>
              <w:t>P value with censoring</w:t>
            </w:r>
          </w:p>
        </w:tc>
      </w:tr>
      <w:tr w:rsidR="0037791E" w:rsidRPr="007647F4" w:rsidTr="00893F53">
        <w:tc>
          <w:tcPr>
            <w:tcW w:w="2407" w:type="dxa"/>
            <w:vAlign w:val="center"/>
          </w:tcPr>
          <w:p w:rsidR="0037791E" w:rsidRPr="007647F4" w:rsidRDefault="0037791E" w:rsidP="00893F53">
            <w:pPr>
              <w:spacing w:after="0" w:line="276" w:lineRule="auto"/>
              <w:jc w:val="left"/>
              <w:rPr>
                <w:rFonts w:ascii="Arial" w:hAnsi="Arial" w:cs="Arial"/>
                <w:sz w:val="22"/>
                <w:szCs w:val="22"/>
              </w:rPr>
            </w:pPr>
            <w:r w:rsidRPr="007647F4">
              <w:rPr>
                <w:rFonts w:ascii="Arial" w:hAnsi="Arial" w:cs="Arial"/>
                <w:sz w:val="22"/>
                <w:szCs w:val="22"/>
              </w:rPr>
              <w:t>Study group</w:t>
            </w:r>
          </w:p>
        </w:tc>
        <w:tc>
          <w:tcPr>
            <w:tcW w:w="3371" w:type="dxa"/>
          </w:tcPr>
          <w:p w:rsidR="0037791E" w:rsidRPr="007647F4" w:rsidRDefault="0037791E" w:rsidP="00893F53">
            <w:pPr>
              <w:spacing w:after="0" w:line="276" w:lineRule="auto"/>
              <w:jc w:val="center"/>
              <w:rPr>
                <w:rFonts w:ascii="Arial" w:hAnsi="Arial" w:cs="Arial"/>
                <w:sz w:val="22"/>
                <w:szCs w:val="22"/>
              </w:rPr>
            </w:pPr>
            <w:r w:rsidRPr="007647F4">
              <w:rPr>
                <w:rFonts w:ascii="Arial" w:hAnsi="Arial" w:cs="Arial"/>
                <w:sz w:val="22"/>
                <w:szCs w:val="22"/>
              </w:rPr>
              <w:t>0.43</w:t>
            </w:r>
          </w:p>
        </w:tc>
        <w:tc>
          <w:tcPr>
            <w:tcW w:w="2520" w:type="dxa"/>
          </w:tcPr>
          <w:p w:rsidR="0037791E" w:rsidRPr="007647F4" w:rsidRDefault="0037791E" w:rsidP="00893F53">
            <w:pPr>
              <w:spacing w:after="0" w:line="276" w:lineRule="auto"/>
              <w:jc w:val="center"/>
              <w:rPr>
                <w:rFonts w:ascii="Arial" w:hAnsi="Arial" w:cs="Arial"/>
                <w:sz w:val="22"/>
                <w:szCs w:val="22"/>
              </w:rPr>
            </w:pPr>
            <w:r w:rsidRPr="007647F4">
              <w:rPr>
                <w:rFonts w:ascii="Arial" w:hAnsi="Arial" w:cs="Arial"/>
                <w:sz w:val="22"/>
                <w:szCs w:val="22"/>
              </w:rPr>
              <w:t>0.48</w:t>
            </w:r>
          </w:p>
        </w:tc>
      </w:tr>
      <w:tr w:rsidR="0037791E" w:rsidRPr="007647F4" w:rsidTr="00893F53">
        <w:tc>
          <w:tcPr>
            <w:tcW w:w="2407" w:type="dxa"/>
            <w:vAlign w:val="center"/>
          </w:tcPr>
          <w:p w:rsidR="0037791E" w:rsidRPr="007647F4" w:rsidRDefault="0037791E" w:rsidP="00893F53">
            <w:pPr>
              <w:spacing w:after="0" w:line="276" w:lineRule="auto"/>
              <w:jc w:val="left"/>
              <w:rPr>
                <w:rFonts w:ascii="Arial" w:hAnsi="Arial" w:cs="Arial"/>
                <w:sz w:val="22"/>
                <w:szCs w:val="22"/>
              </w:rPr>
            </w:pPr>
            <w:r w:rsidRPr="007647F4">
              <w:rPr>
                <w:rFonts w:ascii="Arial" w:hAnsi="Arial" w:cs="Arial"/>
                <w:sz w:val="22"/>
                <w:szCs w:val="22"/>
              </w:rPr>
              <w:t xml:space="preserve">CD4 cell count </w:t>
            </w:r>
          </w:p>
        </w:tc>
        <w:tc>
          <w:tcPr>
            <w:tcW w:w="3371" w:type="dxa"/>
          </w:tcPr>
          <w:p w:rsidR="0037791E" w:rsidRPr="007647F4" w:rsidRDefault="0037791E" w:rsidP="00893F53">
            <w:pPr>
              <w:spacing w:after="0" w:line="276" w:lineRule="auto"/>
              <w:jc w:val="center"/>
              <w:rPr>
                <w:rFonts w:ascii="Arial" w:hAnsi="Arial" w:cs="Arial"/>
                <w:sz w:val="22"/>
                <w:szCs w:val="22"/>
              </w:rPr>
            </w:pPr>
            <w:r w:rsidRPr="007647F4">
              <w:rPr>
                <w:rFonts w:ascii="Arial" w:hAnsi="Arial" w:cs="Arial"/>
                <w:sz w:val="22"/>
                <w:szCs w:val="22"/>
              </w:rPr>
              <w:t>0.98</w:t>
            </w:r>
          </w:p>
        </w:tc>
        <w:tc>
          <w:tcPr>
            <w:tcW w:w="2520" w:type="dxa"/>
          </w:tcPr>
          <w:p w:rsidR="0037791E" w:rsidRPr="007647F4" w:rsidRDefault="0037791E" w:rsidP="00893F53">
            <w:pPr>
              <w:spacing w:after="0" w:line="276" w:lineRule="auto"/>
              <w:jc w:val="center"/>
              <w:rPr>
                <w:rFonts w:ascii="Arial" w:hAnsi="Arial" w:cs="Arial"/>
                <w:sz w:val="22"/>
                <w:szCs w:val="22"/>
              </w:rPr>
            </w:pPr>
            <w:r w:rsidRPr="007647F4">
              <w:rPr>
                <w:rFonts w:ascii="Arial" w:hAnsi="Arial" w:cs="Arial"/>
                <w:sz w:val="22"/>
                <w:szCs w:val="22"/>
              </w:rPr>
              <w:t>0.95</w:t>
            </w:r>
          </w:p>
        </w:tc>
      </w:tr>
      <w:tr w:rsidR="0037791E" w:rsidRPr="007647F4" w:rsidTr="00893F53">
        <w:tc>
          <w:tcPr>
            <w:tcW w:w="2407" w:type="dxa"/>
            <w:vAlign w:val="center"/>
          </w:tcPr>
          <w:p w:rsidR="0037791E" w:rsidRPr="007647F4" w:rsidRDefault="0037791E" w:rsidP="00893F53">
            <w:pPr>
              <w:spacing w:after="0" w:line="276" w:lineRule="auto"/>
              <w:jc w:val="left"/>
              <w:rPr>
                <w:rFonts w:ascii="Arial" w:hAnsi="Arial" w:cs="Arial"/>
                <w:sz w:val="22"/>
                <w:szCs w:val="22"/>
              </w:rPr>
            </w:pPr>
            <w:r w:rsidRPr="007647F4">
              <w:rPr>
                <w:rFonts w:ascii="Arial" w:hAnsi="Arial" w:cs="Arial"/>
                <w:sz w:val="22"/>
                <w:szCs w:val="22"/>
              </w:rPr>
              <w:t xml:space="preserve">HIV viral load </w:t>
            </w:r>
          </w:p>
        </w:tc>
        <w:tc>
          <w:tcPr>
            <w:tcW w:w="3371" w:type="dxa"/>
          </w:tcPr>
          <w:p w:rsidR="0037791E" w:rsidRPr="007647F4" w:rsidRDefault="0037791E" w:rsidP="00893F53">
            <w:pPr>
              <w:spacing w:after="0" w:line="276" w:lineRule="auto"/>
              <w:jc w:val="center"/>
              <w:rPr>
                <w:rFonts w:ascii="Arial" w:hAnsi="Arial" w:cs="Arial"/>
                <w:b/>
                <w:sz w:val="22"/>
                <w:szCs w:val="22"/>
              </w:rPr>
            </w:pPr>
            <w:r w:rsidRPr="007647F4">
              <w:rPr>
                <w:rFonts w:ascii="Arial" w:hAnsi="Arial" w:cs="Arial"/>
                <w:b/>
                <w:sz w:val="22"/>
                <w:szCs w:val="22"/>
              </w:rPr>
              <w:t>0.0008</w:t>
            </w:r>
          </w:p>
        </w:tc>
        <w:tc>
          <w:tcPr>
            <w:tcW w:w="2520" w:type="dxa"/>
          </w:tcPr>
          <w:p w:rsidR="0037791E" w:rsidRPr="007647F4" w:rsidRDefault="0037791E" w:rsidP="00893F53">
            <w:pPr>
              <w:spacing w:after="0" w:line="276" w:lineRule="auto"/>
              <w:jc w:val="center"/>
              <w:rPr>
                <w:rFonts w:ascii="Arial" w:hAnsi="Arial" w:cs="Arial"/>
                <w:b/>
                <w:sz w:val="22"/>
                <w:szCs w:val="22"/>
              </w:rPr>
            </w:pPr>
            <w:r w:rsidRPr="007647F4">
              <w:rPr>
                <w:rFonts w:ascii="Arial" w:hAnsi="Arial" w:cs="Arial"/>
                <w:b/>
                <w:sz w:val="22"/>
                <w:szCs w:val="22"/>
              </w:rPr>
              <w:t>0.0009</w:t>
            </w:r>
          </w:p>
        </w:tc>
      </w:tr>
      <w:tr w:rsidR="0037791E" w:rsidRPr="007647F4" w:rsidTr="00893F53">
        <w:tc>
          <w:tcPr>
            <w:tcW w:w="2407" w:type="dxa"/>
            <w:vAlign w:val="center"/>
          </w:tcPr>
          <w:p w:rsidR="0037791E" w:rsidRPr="007647F4" w:rsidRDefault="0037791E" w:rsidP="00893F53">
            <w:pPr>
              <w:spacing w:after="0" w:line="276" w:lineRule="auto"/>
              <w:jc w:val="left"/>
              <w:rPr>
                <w:rFonts w:ascii="Arial" w:hAnsi="Arial" w:cs="Arial"/>
                <w:sz w:val="22"/>
                <w:szCs w:val="22"/>
              </w:rPr>
            </w:pPr>
            <w:r w:rsidRPr="007647F4">
              <w:rPr>
                <w:rFonts w:ascii="Arial" w:hAnsi="Arial" w:cs="Arial"/>
                <w:sz w:val="22"/>
                <w:szCs w:val="22"/>
              </w:rPr>
              <w:t>ART regimen</w:t>
            </w:r>
          </w:p>
        </w:tc>
        <w:tc>
          <w:tcPr>
            <w:tcW w:w="3371" w:type="dxa"/>
          </w:tcPr>
          <w:p w:rsidR="0037791E" w:rsidRPr="007647F4" w:rsidRDefault="0037791E" w:rsidP="00893F53">
            <w:pPr>
              <w:spacing w:after="0" w:line="276" w:lineRule="auto"/>
              <w:jc w:val="center"/>
              <w:rPr>
                <w:rFonts w:ascii="Arial" w:hAnsi="Arial" w:cs="Arial"/>
                <w:b/>
                <w:sz w:val="22"/>
                <w:szCs w:val="22"/>
              </w:rPr>
            </w:pPr>
            <w:r w:rsidRPr="007647F4">
              <w:rPr>
                <w:rFonts w:ascii="Arial" w:hAnsi="Arial" w:cs="Arial"/>
                <w:b/>
                <w:sz w:val="22"/>
                <w:szCs w:val="22"/>
              </w:rPr>
              <w:t>0.024</w:t>
            </w:r>
          </w:p>
        </w:tc>
        <w:tc>
          <w:tcPr>
            <w:tcW w:w="2520" w:type="dxa"/>
          </w:tcPr>
          <w:p w:rsidR="0037791E" w:rsidRPr="007647F4" w:rsidRDefault="0037791E" w:rsidP="00893F53">
            <w:pPr>
              <w:spacing w:after="0" w:line="276" w:lineRule="auto"/>
              <w:jc w:val="center"/>
              <w:rPr>
                <w:rFonts w:ascii="Arial" w:hAnsi="Arial" w:cs="Arial"/>
                <w:b/>
                <w:sz w:val="22"/>
                <w:szCs w:val="22"/>
              </w:rPr>
            </w:pPr>
            <w:r w:rsidRPr="007647F4">
              <w:rPr>
                <w:rFonts w:ascii="Arial" w:hAnsi="Arial" w:cs="Arial"/>
                <w:b/>
                <w:sz w:val="22"/>
                <w:szCs w:val="22"/>
              </w:rPr>
              <w:t>0.01</w:t>
            </w:r>
          </w:p>
        </w:tc>
      </w:tr>
    </w:tbl>
    <w:p w:rsidR="0037791E" w:rsidRPr="007647F4" w:rsidRDefault="0037791E" w:rsidP="0037791E">
      <w:pPr>
        <w:spacing w:after="0" w:line="276" w:lineRule="auto"/>
        <w:jc w:val="left"/>
        <w:rPr>
          <w:rFonts w:ascii="Times New Roman" w:eastAsia="Calibri" w:hAnsi="Times New Roman" w:cs="Times New Roman"/>
          <w:sz w:val="24"/>
          <w:szCs w:val="24"/>
        </w:rPr>
      </w:pPr>
      <w:r w:rsidRPr="007647F4">
        <w:rPr>
          <w:rFonts w:eastAsia="Calibri"/>
          <w:vertAlign w:val="superscript"/>
        </w:rPr>
        <w:t xml:space="preserve">a </w:t>
      </w:r>
      <w:r w:rsidRPr="007647F4">
        <w:rPr>
          <w:rFonts w:eastAsia="Calibri"/>
        </w:rPr>
        <w:t>CD4 cell count and HIV viral load were measured at the time of ART initiation. EFV/3TC/ZDV was compared to other regimens.</w:t>
      </w:r>
      <w:r w:rsidRPr="007647F4">
        <w:rPr>
          <w:rFonts w:eastAsia="Calibri"/>
        </w:rPr>
        <w:fldChar w:fldCharType="begin"/>
      </w:r>
      <w:r w:rsidRPr="007647F4">
        <w:rPr>
          <w:rFonts w:eastAsia="Calibri"/>
        </w:rPr>
        <w:instrText xml:space="preserve"> ADDIN </w:instrText>
      </w:r>
      <w:r w:rsidRPr="007647F4">
        <w:rPr>
          <w:rFonts w:eastAsia="Calibri"/>
        </w:rPr>
        <w:fldChar w:fldCharType="end"/>
      </w:r>
    </w:p>
    <w:p w:rsidR="0037791E" w:rsidRPr="00EC3E42" w:rsidRDefault="0037791E" w:rsidP="0037791E">
      <w:pPr>
        <w:spacing w:line="240" w:lineRule="auto"/>
        <w:rPr>
          <w:b/>
        </w:rPr>
      </w:pPr>
    </w:p>
    <w:p w:rsidR="0037791E" w:rsidRPr="00EC3E42" w:rsidRDefault="0037791E" w:rsidP="00EC3E42">
      <w:pPr>
        <w:spacing w:line="240" w:lineRule="auto"/>
        <w:rPr>
          <w:b/>
        </w:rPr>
      </w:pPr>
      <w:bookmarkStart w:id="0" w:name="_GoBack"/>
      <w:bookmarkEnd w:id="0"/>
    </w:p>
    <w:sectPr w:rsidR="0037791E" w:rsidRPr="00EC3E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192" w:rsidRDefault="00407192" w:rsidP="009841E0">
      <w:pPr>
        <w:spacing w:after="0" w:line="240" w:lineRule="auto"/>
      </w:pPr>
      <w:r>
        <w:separator/>
      </w:r>
    </w:p>
  </w:endnote>
  <w:endnote w:type="continuationSeparator" w:id="0">
    <w:p w:rsidR="00407192" w:rsidRDefault="00407192" w:rsidP="00984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192" w:rsidRDefault="00407192" w:rsidP="009841E0">
      <w:pPr>
        <w:spacing w:after="0" w:line="240" w:lineRule="auto"/>
      </w:pPr>
      <w:r>
        <w:separator/>
      </w:r>
    </w:p>
  </w:footnote>
  <w:footnote w:type="continuationSeparator" w:id="0">
    <w:p w:rsidR="00407192" w:rsidRDefault="00407192" w:rsidP="009841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6FD"/>
    <w:rsid w:val="00155666"/>
    <w:rsid w:val="00214AF6"/>
    <w:rsid w:val="0037791E"/>
    <w:rsid w:val="00407192"/>
    <w:rsid w:val="005E437E"/>
    <w:rsid w:val="007152DC"/>
    <w:rsid w:val="007F26FD"/>
    <w:rsid w:val="008F51D2"/>
    <w:rsid w:val="009333F1"/>
    <w:rsid w:val="009841E0"/>
    <w:rsid w:val="00C4250B"/>
    <w:rsid w:val="00EC3E42"/>
    <w:rsid w:val="00FB1BE1"/>
    <w:rsid w:val="00FF1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A7FB3-FC47-4192-A65B-7943E2A5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160"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1E0"/>
  </w:style>
  <w:style w:type="paragraph" w:styleId="Footer">
    <w:name w:val="footer"/>
    <w:basedOn w:val="Normal"/>
    <w:link w:val="FooterChar"/>
    <w:uiPriority w:val="99"/>
    <w:unhideWhenUsed/>
    <w:rsid w:val="00984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1E0"/>
  </w:style>
  <w:style w:type="table" w:styleId="TableGrid">
    <w:name w:val="Table Grid"/>
    <w:basedOn w:val="TableNormal"/>
    <w:uiPriority w:val="39"/>
    <w:rsid w:val="0037791E"/>
    <w:pPr>
      <w:spacing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Palumbo</dc:creator>
  <cp:keywords/>
  <dc:description/>
  <cp:lastModifiedBy>Laura Anderson</cp:lastModifiedBy>
  <cp:revision>2</cp:revision>
  <dcterms:created xsi:type="dcterms:W3CDTF">2017-12-20T17:59:00Z</dcterms:created>
  <dcterms:modified xsi:type="dcterms:W3CDTF">2017-12-20T17:59:00Z</dcterms:modified>
</cp:coreProperties>
</file>